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D12" w:rsidRDefault="00305D12" w:rsidP="00305D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CLAYTON PARADZAI </w:t>
      </w:r>
      <w:bookmarkStart w:id="0" w:name="_GoBack"/>
      <w:bookmarkEnd w:id="0"/>
    </w:p>
    <w:p w:rsidR="00305D12" w:rsidRDefault="00305D12" w:rsidP="00305D1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05D12" w:rsidRDefault="00305D12" w:rsidP="00305D12">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305D12" w:rsidRDefault="00305D12" w:rsidP="00305D12">
      <w:pPr>
        <w:spacing w:after="0" w:line="240" w:lineRule="auto"/>
        <w:rPr>
          <w:rFonts w:ascii="Times New Roman" w:hAnsi="Times New Roman" w:cs="Times New Roman"/>
          <w:sz w:val="24"/>
          <w:szCs w:val="24"/>
        </w:rPr>
      </w:pPr>
    </w:p>
    <w:p w:rsidR="00305D12" w:rsidRDefault="00305D12" w:rsidP="00305D12">
      <w:pPr>
        <w:spacing w:after="0" w:line="240" w:lineRule="auto"/>
        <w:rPr>
          <w:rFonts w:ascii="Times New Roman" w:hAnsi="Times New Roman" w:cs="Times New Roman"/>
          <w:sz w:val="24"/>
          <w:szCs w:val="24"/>
        </w:rPr>
      </w:pPr>
    </w:p>
    <w:p w:rsidR="00305D12" w:rsidRDefault="00305D12" w:rsidP="00305D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305D12" w:rsidRDefault="00305D12" w:rsidP="00305D12">
      <w:pPr>
        <w:spacing w:after="0" w:line="240" w:lineRule="auto"/>
        <w:rPr>
          <w:rFonts w:ascii="Times New Roman" w:hAnsi="Times New Roman" w:cs="Times New Roman"/>
          <w:sz w:val="24"/>
          <w:szCs w:val="24"/>
        </w:rPr>
      </w:pPr>
      <w:r>
        <w:rPr>
          <w:rFonts w:ascii="Times New Roman" w:hAnsi="Times New Roman" w:cs="Times New Roman"/>
          <w:sz w:val="24"/>
          <w:szCs w:val="24"/>
        </w:rPr>
        <w:t>MWAYERA AND MUZENDA JJ</w:t>
      </w:r>
    </w:p>
    <w:p w:rsidR="00305D12" w:rsidRDefault="00305D12" w:rsidP="00305D12">
      <w:pPr>
        <w:spacing w:after="0" w:line="240" w:lineRule="auto"/>
        <w:rPr>
          <w:rFonts w:ascii="Times New Roman" w:hAnsi="Times New Roman" w:cs="Times New Roman"/>
          <w:sz w:val="24"/>
          <w:szCs w:val="24"/>
        </w:rPr>
      </w:pPr>
      <w:r>
        <w:rPr>
          <w:rFonts w:ascii="Times New Roman" w:hAnsi="Times New Roman" w:cs="Times New Roman"/>
          <w:sz w:val="24"/>
          <w:szCs w:val="24"/>
        </w:rPr>
        <w:t>MUTARE, 31 March 2021</w:t>
      </w:r>
    </w:p>
    <w:p w:rsidR="00305D12" w:rsidRDefault="00305D12" w:rsidP="00305D12">
      <w:pPr>
        <w:spacing w:after="0" w:line="240" w:lineRule="auto"/>
        <w:rPr>
          <w:rFonts w:ascii="Times New Roman" w:hAnsi="Times New Roman" w:cs="Times New Roman"/>
          <w:sz w:val="24"/>
          <w:szCs w:val="24"/>
        </w:rPr>
      </w:pPr>
    </w:p>
    <w:p w:rsidR="00305D12" w:rsidRDefault="00305D12" w:rsidP="00305D12">
      <w:pPr>
        <w:spacing w:after="0" w:line="240" w:lineRule="auto"/>
        <w:rPr>
          <w:rFonts w:ascii="Times New Roman" w:hAnsi="Times New Roman" w:cs="Times New Roman"/>
          <w:sz w:val="24"/>
          <w:szCs w:val="24"/>
        </w:rPr>
      </w:pPr>
    </w:p>
    <w:p w:rsidR="00305D12" w:rsidRDefault="00305D12" w:rsidP="00305D12">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Appeal</w:t>
      </w:r>
      <w:r w:rsidR="003E5FCB">
        <w:rPr>
          <w:rFonts w:ascii="Times New Roman" w:hAnsi="Times New Roman" w:cs="Times New Roman"/>
          <w:b/>
          <w:sz w:val="24"/>
          <w:szCs w:val="24"/>
        </w:rPr>
        <w:t>: Reasons for Judgment</w:t>
      </w:r>
    </w:p>
    <w:p w:rsidR="00305D12" w:rsidRDefault="00305D12" w:rsidP="00305D12">
      <w:pPr>
        <w:spacing w:after="0" w:line="240" w:lineRule="auto"/>
        <w:rPr>
          <w:rFonts w:ascii="Times New Roman" w:hAnsi="Times New Roman" w:cs="Times New Roman"/>
          <w:sz w:val="24"/>
          <w:szCs w:val="24"/>
        </w:rPr>
      </w:pPr>
    </w:p>
    <w:p w:rsidR="00305D12" w:rsidRDefault="00305D12" w:rsidP="00305D12">
      <w:pPr>
        <w:spacing w:after="0" w:line="240" w:lineRule="auto"/>
        <w:rPr>
          <w:rFonts w:ascii="Times New Roman" w:hAnsi="Times New Roman" w:cs="Times New Roman"/>
          <w:b/>
          <w:sz w:val="24"/>
          <w:szCs w:val="24"/>
        </w:rPr>
      </w:pPr>
    </w:p>
    <w:p w:rsidR="00305D12" w:rsidRDefault="00305D12" w:rsidP="00305D12">
      <w:pPr>
        <w:spacing w:after="0" w:line="240" w:lineRule="auto"/>
        <w:rPr>
          <w:rFonts w:ascii="Times New Roman" w:hAnsi="Times New Roman" w:cs="Times New Roman"/>
          <w:sz w:val="24"/>
          <w:szCs w:val="24"/>
        </w:rPr>
      </w:pPr>
      <w:r>
        <w:rPr>
          <w:rFonts w:ascii="Times New Roman" w:hAnsi="Times New Roman" w:cs="Times New Roman"/>
          <w:i/>
          <w:sz w:val="24"/>
          <w:szCs w:val="24"/>
        </w:rPr>
        <w:t>C Mukwena</w:t>
      </w:r>
      <w:r>
        <w:rPr>
          <w:rFonts w:ascii="Times New Roman" w:hAnsi="Times New Roman" w:cs="Times New Roman"/>
          <w:sz w:val="24"/>
          <w:szCs w:val="24"/>
        </w:rPr>
        <w:t>, for the Appellant</w:t>
      </w:r>
    </w:p>
    <w:p w:rsidR="00305D12" w:rsidRDefault="00305D12" w:rsidP="00305D12">
      <w:pPr>
        <w:spacing w:after="0" w:line="240" w:lineRule="auto"/>
        <w:rPr>
          <w:rFonts w:ascii="Times New Roman" w:hAnsi="Times New Roman" w:cs="Times New Roman"/>
          <w:i/>
          <w:sz w:val="24"/>
          <w:szCs w:val="24"/>
        </w:rPr>
      </w:pPr>
      <w:r>
        <w:rPr>
          <w:rFonts w:ascii="Times New Roman" w:hAnsi="Times New Roman" w:cs="Times New Roman"/>
          <w:i/>
          <w:sz w:val="24"/>
          <w:szCs w:val="24"/>
        </w:rPr>
        <w:t>M Musarurwa for the Respondent</w:t>
      </w:r>
    </w:p>
    <w:p w:rsidR="00305D12" w:rsidRDefault="00305D12" w:rsidP="00305D12">
      <w:pPr>
        <w:spacing w:after="0" w:line="240" w:lineRule="auto"/>
        <w:rPr>
          <w:rFonts w:ascii="Times New Roman" w:hAnsi="Times New Roman" w:cs="Times New Roman"/>
          <w:sz w:val="24"/>
          <w:szCs w:val="24"/>
        </w:rPr>
      </w:pPr>
    </w:p>
    <w:p w:rsidR="00305D12" w:rsidRDefault="00305D12" w:rsidP="00305D12">
      <w:pPr>
        <w:spacing w:after="0" w:line="240" w:lineRule="auto"/>
        <w:rPr>
          <w:rFonts w:ascii="Times New Roman" w:hAnsi="Times New Roman" w:cs="Times New Roman"/>
          <w:sz w:val="24"/>
          <w:szCs w:val="24"/>
        </w:rPr>
      </w:pPr>
    </w:p>
    <w:p w:rsidR="00305D12" w:rsidRDefault="003E5FCB" w:rsidP="00305D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 J: O</w:t>
      </w:r>
      <w:r w:rsidR="00305D12">
        <w:rPr>
          <w:rFonts w:ascii="Times New Roman" w:hAnsi="Times New Roman" w:cs="Times New Roman"/>
          <w:sz w:val="24"/>
          <w:szCs w:val="24"/>
        </w:rPr>
        <w:t>n 31 March 2021 we dismissed an appeal against both conviction and sentence noted by the appellant. We indicated that our reasons will be availed. These are they.</w:t>
      </w:r>
    </w:p>
    <w:p w:rsidR="00305D12" w:rsidRDefault="00305D12" w:rsidP="00305D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24 December 2020 appellant was convicted of Robbery as defined in s 126 (1)(a) of the Criminal Law (Codification and Reform) Act [</w:t>
      </w:r>
      <w:r w:rsidRPr="00305D12">
        <w:rPr>
          <w:rFonts w:ascii="Times New Roman" w:hAnsi="Times New Roman" w:cs="Times New Roman"/>
          <w:i/>
          <w:sz w:val="24"/>
          <w:szCs w:val="24"/>
        </w:rPr>
        <w:t>Chapter 9:23</w:t>
      </w:r>
      <w:r>
        <w:rPr>
          <w:rFonts w:ascii="Times New Roman" w:hAnsi="Times New Roman" w:cs="Times New Roman"/>
          <w:sz w:val="24"/>
          <w:szCs w:val="24"/>
        </w:rPr>
        <w:t xml:space="preserve">] and sentenced to 5 years imprisonment of which 6 months was suspended for 5 years on condition of future good behaviour. A further 22 months imprisonment was suspended </w:t>
      </w:r>
      <w:r w:rsidR="00FF73ED">
        <w:rPr>
          <w:rFonts w:ascii="Times New Roman" w:hAnsi="Times New Roman" w:cs="Times New Roman"/>
          <w:sz w:val="24"/>
          <w:szCs w:val="24"/>
        </w:rPr>
        <w:t>on condition of restitution.</w:t>
      </w:r>
    </w:p>
    <w:p w:rsidR="00A513A3" w:rsidRDefault="00A513A3" w:rsidP="00700A99">
      <w:pPr>
        <w:spacing w:after="0" w:line="360" w:lineRule="auto"/>
        <w:jc w:val="both"/>
        <w:rPr>
          <w:rFonts w:ascii="Times New Roman" w:hAnsi="Times New Roman" w:cs="Times New Roman"/>
          <w:sz w:val="24"/>
          <w:szCs w:val="24"/>
          <w:u w:val="single"/>
        </w:rPr>
      </w:pPr>
    </w:p>
    <w:p w:rsidR="00FF73ED" w:rsidRPr="00700A99" w:rsidRDefault="00FF73ED" w:rsidP="00700A99">
      <w:pPr>
        <w:spacing w:after="0" w:line="360" w:lineRule="auto"/>
        <w:jc w:val="both"/>
        <w:rPr>
          <w:rFonts w:ascii="Times New Roman" w:hAnsi="Times New Roman" w:cs="Times New Roman"/>
          <w:sz w:val="24"/>
          <w:szCs w:val="24"/>
          <w:u w:val="single"/>
        </w:rPr>
      </w:pPr>
      <w:r w:rsidRPr="00700A99">
        <w:rPr>
          <w:rFonts w:ascii="Times New Roman" w:hAnsi="Times New Roman" w:cs="Times New Roman"/>
          <w:sz w:val="24"/>
          <w:szCs w:val="24"/>
          <w:u w:val="single"/>
        </w:rPr>
        <w:t>Background</w:t>
      </w:r>
    </w:p>
    <w:p w:rsidR="00700A99" w:rsidRDefault="00FF73ED" w:rsidP="00700A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is aged 19 years </w:t>
      </w:r>
      <w:r w:rsidR="005549E3">
        <w:rPr>
          <w:rFonts w:ascii="Times New Roman" w:hAnsi="Times New Roman" w:cs="Times New Roman"/>
          <w:sz w:val="24"/>
          <w:szCs w:val="24"/>
        </w:rPr>
        <w:t>and complainant Fortune Mutsumbe</w:t>
      </w:r>
      <w:r>
        <w:rPr>
          <w:rFonts w:ascii="Times New Roman" w:hAnsi="Times New Roman" w:cs="Times New Roman"/>
          <w:sz w:val="24"/>
          <w:szCs w:val="24"/>
        </w:rPr>
        <w:t>i is 26 years and is a lady of the night. On 19 April 2020 at around 2030 hours, appellant in th</w:t>
      </w:r>
      <w:r w:rsidR="007C718A">
        <w:rPr>
          <w:rFonts w:ascii="Times New Roman" w:hAnsi="Times New Roman" w:cs="Times New Roman"/>
          <w:sz w:val="24"/>
          <w:szCs w:val="24"/>
        </w:rPr>
        <w:t>e company of his co-perpetrator</w:t>
      </w:r>
      <w:r>
        <w:rPr>
          <w:rFonts w:ascii="Times New Roman" w:hAnsi="Times New Roman" w:cs="Times New Roman"/>
          <w:sz w:val="24"/>
          <w:szCs w:val="24"/>
        </w:rPr>
        <w:t xml:space="preserve"> approached complainant at Boka Night Club near AFM Church, Sakubva alleging that </w:t>
      </w:r>
      <w:r w:rsidR="00442BFB">
        <w:rPr>
          <w:rFonts w:ascii="Times New Roman" w:hAnsi="Times New Roman" w:cs="Times New Roman"/>
          <w:sz w:val="24"/>
          <w:szCs w:val="24"/>
        </w:rPr>
        <w:t xml:space="preserve">complainant was taking a lot of customers from their Sakubva suburban sisters. Appellant struck </w:t>
      </w:r>
      <w:r w:rsidR="003E5FCB">
        <w:rPr>
          <w:rFonts w:ascii="Times New Roman" w:hAnsi="Times New Roman" w:cs="Times New Roman"/>
          <w:sz w:val="24"/>
          <w:szCs w:val="24"/>
        </w:rPr>
        <w:t>complainant</w:t>
      </w:r>
      <w:r w:rsidR="00442BFB">
        <w:rPr>
          <w:rFonts w:ascii="Times New Roman" w:hAnsi="Times New Roman" w:cs="Times New Roman"/>
          <w:sz w:val="24"/>
          <w:szCs w:val="24"/>
        </w:rPr>
        <w:t xml:space="preserve"> on the face with an open hand and his</w:t>
      </w:r>
      <w:r w:rsidR="00F4247F">
        <w:rPr>
          <w:rFonts w:ascii="Times New Roman" w:hAnsi="Times New Roman" w:cs="Times New Roman"/>
          <w:sz w:val="24"/>
          <w:szCs w:val="24"/>
        </w:rPr>
        <w:t xml:space="preserve"> accomplice took US$5 and ZWL75 </w:t>
      </w:r>
      <w:r w:rsidR="00442BFB">
        <w:rPr>
          <w:rFonts w:ascii="Times New Roman" w:hAnsi="Times New Roman" w:cs="Times New Roman"/>
          <w:sz w:val="24"/>
          <w:szCs w:val="24"/>
        </w:rPr>
        <w:t xml:space="preserve">that were in complainant’s bra. On 24 December 2020 appellant pleaded guilty to the charge of robbery and he was convicted and sentenced. On 30 December 2020 he noted an appeal against both conviction and sentence. </w:t>
      </w:r>
    </w:p>
    <w:p w:rsidR="00A513A3" w:rsidRDefault="00A513A3" w:rsidP="00700A99">
      <w:pPr>
        <w:spacing w:after="0" w:line="360" w:lineRule="auto"/>
        <w:jc w:val="both"/>
        <w:rPr>
          <w:rFonts w:ascii="Times New Roman" w:hAnsi="Times New Roman" w:cs="Times New Roman"/>
          <w:sz w:val="24"/>
          <w:szCs w:val="24"/>
          <w:u w:val="single"/>
        </w:rPr>
      </w:pPr>
    </w:p>
    <w:p w:rsidR="00442BFB" w:rsidRPr="00700A99" w:rsidRDefault="00442BFB" w:rsidP="00700A99">
      <w:pPr>
        <w:spacing w:after="0" w:line="360" w:lineRule="auto"/>
        <w:jc w:val="both"/>
        <w:rPr>
          <w:rFonts w:ascii="Times New Roman" w:hAnsi="Times New Roman" w:cs="Times New Roman"/>
          <w:sz w:val="24"/>
          <w:szCs w:val="24"/>
        </w:rPr>
      </w:pPr>
      <w:r w:rsidRPr="00700A99">
        <w:rPr>
          <w:rFonts w:ascii="Times New Roman" w:hAnsi="Times New Roman" w:cs="Times New Roman"/>
          <w:sz w:val="24"/>
          <w:szCs w:val="24"/>
          <w:u w:val="single"/>
        </w:rPr>
        <w:t>Grounds of appeal</w:t>
      </w:r>
    </w:p>
    <w:p w:rsidR="00F4247F" w:rsidRPr="00700A99" w:rsidRDefault="00DB522F" w:rsidP="00700A99">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Ad</w:t>
      </w:r>
      <w:r w:rsidR="00F4247F" w:rsidRPr="00700A99">
        <w:rPr>
          <w:rFonts w:ascii="Times New Roman" w:hAnsi="Times New Roman" w:cs="Times New Roman"/>
          <w:sz w:val="24"/>
          <w:szCs w:val="24"/>
          <w:u w:val="single"/>
        </w:rPr>
        <w:t xml:space="preserve"> Conviction</w:t>
      </w:r>
    </w:p>
    <w:p w:rsidR="00F4247F" w:rsidRDefault="00F4247F" w:rsidP="00F4247F">
      <w:pPr>
        <w:pStyle w:val="ListParagraph"/>
        <w:numPr>
          <w:ilvl w:val="0"/>
          <w:numId w:val="3"/>
        </w:numPr>
        <w:spacing w:after="0" w:line="360" w:lineRule="auto"/>
        <w:jc w:val="both"/>
        <w:rPr>
          <w:rFonts w:ascii="Times New Roman" w:hAnsi="Times New Roman" w:cs="Times New Roman"/>
          <w:sz w:val="24"/>
          <w:szCs w:val="24"/>
        </w:rPr>
      </w:pPr>
      <w:r w:rsidRPr="00F4247F">
        <w:rPr>
          <w:rFonts w:ascii="Times New Roman" w:hAnsi="Times New Roman" w:cs="Times New Roman"/>
          <w:sz w:val="24"/>
          <w:szCs w:val="24"/>
        </w:rPr>
        <w:lastRenderedPageBreak/>
        <w:t xml:space="preserve">The court </w:t>
      </w:r>
      <w:r w:rsidRPr="00F4247F">
        <w:rPr>
          <w:rFonts w:ascii="Times New Roman" w:hAnsi="Times New Roman" w:cs="Times New Roman"/>
          <w:i/>
          <w:sz w:val="24"/>
          <w:szCs w:val="24"/>
        </w:rPr>
        <w:t>a quo</w:t>
      </w:r>
      <w:r w:rsidRPr="00F4247F">
        <w:rPr>
          <w:rFonts w:ascii="Times New Roman" w:hAnsi="Times New Roman" w:cs="Times New Roman"/>
          <w:sz w:val="24"/>
          <w:szCs w:val="24"/>
        </w:rPr>
        <w:t xml:space="preserve"> erred and grossly misdirected itself in convicting the appellant on a charge of robbery when the facts a</w:t>
      </w:r>
      <w:r w:rsidR="00DB522F">
        <w:rPr>
          <w:rFonts w:ascii="Times New Roman" w:hAnsi="Times New Roman" w:cs="Times New Roman"/>
          <w:sz w:val="24"/>
          <w:szCs w:val="24"/>
        </w:rPr>
        <w:t>s</w:t>
      </w:r>
      <w:r w:rsidRPr="00F4247F">
        <w:rPr>
          <w:rFonts w:ascii="Times New Roman" w:hAnsi="Times New Roman" w:cs="Times New Roman"/>
          <w:sz w:val="24"/>
          <w:szCs w:val="24"/>
        </w:rPr>
        <w:t xml:space="preserve"> outlined in the charge sheet, state outline and </w:t>
      </w:r>
      <w:r>
        <w:rPr>
          <w:rFonts w:ascii="Times New Roman" w:hAnsi="Times New Roman" w:cs="Times New Roman"/>
          <w:sz w:val="24"/>
          <w:szCs w:val="24"/>
        </w:rPr>
        <w:t>purportedly explained did not disclose such an offence.</w:t>
      </w:r>
    </w:p>
    <w:p w:rsidR="00F4247F" w:rsidRDefault="00CB791B" w:rsidP="00F4247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CB791B">
        <w:rPr>
          <w:rFonts w:ascii="Times New Roman" w:hAnsi="Times New Roman" w:cs="Times New Roman"/>
          <w:i/>
          <w:sz w:val="24"/>
          <w:szCs w:val="24"/>
        </w:rPr>
        <w:t>a quo</w:t>
      </w:r>
      <w:r>
        <w:rPr>
          <w:rFonts w:ascii="Times New Roman" w:hAnsi="Times New Roman" w:cs="Times New Roman"/>
          <w:sz w:val="24"/>
          <w:szCs w:val="24"/>
        </w:rPr>
        <w:t xml:space="preserve"> erred and misdirected itself by alleging that the appellant and his then co-accused were acting “in concert and common purpose” when the facts as contained in the charge sheet and state outline did not </w:t>
      </w:r>
      <w:r w:rsidR="007C718A">
        <w:rPr>
          <w:rFonts w:ascii="Times New Roman" w:hAnsi="Times New Roman" w:cs="Times New Roman"/>
          <w:sz w:val="24"/>
          <w:szCs w:val="24"/>
        </w:rPr>
        <w:t xml:space="preserve">support </w:t>
      </w:r>
      <w:r>
        <w:rPr>
          <w:rFonts w:ascii="Times New Roman" w:hAnsi="Times New Roman" w:cs="Times New Roman"/>
          <w:sz w:val="24"/>
          <w:szCs w:val="24"/>
        </w:rPr>
        <w:t>such a finding.</w:t>
      </w:r>
    </w:p>
    <w:p w:rsidR="00CB791B" w:rsidRDefault="00CB791B" w:rsidP="00F4247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CB791B">
        <w:rPr>
          <w:rFonts w:ascii="Times New Roman" w:hAnsi="Times New Roman" w:cs="Times New Roman"/>
          <w:i/>
          <w:sz w:val="24"/>
          <w:szCs w:val="24"/>
        </w:rPr>
        <w:t>a quo</w:t>
      </w:r>
      <w:r>
        <w:rPr>
          <w:rFonts w:ascii="Times New Roman" w:hAnsi="Times New Roman" w:cs="Times New Roman"/>
          <w:sz w:val="24"/>
          <w:szCs w:val="24"/>
        </w:rPr>
        <w:t xml:space="preserve"> erred and grossly misdirected itself by failing to explain to the appellant what it meant that the appellant and his co-accused were acting in concert and common purpose, “thereby convicting the appellant of robbery when the state outline did not support </w:t>
      </w:r>
      <w:r w:rsidR="00DB522F">
        <w:rPr>
          <w:rFonts w:ascii="Times New Roman" w:hAnsi="Times New Roman" w:cs="Times New Roman"/>
          <w:sz w:val="24"/>
          <w:szCs w:val="24"/>
        </w:rPr>
        <w:t>such a finding.”</w:t>
      </w:r>
    </w:p>
    <w:p w:rsidR="00A513A3" w:rsidRDefault="00A513A3" w:rsidP="00700A99">
      <w:pPr>
        <w:spacing w:after="0" w:line="360" w:lineRule="auto"/>
        <w:jc w:val="both"/>
        <w:rPr>
          <w:rFonts w:ascii="Times New Roman" w:hAnsi="Times New Roman" w:cs="Times New Roman"/>
          <w:sz w:val="24"/>
          <w:szCs w:val="24"/>
          <w:u w:val="single"/>
        </w:rPr>
      </w:pPr>
    </w:p>
    <w:p w:rsidR="00CB791B" w:rsidRPr="00700A99" w:rsidRDefault="00DB522F" w:rsidP="00700A99">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Ad</w:t>
      </w:r>
      <w:r w:rsidR="00CB791B" w:rsidRPr="00700A99">
        <w:rPr>
          <w:rFonts w:ascii="Times New Roman" w:hAnsi="Times New Roman" w:cs="Times New Roman"/>
          <w:sz w:val="24"/>
          <w:szCs w:val="24"/>
          <w:u w:val="single"/>
        </w:rPr>
        <w:t xml:space="preserve"> Sentence</w:t>
      </w:r>
    </w:p>
    <w:p w:rsidR="00CB791B" w:rsidRDefault="00CB791B" w:rsidP="00F4247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CB791B">
        <w:rPr>
          <w:rFonts w:ascii="Times New Roman" w:hAnsi="Times New Roman" w:cs="Times New Roman"/>
          <w:i/>
          <w:sz w:val="24"/>
          <w:szCs w:val="24"/>
        </w:rPr>
        <w:t>a quo</w:t>
      </w:r>
      <w:r>
        <w:rPr>
          <w:rFonts w:ascii="Times New Roman" w:hAnsi="Times New Roman" w:cs="Times New Roman"/>
          <w:sz w:val="24"/>
          <w:szCs w:val="24"/>
        </w:rPr>
        <w:t xml:space="preserve"> erred in imposing a lengthy sentence of imprisonment which induces a deep sense of shock and trauma in light of the circumstances of the offence.</w:t>
      </w:r>
    </w:p>
    <w:p w:rsidR="00CB791B" w:rsidRDefault="00CB791B" w:rsidP="00F4247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700A99">
        <w:rPr>
          <w:rFonts w:ascii="Times New Roman" w:hAnsi="Times New Roman" w:cs="Times New Roman"/>
          <w:i/>
          <w:sz w:val="24"/>
          <w:szCs w:val="24"/>
        </w:rPr>
        <w:t>a quo</w:t>
      </w:r>
      <w:r>
        <w:rPr>
          <w:rFonts w:ascii="Times New Roman" w:hAnsi="Times New Roman" w:cs="Times New Roman"/>
          <w:sz w:val="24"/>
          <w:szCs w:val="24"/>
        </w:rPr>
        <w:t xml:space="preserve"> erred and grossly misdirected itself in imposing a lengthy imprisonment sentence in circumstances </w:t>
      </w:r>
      <w:r w:rsidR="00DB522F">
        <w:rPr>
          <w:rFonts w:ascii="Times New Roman" w:hAnsi="Times New Roman" w:cs="Times New Roman"/>
          <w:sz w:val="24"/>
          <w:szCs w:val="24"/>
        </w:rPr>
        <w:t>where mitigating factors fa</w:t>
      </w:r>
      <w:r w:rsidR="00700A99">
        <w:rPr>
          <w:rFonts w:ascii="Times New Roman" w:hAnsi="Times New Roman" w:cs="Times New Roman"/>
          <w:sz w:val="24"/>
          <w:szCs w:val="24"/>
        </w:rPr>
        <w:t>r outweighed aggravating circumstances.</w:t>
      </w:r>
    </w:p>
    <w:p w:rsidR="00700A99" w:rsidRDefault="00700A99" w:rsidP="00F4247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700A99">
        <w:rPr>
          <w:rFonts w:ascii="Times New Roman" w:hAnsi="Times New Roman" w:cs="Times New Roman"/>
          <w:i/>
          <w:sz w:val="24"/>
          <w:szCs w:val="24"/>
        </w:rPr>
        <w:t>a quo</w:t>
      </w:r>
      <w:r>
        <w:rPr>
          <w:rFonts w:ascii="Times New Roman" w:hAnsi="Times New Roman" w:cs="Times New Roman"/>
          <w:sz w:val="24"/>
          <w:szCs w:val="24"/>
        </w:rPr>
        <w:t xml:space="preserve"> erred and grossly misdirected itself in overemphasizing the appropriateness and effectiveness of a lengthy imprisonment sentence without paying due regard to other </w:t>
      </w:r>
      <w:r w:rsidR="007C718A">
        <w:rPr>
          <w:rFonts w:ascii="Times New Roman" w:hAnsi="Times New Roman" w:cs="Times New Roman"/>
          <w:sz w:val="24"/>
          <w:szCs w:val="24"/>
        </w:rPr>
        <w:t>availa</w:t>
      </w:r>
      <w:r>
        <w:rPr>
          <w:rFonts w:ascii="Times New Roman" w:hAnsi="Times New Roman" w:cs="Times New Roman"/>
          <w:sz w:val="24"/>
          <w:szCs w:val="24"/>
        </w:rPr>
        <w:t>ble alternative sentences such as community service or fine in the circumstances of the matter.</w:t>
      </w:r>
    </w:p>
    <w:p w:rsidR="00700A99" w:rsidRDefault="00700A99" w:rsidP="00F4247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700A99">
        <w:rPr>
          <w:rFonts w:ascii="Times New Roman" w:hAnsi="Times New Roman" w:cs="Times New Roman"/>
          <w:i/>
          <w:sz w:val="24"/>
          <w:szCs w:val="24"/>
        </w:rPr>
        <w:t>a quo</w:t>
      </w:r>
      <w:r>
        <w:rPr>
          <w:rFonts w:ascii="Times New Roman" w:hAnsi="Times New Roman" w:cs="Times New Roman"/>
          <w:sz w:val="24"/>
          <w:szCs w:val="24"/>
        </w:rPr>
        <w:t xml:space="preserve"> erred and grossly misdirected itself in imposing a portion of sentence as rest</w:t>
      </w:r>
      <w:r w:rsidR="007C718A">
        <w:rPr>
          <w:rFonts w:ascii="Times New Roman" w:hAnsi="Times New Roman" w:cs="Times New Roman"/>
          <w:sz w:val="24"/>
          <w:szCs w:val="24"/>
        </w:rPr>
        <w:t>itution of a value which was not</w:t>
      </w:r>
      <w:r>
        <w:rPr>
          <w:rFonts w:ascii="Times New Roman" w:hAnsi="Times New Roman" w:cs="Times New Roman"/>
          <w:sz w:val="24"/>
          <w:szCs w:val="24"/>
        </w:rPr>
        <w:t xml:space="preserve"> supported by the facts or record of proceedings.</w:t>
      </w:r>
    </w:p>
    <w:p w:rsidR="00A513A3" w:rsidRDefault="00A513A3" w:rsidP="00700A99">
      <w:pPr>
        <w:spacing w:after="0" w:line="360" w:lineRule="auto"/>
        <w:jc w:val="both"/>
        <w:rPr>
          <w:rFonts w:ascii="Times New Roman" w:hAnsi="Times New Roman" w:cs="Times New Roman"/>
          <w:sz w:val="24"/>
          <w:szCs w:val="24"/>
          <w:u w:val="single"/>
        </w:rPr>
      </w:pPr>
    </w:p>
    <w:p w:rsidR="00700A99" w:rsidRPr="00700A99" w:rsidRDefault="00700A99" w:rsidP="00700A99">
      <w:pPr>
        <w:spacing w:after="0" w:line="360" w:lineRule="auto"/>
        <w:jc w:val="both"/>
        <w:rPr>
          <w:rFonts w:ascii="Times New Roman" w:hAnsi="Times New Roman" w:cs="Times New Roman"/>
          <w:sz w:val="24"/>
          <w:szCs w:val="24"/>
          <w:u w:val="single"/>
        </w:rPr>
      </w:pPr>
      <w:r w:rsidRPr="00700A99">
        <w:rPr>
          <w:rFonts w:ascii="Times New Roman" w:hAnsi="Times New Roman" w:cs="Times New Roman"/>
          <w:sz w:val="24"/>
          <w:szCs w:val="24"/>
          <w:u w:val="single"/>
        </w:rPr>
        <w:t>Issues for determination</w:t>
      </w:r>
    </w:p>
    <w:p w:rsidR="00700A99" w:rsidRDefault="00700A99" w:rsidP="00700A9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court </w:t>
      </w:r>
      <w:r w:rsidRPr="00CA131E">
        <w:rPr>
          <w:rFonts w:ascii="Times New Roman" w:hAnsi="Times New Roman" w:cs="Times New Roman"/>
          <w:i/>
          <w:sz w:val="24"/>
          <w:szCs w:val="24"/>
        </w:rPr>
        <w:t>a quo</w:t>
      </w:r>
      <w:r>
        <w:rPr>
          <w:rFonts w:ascii="Times New Roman" w:hAnsi="Times New Roman" w:cs="Times New Roman"/>
          <w:sz w:val="24"/>
          <w:szCs w:val="24"/>
        </w:rPr>
        <w:t xml:space="preserve"> </w:t>
      </w:r>
      <w:r w:rsidR="00CA131E">
        <w:rPr>
          <w:rFonts w:ascii="Times New Roman" w:hAnsi="Times New Roman" w:cs="Times New Roman"/>
          <w:sz w:val="24"/>
          <w:szCs w:val="24"/>
        </w:rPr>
        <w:t>covered and put the appropriate essential elements of Robbery to the appellant?</w:t>
      </w:r>
    </w:p>
    <w:p w:rsidR="00CA131E" w:rsidRDefault="00CA131E" w:rsidP="00700A9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conviction of the appellant was proper?</w:t>
      </w:r>
    </w:p>
    <w:p w:rsidR="00CA131E" w:rsidRDefault="00CA131E" w:rsidP="00CA131E">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As regards sentence</w:t>
      </w:r>
      <w:r w:rsidR="00DC5679">
        <w:rPr>
          <w:rFonts w:ascii="Times New Roman" w:hAnsi="Times New Roman" w:cs="Times New Roman"/>
          <w:sz w:val="24"/>
          <w:szCs w:val="24"/>
        </w:rPr>
        <w:t>.</w:t>
      </w:r>
    </w:p>
    <w:p w:rsidR="00CA131E" w:rsidRDefault="00CA131E" w:rsidP="00700A9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Whether the sentence passed by the court </w:t>
      </w:r>
      <w:r w:rsidRPr="00CA131E">
        <w:rPr>
          <w:rFonts w:ascii="Times New Roman" w:hAnsi="Times New Roman" w:cs="Times New Roman"/>
          <w:i/>
          <w:sz w:val="24"/>
          <w:szCs w:val="24"/>
        </w:rPr>
        <w:t>a quo</w:t>
      </w:r>
      <w:r>
        <w:rPr>
          <w:rFonts w:ascii="Times New Roman" w:hAnsi="Times New Roman" w:cs="Times New Roman"/>
          <w:sz w:val="24"/>
          <w:szCs w:val="24"/>
        </w:rPr>
        <w:t xml:space="preserve"> should be interfered with?</w:t>
      </w:r>
    </w:p>
    <w:p w:rsidR="00A513A3" w:rsidRDefault="00A513A3" w:rsidP="00CA131E">
      <w:pPr>
        <w:spacing w:after="0" w:line="360" w:lineRule="auto"/>
        <w:jc w:val="both"/>
        <w:rPr>
          <w:rFonts w:ascii="Times New Roman" w:hAnsi="Times New Roman" w:cs="Times New Roman"/>
          <w:sz w:val="24"/>
          <w:szCs w:val="24"/>
          <w:u w:val="single"/>
        </w:rPr>
      </w:pPr>
    </w:p>
    <w:p w:rsidR="00CA131E" w:rsidRPr="00CA131E" w:rsidRDefault="00CA131E" w:rsidP="00CA131E">
      <w:pPr>
        <w:spacing w:after="0" w:line="360" w:lineRule="auto"/>
        <w:jc w:val="both"/>
        <w:rPr>
          <w:rFonts w:ascii="Times New Roman" w:hAnsi="Times New Roman" w:cs="Times New Roman"/>
          <w:sz w:val="24"/>
          <w:szCs w:val="24"/>
          <w:u w:val="single"/>
        </w:rPr>
      </w:pPr>
      <w:r w:rsidRPr="00CA131E">
        <w:rPr>
          <w:rFonts w:ascii="Times New Roman" w:hAnsi="Times New Roman" w:cs="Times New Roman"/>
          <w:sz w:val="24"/>
          <w:szCs w:val="24"/>
          <w:u w:val="single"/>
        </w:rPr>
        <w:t>Submissions by the parties</w:t>
      </w:r>
    </w:p>
    <w:p w:rsidR="00CA131E" w:rsidRDefault="00CA131E" w:rsidP="00CA131E">
      <w:pPr>
        <w:spacing w:after="0" w:line="360" w:lineRule="auto"/>
        <w:ind w:firstLine="720"/>
        <w:jc w:val="both"/>
        <w:rPr>
          <w:rFonts w:ascii="Times New Roman" w:hAnsi="Times New Roman" w:cs="Times New Roman"/>
          <w:sz w:val="24"/>
          <w:szCs w:val="24"/>
        </w:rPr>
      </w:pPr>
      <w:r w:rsidRPr="00CA131E">
        <w:rPr>
          <w:rFonts w:ascii="Times New Roman" w:hAnsi="Times New Roman" w:cs="Times New Roman"/>
          <w:sz w:val="24"/>
          <w:szCs w:val="24"/>
        </w:rPr>
        <w:t xml:space="preserve">On the date of hearing </w:t>
      </w:r>
      <w:r>
        <w:rPr>
          <w:rFonts w:ascii="Times New Roman" w:hAnsi="Times New Roman" w:cs="Times New Roman"/>
          <w:sz w:val="24"/>
          <w:szCs w:val="24"/>
        </w:rPr>
        <w:t xml:space="preserve">Mr </w:t>
      </w:r>
      <w:r w:rsidRPr="00CA131E">
        <w:rPr>
          <w:rFonts w:ascii="Times New Roman" w:hAnsi="Times New Roman" w:cs="Times New Roman"/>
          <w:i/>
          <w:sz w:val="24"/>
          <w:szCs w:val="24"/>
        </w:rPr>
        <w:t>Mukwena</w:t>
      </w:r>
      <w:r>
        <w:rPr>
          <w:rFonts w:ascii="Times New Roman" w:hAnsi="Times New Roman" w:cs="Times New Roman"/>
          <w:sz w:val="24"/>
          <w:szCs w:val="24"/>
        </w:rPr>
        <w:t xml:space="preserve"> who appeared for the appellant submitted that by and large he was going to abide by heads of argument filed of record. He further added that the facts adduced by the state on its precis did not disclose an offence of robbery in respect of the appellant. He contended that for it to amount to robbery, there must be an actual intent to deprive complainant of her property. There was therefore no need for the court to consider common purpose. Appellant did not set out to rob complainant, the dispute was over a business territory where complainant was </w:t>
      </w:r>
      <w:r w:rsidR="00767533">
        <w:rPr>
          <w:rFonts w:ascii="Times New Roman" w:hAnsi="Times New Roman" w:cs="Times New Roman"/>
          <w:sz w:val="24"/>
          <w:szCs w:val="24"/>
        </w:rPr>
        <w:t>looking for potential clients. Appellant’s coun</w:t>
      </w:r>
      <w:r w:rsidR="007C718A">
        <w:rPr>
          <w:rFonts w:ascii="Times New Roman" w:hAnsi="Times New Roman" w:cs="Times New Roman"/>
          <w:sz w:val="24"/>
          <w:szCs w:val="24"/>
        </w:rPr>
        <w:t>sel went on to argue that the me</w:t>
      </w:r>
      <w:r w:rsidR="00767533">
        <w:rPr>
          <w:rFonts w:ascii="Times New Roman" w:hAnsi="Times New Roman" w:cs="Times New Roman"/>
          <w:sz w:val="24"/>
          <w:szCs w:val="24"/>
        </w:rPr>
        <w:t>re collusion of appellant and his co-accused was not adequate to find him liable for the crime of robbery. Appellant did not assist in taking the money and the trial court ought to have assisted appellant to understand the charge by putting the essential elements for the charge of robbery. The least that can be said about the appellant’s liability was that of assault, it was submitted and appellant’s contention is that appellant did not p</w:t>
      </w:r>
      <w:r w:rsidR="007C718A">
        <w:rPr>
          <w:rFonts w:ascii="Times New Roman" w:hAnsi="Times New Roman" w:cs="Times New Roman"/>
          <w:sz w:val="24"/>
          <w:szCs w:val="24"/>
        </w:rPr>
        <w:t>erceive that his accomplice would</w:t>
      </w:r>
      <w:r w:rsidR="00767533">
        <w:rPr>
          <w:rFonts w:ascii="Times New Roman" w:hAnsi="Times New Roman" w:cs="Times New Roman"/>
          <w:sz w:val="24"/>
          <w:szCs w:val="24"/>
        </w:rPr>
        <w:t xml:space="preserve"> decide to take complainant’s money, hence appellant did not formulate an intention to take complainant’s belongings.</w:t>
      </w:r>
    </w:p>
    <w:p w:rsidR="00767533" w:rsidRDefault="00767533" w:rsidP="00CA13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made a further submission about the doctrine of common purpose. According to appellant’s counsel the key question is whether appellant and his accomplice embarked on a </w:t>
      </w:r>
      <w:r w:rsidR="007C718A">
        <w:rPr>
          <w:rFonts w:ascii="Times New Roman" w:hAnsi="Times New Roman" w:cs="Times New Roman"/>
          <w:sz w:val="24"/>
          <w:szCs w:val="24"/>
        </w:rPr>
        <w:t>joint</w:t>
      </w:r>
      <w:r w:rsidR="00D6638E">
        <w:rPr>
          <w:rFonts w:ascii="Times New Roman" w:hAnsi="Times New Roman" w:cs="Times New Roman"/>
          <w:sz w:val="24"/>
          <w:szCs w:val="24"/>
        </w:rPr>
        <w:t xml:space="preserve"> mission to use violence to deprive the complainant of her money. Appellant admits to the assaulting but distances himself from the taking of the money. Appellant submitted that he was alive to s 196 A of the criminal Law (Codification and Reform) Act, </w:t>
      </w:r>
      <w:r w:rsidR="00DC5679">
        <w:rPr>
          <w:rFonts w:ascii="Times New Roman" w:hAnsi="Times New Roman" w:cs="Times New Roman"/>
          <w:sz w:val="24"/>
          <w:szCs w:val="24"/>
        </w:rPr>
        <w:t>(</w:t>
      </w:r>
      <w:r w:rsidR="00D6638E" w:rsidRPr="00D6638E">
        <w:rPr>
          <w:rFonts w:ascii="Times New Roman" w:hAnsi="Times New Roman" w:cs="Times New Roman"/>
          <w:i/>
          <w:sz w:val="24"/>
          <w:szCs w:val="24"/>
        </w:rPr>
        <w:t>supra</w:t>
      </w:r>
      <w:r w:rsidR="00DC5679">
        <w:rPr>
          <w:rFonts w:ascii="Times New Roman" w:hAnsi="Times New Roman" w:cs="Times New Roman"/>
          <w:i/>
          <w:sz w:val="24"/>
          <w:szCs w:val="24"/>
        </w:rPr>
        <w:t>)</w:t>
      </w:r>
      <w:r w:rsidR="00D6638E">
        <w:rPr>
          <w:rFonts w:ascii="Times New Roman" w:hAnsi="Times New Roman" w:cs="Times New Roman"/>
          <w:sz w:val="24"/>
          <w:szCs w:val="24"/>
        </w:rPr>
        <w:t xml:space="preserve"> which deals with common purpose but in this case appellant never formulated the intention to commit robbery which is the resultant offence. The affirmative answers during the plea proceedings were to the appellant erroneous and should not be relied upon, particularly when the appellant was not legally represented. The court </w:t>
      </w:r>
      <w:r w:rsidR="00D6638E" w:rsidRPr="00D6638E">
        <w:rPr>
          <w:rFonts w:ascii="Times New Roman" w:hAnsi="Times New Roman" w:cs="Times New Roman"/>
          <w:i/>
          <w:sz w:val="24"/>
          <w:szCs w:val="24"/>
        </w:rPr>
        <w:t>a quo</w:t>
      </w:r>
      <w:r w:rsidR="00D6638E">
        <w:rPr>
          <w:rFonts w:ascii="Times New Roman" w:hAnsi="Times New Roman" w:cs="Times New Roman"/>
          <w:sz w:val="24"/>
          <w:szCs w:val="24"/>
        </w:rPr>
        <w:t xml:space="preserve"> failed to explain to the appellant the meaning of “common purpose and concert” it was averred on behalf of the appellant and that misdirection by the trial court led to a wrong conviction. Counsel for the appellant cited the matter of </w:t>
      </w:r>
      <w:r w:rsidR="00D6638E" w:rsidRPr="00D6638E">
        <w:rPr>
          <w:rFonts w:ascii="Times New Roman" w:hAnsi="Times New Roman" w:cs="Times New Roman"/>
          <w:i/>
          <w:sz w:val="24"/>
          <w:szCs w:val="24"/>
        </w:rPr>
        <w:t>Simbarashe Moyo</w:t>
      </w:r>
      <w:r w:rsidR="00D6638E">
        <w:rPr>
          <w:rFonts w:ascii="Times New Roman" w:hAnsi="Times New Roman" w:cs="Times New Roman"/>
          <w:sz w:val="24"/>
          <w:szCs w:val="24"/>
        </w:rPr>
        <w:t xml:space="preserve"> v </w:t>
      </w:r>
      <w:r w:rsidR="00D6638E" w:rsidRPr="00D6638E">
        <w:rPr>
          <w:rFonts w:ascii="Times New Roman" w:hAnsi="Times New Roman" w:cs="Times New Roman"/>
          <w:i/>
          <w:sz w:val="24"/>
          <w:szCs w:val="24"/>
        </w:rPr>
        <w:t>The State</w:t>
      </w:r>
      <w:r w:rsidR="00D6638E">
        <w:rPr>
          <w:rFonts w:ascii="Times New Roman" w:hAnsi="Times New Roman" w:cs="Times New Roman"/>
          <w:i/>
          <w:sz w:val="24"/>
          <w:szCs w:val="24"/>
        </w:rPr>
        <w:t xml:space="preserve"> </w:t>
      </w:r>
      <w:r w:rsidR="00D6638E">
        <w:rPr>
          <w:rStyle w:val="FootnoteReference"/>
          <w:rFonts w:ascii="Times New Roman" w:hAnsi="Times New Roman" w:cs="Times New Roman"/>
          <w:i/>
          <w:sz w:val="24"/>
          <w:szCs w:val="24"/>
        </w:rPr>
        <w:footnoteReference w:id="1"/>
      </w:r>
      <w:r w:rsidR="00533C74" w:rsidRPr="00533C74">
        <w:rPr>
          <w:rFonts w:ascii="Times New Roman" w:hAnsi="Times New Roman" w:cs="Times New Roman"/>
          <w:sz w:val="24"/>
          <w:szCs w:val="24"/>
        </w:rPr>
        <w:t xml:space="preserve">which </w:t>
      </w:r>
      <w:r w:rsidR="00533C74">
        <w:rPr>
          <w:rFonts w:ascii="Times New Roman" w:hAnsi="Times New Roman" w:cs="Times New Roman"/>
          <w:sz w:val="24"/>
          <w:szCs w:val="24"/>
        </w:rPr>
        <w:t>emphasizes the need by a court to explain all the elements of the c</w:t>
      </w:r>
      <w:r w:rsidR="007C718A">
        <w:rPr>
          <w:rFonts w:ascii="Times New Roman" w:hAnsi="Times New Roman" w:cs="Times New Roman"/>
          <w:sz w:val="24"/>
          <w:szCs w:val="24"/>
        </w:rPr>
        <w:t>harge so that one is left in</w:t>
      </w:r>
      <w:r w:rsidR="00533C74">
        <w:rPr>
          <w:rFonts w:ascii="Times New Roman" w:hAnsi="Times New Roman" w:cs="Times New Roman"/>
          <w:sz w:val="24"/>
          <w:szCs w:val="24"/>
        </w:rPr>
        <w:t xml:space="preserve"> doubt whether an unrepresented accused correctly admitted </w:t>
      </w:r>
      <w:r w:rsidR="00533C74">
        <w:rPr>
          <w:rFonts w:ascii="Times New Roman" w:hAnsi="Times New Roman" w:cs="Times New Roman"/>
          <w:sz w:val="24"/>
          <w:szCs w:val="24"/>
        </w:rPr>
        <w:lastRenderedPageBreak/>
        <w:t xml:space="preserve">the essential elements of the offence. It was submitted by the appellant </w:t>
      </w:r>
      <w:r w:rsidR="007C718A">
        <w:rPr>
          <w:rFonts w:ascii="Times New Roman" w:hAnsi="Times New Roman" w:cs="Times New Roman"/>
          <w:sz w:val="24"/>
          <w:szCs w:val="24"/>
        </w:rPr>
        <w:t xml:space="preserve">that </w:t>
      </w:r>
      <w:r w:rsidR="00533C74">
        <w:rPr>
          <w:rFonts w:ascii="Times New Roman" w:hAnsi="Times New Roman" w:cs="Times New Roman"/>
          <w:sz w:val="24"/>
          <w:szCs w:val="24"/>
        </w:rPr>
        <w:t xml:space="preserve">the court </w:t>
      </w:r>
      <w:r w:rsidR="00533C74" w:rsidRPr="00533C74">
        <w:rPr>
          <w:rFonts w:ascii="Times New Roman" w:hAnsi="Times New Roman" w:cs="Times New Roman"/>
          <w:i/>
          <w:sz w:val="24"/>
          <w:szCs w:val="24"/>
        </w:rPr>
        <w:t>a</w:t>
      </w:r>
      <w:r w:rsidR="00533C74">
        <w:rPr>
          <w:rFonts w:ascii="Times New Roman" w:hAnsi="Times New Roman" w:cs="Times New Roman"/>
          <w:sz w:val="24"/>
          <w:szCs w:val="24"/>
        </w:rPr>
        <w:t xml:space="preserve"> </w:t>
      </w:r>
      <w:r w:rsidR="00533C74" w:rsidRPr="00533C74">
        <w:rPr>
          <w:rFonts w:ascii="Times New Roman" w:hAnsi="Times New Roman" w:cs="Times New Roman"/>
          <w:i/>
          <w:sz w:val="24"/>
          <w:szCs w:val="24"/>
        </w:rPr>
        <w:t>quo</w:t>
      </w:r>
      <w:r w:rsidR="00533C74">
        <w:rPr>
          <w:rFonts w:ascii="Times New Roman" w:hAnsi="Times New Roman" w:cs="Times New Roman"/>
          <w:sz w:val="24"/>
          <w:szCs w:val="24"/>
        </w:rPr>
        <w:t xml:space="preserve"> failed to sufficiently extrapolate the meaning of common purpose and as such s 196</w:t>
      </w:r>
      <w:r w:rsidR="00D343FF">
        <w:rPr>
          <w:rFonts w:ascii="Times New Roman" w:hAnsi="Times New Roman" w:cs="Times New Roman"/>
          <w:sz w:val="24"/>
          <w:szCs w:val="24"/>
        </w:rPr>
        <w:t xml:space="preserve"> </w:t>
      </w:r>
      <w:r w:rsidR="00533C74">
        <w:rPr>
          <w:rFonts w:ascii="Times New Roman" w:hAnsi="Times New Roman" w:cs="Times New Roman"/>
          <w:sz w:val="24"/>
          <w:szCs w:val="24"/>
        </w:rPr>
        <w:t>A of the Code could not be applied in this case. Appellant prayed for an acquittal.</w:t>
      </w:r>
    </w:p>
    <w:p w:rsidR="00533C74" w:rsidRDefault="00533C74" w:rsidP="00CA13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sentence</w:t>
      </w:r>
      <w:r w:rsidR="000B2A87">
        <w:rPr>
          <w:rFonts w:ascii="Times New Roman" w:hAnsi="Times New Roman" w:cs="Times New Roman"/>
          <w:sz w:val="24"/>
          <w:szCs w:val="24"/>
        </w:rPr>
        <w:t xml:space="preserve">, it was submitted on behalf of the appellant that he pleaded guilty thereby showing contrition, he was a first offender, youthful offender being 19 years of age. Complainant did not sustain serious injuries and a sentence of 5 years with portions </w:t>
      </w:r>
      <w:r w:rsidR="007C718A">
        <w:rPr>
          <w:rFonts w:ascii="Times New Roman" w:hAnsi="Times New Roman" w:cs="Times New Roman"/>
          <w:sz w:val="24"/>
          <w:szCs w:val="24"/>
        </w:rPr>
        <w:t xml:space="preserve">suspended </w:t>
      </w:r>
      <w:r w:rsidR="000B2A87">
        <w:rPr>
          <w:rFonts w:ascii="Times New Roman" w:hAnsi="Times New Roman" w:cs="Times New Roman"/>
          <w:sz w:val="24"/>
          <w:szCs w:val="24"/>
        </w:rPr>
        <w:t xml:space="preserve">induces a sense of shock. The trial court, it was added, did not sufficiently give credit to the plea of guilty proffered by the appellant more particularly in the ultimate sentence it subsequently passed. Counsel for the appellant cited the case of </w:t>
      </w:r>
      <w:r w:rsidR="000B2A87" w:rsidRPr="00400295">
        <w:rPr>
          <w:rFonts w:ascii="Times New Roman" w:hAnsi="Times New Roman" w:cs="Times New Roman"/>
          <w:i/>
          <w:sz w:val="24"/>
          <w:szCs w:val="24"/>
        </w:rPr>
        <w:t>S</w:t>
      </w:r>
      <w:r w:rsidR="000B2A87">
        <w:rPr>
          <w:rFonts w:ascii="Times New Roman" w:hAnsi="Times New Roman" w:cs="Times New Roman"/>
          <w:sz w:val="24"/>
          <w:szCs w:val="24"/>
        </w:rPr>
        <w:t xml:space="preserve"> v </w:t>
      </w:r>
      <w:r w:rsidR="000B2A87" w:rsidRPr="000B2A87">
        <w:rPr>
          <w:rFonts w:ascii="Times New Roman" w:hAnsi="Times New Roman" w:cs="Times New Roman"/>
          <w:i/>
          <w:sz w:val="24"/>
          <w:szCs w:val="24"/>
        </w:rPr>
        <w:t>Buka</w:t>
      </w:r>
      <w:r w:rsidR="000B2A87">
        <w:rPr>
          <w:rFonts w:ascii="Times New Roman" w:hAnsi="Times New Roman" w:cs="Times New Roman"/>
          <w:sz w:val="24"/>
          <w:szCs w:val="24"/>
        </w:rPr>
        <w:t xml:space="preserve"> </w:t>
      </w:r>
      <w:r w:rsidR="000B2A87">
        <w:rPr>
          <w:rStyle w:val="FootnoteReference"/>
          <w:rFonts w:ascii="Times New Roman" w:hAnsi="Times New Roman" w:cs="Times New Roman"/>
          <w:sz w:val="24"/>
          <w:szCs w:val="24"/>
        </w:rPr>
        <w:footnoteReference w:id="2"/>
      </w:r>
      <w:r w:rsidR="000B2A87">
        <w:rPr>
          <w:rFonts w:ascii="Times New Roman" w:hAnsi="Times New Roman" w:cs="Times New Roman"/>
          <w:sz w:val="24"/>
          <w:szCs w:val="24"/>
        </w:rPr>
        <w:t xml:space="preserve">, </w:t>
      </w:r>
      <w:r w:rsidR="000B2A87" w:rsidRPr="000B2A87">
        <w:rPr>
          <w:rFonts w:ascii="Times New Roman" w:hAnsi="Times New Roman" w:cs="Times New Roman"/>
          <w:i/>
          <w:sz w:val="24"/>
          <w:szCs w:val="24"/>
        </w:rPr>
        <w:t>Felix Madembo</w:t>
      </w:r>
      <w:r w:rsidR="000B2A87">
        <w:rPr>
          <w:rFonts w:ascii="Times New Roman" w:hAnsi="Times New Roman" w:cs="Times New Roman"/>
          <w:sz w:val="24"/>
          <w:szCs w:val="24"/>
        </w:rPr>
        <w:t xml:space="preserve"> </w:t>
      </w:r>
      <w:r w:rsidR="000B2A87" w:rsidRPr="000B2A87">
        <w:rPr>
          <w:rFonts w:ascii="Times New Roman" w:hAnsi="Times New Roman" w:cs="Times New Roman"/>
          <w:i/>
          <w:sz w:val="24"/>
          <w:szCs w:val="24"/>
        </w:rPr>
        <w:t>and Anor</w:t>
      </w:r>
      <w:r w:rsidR="000B2A87">
        <w:rPr>
          <w:rFonts w:ascii="Times New Roman" w:hAnsi="Times New Roman" w:cs="Times New Roman"/>
          <w:sz w:val="24"/>
          <w:szCs w:val="24"/>
        </w:rPr>
        <w:t xml:space="preserve"> v </w:t>
      </w:r>
      <w:r w:rsidR="000B2A87" w:rsidRPr="000B2A87">
        <w:rPr>
          <w:rFonts w:ascii="Times New Roman" w:hAnsi="Times New Roman" w:cs="Times New Roman"/>
          <w:i/>
          <w:sz w:val="24"/>
          <w:szCs w:val="24"/>
        </w:rPr>
        <w:t>The State</w:t>
      </w:r>
      <w:r w:rsidR="00AA1615">
        <w:rPr>
          <w:rStyle w:val="FootnoteReference"/>
          <w:rFonts w:ascii="Times New Roman" w:hAnsi="Times New Roman" w:cs="Times New Roman"/>
          <w:sz w:val="24"/>
          <w:szCs w:val="24"/>
        </w:rPr>
        <w:footnoteReference w:id="3"/>
      </w:r>
      <w:r w:rsidR="00400295">
        <w:rPr>
          <w:rFonts w:ascii="Times New Roman" w:hAnsi="Times New Roman" w:cs="Times New Roman"/>
          <w:i/>
          <w:sz w:val="24"/>
          <w:szCs w:val="24"/>
        </w:rPr>
        <w:t xml:space="preserve"> </w:t>
      </w:r>
      <w:r w:rsidR="000B2A87">
        <w:rPr>
          <w:rFonts w:ascii="Times New Roman" w:hAnsi="Times New Roman" w:cs="Times New Roman"/>
          <w:sz w:val="24"/>
          <w:szCs w:val="24"/>
        </w:rPr>
        <w:t xml:space="preserve">where it was re-emphasized that a sentencing court should factor in all mitigatory factors before passing an appropriate sentence and there is need for this court to interfere with the court </w:t>
      </w:r>
      <w:r w:rsidR="000B2A87" w:rsidRPr="000B2A87">
        <w:rPr>
          <w:rFonts w:ascii="Times New Roman" w:hAnsi="Times New Roman" w:cs="Times New Roman"/>
          <w:i/>
          <w:sz w:val="24"/>
          <w:szCs w:val="24"/>
        </w:rPr>
        <w:t>a quo</w:t>
      </w:r>
      <w:r w:rsidR="00400295">
        <w:rPr>
          <w:rFonts w:ascii="Times New Roman" w:hAnsi="Times New Roman" w:cs="Times New Roman"/>
          <w:sz w:val="24"/>
          <w:szCs w:val="24"/>
        </w:rPr>
        <w:t>’</w:t>
      </w:r>
      <w:r w:rsidR="000B2A87">
        <w:rPr>
          <w:rFonts w:ascii="Times New Roman" w:hAnsi="Times New Roman" w:cs="Times New Roman"/>
          <w:sz w:val="24"/>
          <w:szCs w:val="24"/>
        </w:rPr>
        <w:t>s sentencing discretion</w:t>
      </w:r>
      <w:r w:rsidR="00AA1615">
        <w:rPr>
          <w:rFonts w:ascii="Times New Roman" w:hAnsi="Times New Roman" w:cs="Times New Roman"/>
          <w:sz w:val="24"/>
          <w:szCs w:val="24"/>
        </w:rPr>
        <w:t>.</w:t>
      </w:r>
      <w:r w:rsidR="00AA1615">
        <w:rPr>
          <w:rStyle w:val="FootnoteReference"/>
          <w:rFonts w:ascii="Times New Roman" w:hAnsi="Times New Roman" w:cs="Times New Roman"/>
          <w:sz w:val="24"/>
          <w:szCs w:val="24"/>
        </w:rPr>
        <w:footnoteReference w:id="4"/>
      </w:r>
      <w:r w:rsidR="00AA1615">
        <w:rPr>
          <w:rFonts w:ascii="Times New Roman" w:hAnsi="Times New Roman" w:cs="Times New Roman"/>
          <w:sz w:val="24"/>
          <w:szCs w:val="24"/>
        </w:rPr>
        <w:t xml:space="preserve"> The appellant further added that the order of restitution was not su</w:t>
      </w:r>
      <w:r w:rsidR="007C718A">
        <w:rPr>
          <w:rFonts w:ascii="Times New Roman" w:hAnsi="Times New Roman" w:cs="Times New Roman"/>
          <w:sz w:val="24"/>
          <w:szCs w:val="24"/>
        </w:rPr>
        <w:t xml:space="preserve">pported by the facts </w:t>
      </w:r>
      <w:r w:rsidR="00AA1615">
        <w:rPr>
          <w:rFonts w:ascii="Times New Roman" w:hAnsi="Times New Roman" w:cs="Times New Roman"/>
          <w:sz w:val="24"/>
          <w:szCs w:val="24"/>
        </w:rPr>
        <w:t>or record of proceedings. So the court was urged to set aside an order for restitution.</w:t>
      </w:r>
    </w:p>
    <w:p w:rsidR="00AA1615" w:rsidRDefault="00AA1615" w:rsidP="00CA13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contrary the import of the respondent’s heads is that the court </w:t>
      </w:r>
      <w:r w:rsidRPr="00AA1615">
        <w:rPr>
          <w:rFonts w:ascii="Times New Roman" w:hAnsi="Times New Roman" w:cs="Times New Roman"/>
          <w:i/>
          <w:sz w:val="24"/>
          <w:szCs w:val="24"/>
        </w:rPr>
        <w:t>a quo</w:t>
      </w:r>
      <w:r>
        <w:rPr>
          <w:rFonts w:ascii="Times New Roman" w:hAnsi="Times New Roman" w:cs="Times New Roman"/>
          <w:sz w:val="24"/>
          <w:szCs w:val="24"/>
        </w:rPr>
        <w:t xml:space="preserve"> did not err Mr </w:t>
      </w:r>
      <w:r w:rsidRPr="00AA1615">
        <w:rPr>
          <w:rFonts w:ascii="Times New Roman" w:hAnsi="Times New Roman" w:cs="Times New Roman"/>
          <w:i/>
          <w:sz w:val="24"/>
          <w:szCs w:val="24"/>
        </w:rPr>
        <w:t>Musarurwa</w:t>
      </w:r>
      <w:r>
        <w:rPr>
          <w:rFonts w:ascii="Times New Roman" w:hAnsi="Times New Roman" w:cs="Times New Roman"/>
          <w:sz w:val="24"/>
          <w:szCs w:val="24"/>
        </w:rPr>
        <w:t xml:space="preserve"> for the respondent contends that the learned magistrate canvassed all the essential elements before convicting the appellant. The sentence was appropriate and in accordance with real and substantial justice. In principle the state’s view is that there is nothing on record of proceedings warranting interference by an appeal court on the sentencing discretion of the lower court. The state is praying for the dismissal of the appeal in its entirety.</w:t>
      </w:r>
    </w:p>
    <w:p w:rsidR="00A513A3" w:rsidRDefault="00A513A3" w:rsidP="005A536F">
      <w:pPr>
        <w:spacing w:after="0" w:line="360" w:lineRule="auto"/>
        <w:jc w:val="both"/>
        <w:rPr>
          <w:rFonts w:ascii="Times New Roman" w:hAnsi="Times New Roman" w:cs="Times New Roman"/>
          <w:sz w:val="24"/>
          <w:szCs w:val="24"/>
          <w:u w:val="single"/>
        </w:rPr>
      </w:pPr>
    </w:p>
    <w:p w:rsidR="00AA1615" w:rsidRPr="005A536F" w:rsidRDefault="00AA1615" w:rsidP="005A536F">
      <w:pPr>
        <w:spacing w:after="0" w:line="360" w:lineRule="auto"/>
        <w:jc w:val="both"/>
        <w:rPr>
          <w:rFonts w:ascii="Times New Roman" w:hAnsi="Times New Roman" w:cs="Times New Roman"/>
          <w:sz w:val="24"/>
          <w:szCs w:val="24"/>
          <w:u w:val="single"/>
        </w:rPr>
      </w:pPr>
      <w:r w:rsidRPr="005A536F">
        <w:rPr>
          <w:rFonts w:ascii="Times New Roman" w:hAnsi="Times New Roman" w:cs="Times New Roman"/>
          <w:sz w:val="24"/>
          <w:szCs w:val="24"/>
          <w:u w:val="single"/>
        </w:rPr>
        <w:t xml:space="preserve">The law </w:t>
      </w:r>
    </w:p>
    <w:p w:rsidR="00AA1615" w:rsidRDefault="005A536F" w:rsidP="00CA13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law imposes a positive duty on the presiding magistrate when recording a plea of guilty to ensure that the right</w:t>
      </w:r>
      <w:r w:rsidR="007C718A">
        <w:rPr>
          <w:rFonts w:ascii="Times New Roman" w:hAnsi="Times New Roman" w:cs="Times New Roman"/>
          <w:sz w:val="24"/>
          <w:szCs w:val="24"/>
        </w:rPr>
        <w:t>s</w:t>
      </w:r>
      <w:r>
        <w:rPr>
          <w:rFonts w:ascii="Times New Roman" w:hAnsi="Times New Roman" w:cs="Times New Roman"/>
          <w:sz w:val="24"/>
          <w:szCs w:val="24"/>
        </w:rPr>
        <w:t xml:space="preserve"> of such person</w:t>
      </w:r>
      <w:r w:rsidR="007C718A">
        <w:rPr>
          <w:rFonts w:ascii="Times New Roman" w:hAnsi="Times New Roman" w:cs="Times New Roman"/>
          <w:sz w:val="24"/>
          <w:szCs w:val="24"/>
        </w:rPr>
        <w:t>s</w:t>
      </w:r>
      <w:r>
        <w:rPr>
          <w:rFonts w:ascii="Times New Roman" w:hAnsi="Times New Roman" w:cs="Times New Roman"/>
          <w:sz w:val="24"/>
          <w:szCs w:val="24"/>
        </w:rPr>
        <w:t xml:space="preserve"> are carefully protected, respected and upheld. Where the court decides to proceed in terms of s 271 (2)(b) of the Criminal Procedure and Evidence Act, the essential elements must be explained in such a way as is calculated to inform the accused of the nature of the charge in sufficient clarity and detail as will suggest to him, in his knowledge of the matter, whether he has a defence to offer.</w:t>
      </w:r>
      <w:r>
        <w:rPr>
          <w:rStyle w:val="FootnoteReference"/>
          <w:rFonts w:ascii="Times New Roman" w:hAnsi="Times New Roman" w:cs="Times New Roman"/>
          <w:sz w:val="24"/>
          <w:szCs w:val="24"/>
        </w:rPr>
        <w:footnoteReference w:id="5"/>
      </w:r>
    </w:p>
    <w:p w:rsidR="005A536F" w:rsidRDefault="005A536F" w:rsidP="00CA13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crime of robbery is defined as the unlawful, intentional violent taking of another’s movable property without the consent of the possessor and the appropriation thereof.</w:t>
      </w:r>
      <w:r>
        <w:rPr>
          <w:rStyle w:val="FootnoteReference"/>
          <w:rFonts w:ascii="Times New Roman" w:hAnsi="Times New Roman" w:cs="Times New Roman"/>
          <w:sz w:val="24"/>
          <w:szCs w:val="24"/>
        </w:rPr>
        <w:footnoteReference w:id="6"/>
      </w:r>
      <w:r w:rsidR="006C77E8">
        <w:rPr>
          <w:rFonts w:ascii="Times New Roman" w:hAnsi="Times New Roman" w:cs="Times New Roman"/>
          <w:sz w:val="24"/>
          <w:szCs w:val="24"/>
        </w:rPr>
        <w:t xml:space="preserve"> Robbery is an aggravated form of theft committed with violence. The key considerations justifying a conviction of this composite crime are proof that the assault and theft formed part of a continuous transaction and that the assault was a means by which the unlawful possession was obtained.</w:t>
      </w:r>
    </w:p>
    <w:p w:rsidR="006C77E8" w:rsidRDefault="006C77E8" w:rsidP="00CA13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196 A of the Criminal law (Codification and Reform) Act (</w:t>
      </w:r>
      <w:r w:rsidRPr="008327C9">
        <w:rPr>
          <w:rFonts w:ascii="Times New Roman" w:hAnsi="Times New Roman" w:cs="Times New Roman"/>
          <w:i/>
          <w:sz w:val="24"/>
          <w:szCs w:val="24"/>
        </w:rPr>
        <w:t>supra)</w:t>
      </w:r>
      <w:r>
        <w:rPr>
          <w:rFonts w:ascii="Times New Roman" w:hAnsi="Times New Roman" w:cs="Times New Roman"/>
          <w:sz w:val="24"/>
          <w:szCs w:val="24"/>
        </w:rPr>
        <w:t xml:space="preserve"> provides as follows-</w:t>
      </w:r>
    </w:p>
    <w:p w:rsidR="0036793F" w:rsidRPr="008327C9" w:rsidRDefault="0036793F" w:rsidP="008327C9">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337953">
        <w:rPr>
          <w:rFonts w:ascii="Times New Roman" w:hAnsi="Times New Roman" w:cs="Times New Roman"/>
          <w:sz w:val="24"/>
          <w:szCs w:val="24"/>
        </w:rPr>
        <w:t>(1</w:t>
      </w:r>
      <w:r w:rsidR="00337953" w:rsidRPr="008327C9">
        <w:rPr>
          <w:rFonts w:ascii="Times New Roman" w:hAnsi="Times New Roman" w:cs="Times New Roman"/>
        </w:rPr>
        <w:t xml:space="preserve">)    if two or more persons are accused of committing a crime in association with each other and the state adduces evidence to show that each of them had the requisite </w:t>
      </w:r>
      <w:r w:rsidR="00337953" w:rsidRPr="008327C9">
        <w:rPr>
          <w:rFonts w:ascii="Times New Roman" w:hAnsi="Times New Roman" w:cs="Times New Roman"/>
          <w:i/>
        </w:rPr>
        <w:t>mens rea</w:t>
      </w:r>
      <w:r w:rsidR="00337953" w:rsidRPr="008327C9">
        <w:rPr>
          <w:rFonts w:ascii="Times New Roman" w:hAnsi="Times New Roman" w:cs="Times New Roman"/>
        </w:rPr>
        <w:t xml:space="preserve"> to commit the crime, whether by virtue of having the intention to commit it or knowledge that it would be committed, or the realisation of a real risk or possibility that a crime of the kind in question would be committed, then they may be convicted as co-perpetrators, in which event the conduct of the actual perpetrator shall be deemed also to be the conduct of every co-perpetrator, whether or not the conduct of the co-perpetrator contributed directly in any way to the commission of the crime by the actual perpetrator.</w:t>
      </w:r>
    </w:p>
    <w:p w:rsidR="00337953" w:rsidRPr="008327C9" w:rsidRDefault="00337953" w:rsidP="008327C9">
      <w:pPr>
        <w:spacing w:after="0" w:line="240" w:lineRule="auto"/>
        <w:ind w:left="720"/>
        <w:jc w:val="both"/>
        <w:rPr>
          <w:rFonts w:ascii="Times New Roman" w:hAnsi="Times New Roman" w:cs="Times New Roman"/>
        </w:rPr>
      </w:pPr>
      <w:r w:rsidRPr="008327C9">
        <w:rPr>
          <w:rFonts w:ascii="Times New Roman" w:hAnsi="Times New Roman" w:cs="Times New Roman"/>
        </w:rPr>
        <w:t xml:space="preserve">(2)    The following shall be </w:t>
      </w:r>
      <w:r w:rsidR="00FB383F" w:rsidRPr="008327C9">
        <w:rPr>
          <w:rFonts w:ascii="Times New Roman" w:hAnsi="Times New Roman" w:cs="Times New Roman"/>
        </w:rPr>
        <w:t xml:space="preserve">indicative (but not, in themselves necessarily decisive) factors tending to prove that two or more persons accused of committing a crime in association with each other had the requisite </w:t>
      </w:r>
      <w:r w:rsidR="00FB383F" w:rsidRPr="008327C9">
        <w:rPr>
          <w:rFonts w:ascii="Times New Roman" w:hAnsi="Times New Roman" w:cs="Times New Roman"/>
          <w:i/>
        </w:rPr>
        <w:t>mens rea</w:t>
      </w:r>
      <w:r w:rsidR="00FB383F" w:rsidRPr="008327C9">
        <w:rPr>
          <w:rFonts w:ascii="Times New Roman" w:hAnsi="Times New Roman" w:cs="Times New Roman"/>
        </w:rPr>
        <w:t xml:space="preserve"> to commit the crime, namely, if they-</w:t>
      </w:r>
    </w:p>
    <w:p w:rsidR="00FB383F" w:rsidRPr="008327C9" w:rsidRDefault="00FB383F" w:rsidP="008327C9">
      <w:pPr>
        <w:spacing w:after="0" w:line="240" w:lineRule="auto"/>
        <w:ind w:left="2160" w:hanging="720"/>
        <w:jc w:val="both"/>
        <w:rPr>
          <w:rFonts w:ascii="Times New Roman" w:hAnsi="Times New Roman" w:cs="Times New Roman"/>
        </w:rPr>
      </w:pPr>
      <w:r>
        <w:rPr>
          <w:rFonts w:ascii="Times New Roman" w:hAnsi="Times New Roman" w:cs="Times New Roman"/>
          <w:sz w:val="24"/>
          <w:szCs w:val="24"/>
        </w:rPr>
        <w:t>(a)</w:t>
      </w:r>
      <w:r>
        <w:rPr>
          <w:rFonts w:ascii="Times New Roman" w:hAnsi="Times New Roman" w:cs="Times New Roman"/>
          <w:sz w:val="24"/>
          <w:szCs w:val="24"/>
        </w:rPr>
        <w:tab/>
      </w:r>
      <w:r w:rsidRPr="008327C9">
        <w:rPr>
          <w:rFonts w:ascii="Times New Roman" w:hAnsi="Times New Roman" w:cs="Times New Roman"/>
        </w:rPr>
        <w:t xml:space="preserve">were present at or in the immediate vicinity of the scene of the crime in circumstances which implicate them directly or indirectly in the commission of that crime; or </w:t>
      </w:r>
    </w:p>
    <w:p w:rsidR="00FB383F" w:rsidRPr="008327C9" w:rsidRDefault="00FB383F" w:rsidP="008327C9">
      <w:pPr>
        <w:spacing w:after="0" w:line="240" w:lineRule="auto"/>
        <w:ind w:left="2160" w:hanging="720"/>
        <w:jc w:val="both"/>
        <w:rPr>
          <w:rFonts w:ascii="Times New Roman" w:hAnsi="Times New Roman" w:cs="Times New Roman"/>
        </w:rPr>
      </w:pPr>
      <w:r w:rsidRPr="008327C9">
        <w:rPr>
          <w:rFonts w:ascii="Times New Roman" w:hAnsi="Times New Roman" w:cs="Times New Roman"/>
        </w:rPr>
        <w:t xml:space="preserve">(b)   </w:t>
      </w:r>
      <w:r w:rsidRPr="008327C9">
        <w:rPr>
          <w:rFonts w:ascii="Times New Roman" w:hAnsi="Times New Roman" w:cs="Times New Roman"/>
        </w:rPr>
        <w:tab/>
        <w:t xml:space="preserve">were associated together in any conduct that is preparatory to the conduct which resulted in the crime for which they are charged; or </w:t>
      </w:r>
    </w:p>
    <w:p w:rsidR="00FB383F" w:rsidRDefault="00FB383F" w:rsidP="008327C9">
      <w:pPr>
        <w:spacing w:after="0" w:line="240" w:lineRule="auto"/>
        <w:ind w:left="2160" w:hanging="720"/>
        <w:jc w:val="both"/>
        <w:rPr>
          <w:rFonts w:ascii="Times New Roman" w:hAnsi="Times New Roman" w:cs="Times New Roman"/>
        </w:rPr>
      </w:pPr>
      <w:r w:rsidRPr="008327C9">
        <w:rPr>
          <w:rFonts w:ascii="Times New Roman" w:hAnsi="Times New Roman" w:cs="Times New Roman"/>
        </w:rPr>
        <w:t>(c)</w:t>
      </w:r>
      <w:r w:rsidRPr="008327C9">
        <w:rPr>
          <w:rFonts w:ascii="Times New Roman" w:hAnsi="Times New Roman" w:cs="Times New Roman"/>
        </w:rPr>
        <w:tab/>
        <w:t>engaged in any criminal behaviour as a team or prior to the conduct which resulted in the cr</w:t>
      </w:r>
      <w:r w:rsidR="00F772A4">
        <w:rPr>
          <w:rFonts w:ascii="Times New Roman" w:hAnsi="Times New Roman" w:cs="Times New Roman"/>
        </w:rPr>
        <w:t>ime for which they are charged.”</w:t>
      </w:r>
    </w:p>
    <w:p w:rsidR="008327C9" w:rsidRPr="008327C9" w:rsidRDefault="008327C9" w:rsidP="008327C9">
      <w:pPr>
        <w:spacing w:after="0" w:line="240" w:lineRule="auto"/>
        <w:ind w:left="2160" w:hanging="720"/>
        <w:jc w:val="both"/>
        <w:rPr>
          <w:rFonts w:ascii="Times New Roman" w:hAnsi="Times New Roman" w:cs="Times New Roman"/>
        </w:rPr>
      </w:pPr>
    </w:p>
    <w:p w:rsidR="00FB383F" w:rsidRDefault="008327C9" w:rsidP="00CA13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126 of the Criminal Law (Codification and Reform) Act </w:t>
      </w:r>
      <w:r w:rsidR="006010D6">
        <w:rPr>
          <w:rFonts w:ascii="Times New Roman" w:hAnsi="Times New Roman" w:cs="Times New Roman"/>
          <w:sz w:val="24"/>
          <w:szCs w:val="24"/>
        </w:rPr>
        <w:t>(</w:t>
      </w:r>
      <w:r w:rsidRPr="008327C9">
        <w:rPr>
          <w:rFonts w:ascii="Times New Roman" w:hAnsi="Times New Roman" w:cs="Times New Roman"/>
          <w:i/>
          <w:sz w:val="24"/>
          <w:szCs w:val="24"/>
        </w:rPr>
        <w:t>supra</w:t>
      </w:r>
      <w:r w:rsidR="006010D6">
        <w:rPr>
          <w:rFonts w:ascii="Times New Roman" w:hAnsi="Times New Roman" w:cs="Times New Roman"/>
          <w:i/>
          <w:sz w:val="24"/>
          <w:szCs w:val="24"/>
        </w:rPr>
        <w:t>)</w:t>
      </w:r>
      <w:r>
        <w:rPr>
          <w:rFonts w:ascii="Times New Roman" w:hAnsi="Times New Roman" w:cs="Times New Roman"/>
          <w:sz w:val="24"/>
          <w:szCs w:val="24"/>
        </w:rPr>
        <w:t xml:space="preserve">, provides that a person who steals or </w:t>
      </w:r>
      <w:r w:rsidR="007C718A" w:rsidRPr="007C718A">
        <w:rPr>
          <w:rFonts w:ascii="Times New Roman" w:hAnsi="Times New Roman" w:cs="Times New Roman"/>
          <w:sz w:val="24"/>
          <w:szCs w:val="24"/>
        </w:rPr>
        <w:t>d</w:t>
      </w:r>
      <w:r w:rsidRPr="007C718A">
        <w:rPr>
          <w:rFonts w:ascii="Times New Roman" w:hAnsi="Times New Roman" w:cs="Times New Roman"/>
          <w:sz w:val="24"/>
          <w:szCs w:val="24"/>
        </w:rPr>
        <w:t>oes</w:t>
      </w:r>
      <w:r>
        <w:rPr>
          <w:rFonts w:ascii="Times New Roman" w:hAnsi="Times New Roman" w:cs="Times New Roman"/>
          <w:sz w:val="24"/>
          <w:szCs w:val="24"/>
        </w:rPr>
        <w:t xml:space="preserve"> any act  constituting the crime by borrowing or use of the property shall be guilty of robbery if he intentionally uses violence or the threat of immediate violence. Upon conviction for robbery such person shall be imprisoned for life or any definite period of imprisonment if the crime was committed in aggravating circumstances.</w:t>
      </w:r>
    </w:p>
    <w:p w:rsidR="00A513A3" w:rsidRDefault="00A513A3" w:rsidP="00F772A4">
      <w:pPr>
        <w:spacing w:after="0" w:line="360" w:lineRule="auto"/>
        <w:jc w:val="both"/>
        <w:rPr>
          <w:rFonts w:ascii="Times New Roman" w:hAnsi="Times New Roman" w:cs="Times New Roman"/>
          <w:sz w:val="24"/>
          <w:szCs w:val="24"/>
          <w:u w:val="single"/>
        </w:rPr>
      </w:pPr>
    </w:p>
    <w:p w:rsidR="00F772A4" w:rsidRPr="00F772A4" w:rsidRDefault="00F772A4" w:rsidP="00F772A4">
      <w:pPr>
        <w:spacing w:after="0" w:line="360" w:lineRule="auto"/>
        <w:jc w:val="both"/>
        <w:rPr>
          <w:rFonts w:ascii="Times New Roman" w:hAnsi="Times New Roman" w:cs="Times New Roman"/>
          <w:sz w:val="24"/>
          <w:szCs w:val="24"/>
          <w:u w:val="single"/>
        </w:rPr>
      </w:pPr>
      <w:r w:rsidRPr="00F772A4">
        <w:rPr>
          <w:rFonts w:ascii="Times New Roman" w:hAnsi="Times New Roman" w:cs="Times New Roman"/>
          <w:sz w:val="24"/>
          <w:szCs w:val="24"/>
          <w:u w:val="single"/>
        </w:rPr>
        <w:t xml:space="preserve">Application of the law to the facts </w:t>
      </w:r>
    </w:p>
    <w:p w:rsidR="00F772A4" w:rsidRDefault="00F772A4" w:rsidP="00CA13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date appellant pleaded to the charge of Robbery the essential elements were put to him by the court as follows.</w:t>
      </w:r>
      <w:r>
        <w:rPr>
          <w:rStyle w:val="FootnoteReference"/>
          <w:rFonts w:ascii="Times New Roman" w:hAnsi="Times New Roman" w:cs="Times New Roman"/>
          <w:sz w:val="24"/>
          <w:szCs w:val="24"/>
        </w:rPr>
        <w:footnoteReference w:id="7"/>
      </w:r>
    </w:p>
    <w:p w:rsidR="00F772A4" w:rsidRDefault="00F772A4" w:rsidP="004C52A3">
      <w:pPr>
        <w:spacing w:after="0" w:line="240" w:lineRule="auto"/>
        <w:ind w:left="1440"/>
        <w:jc w:val="both"/>
        <w:rPr>
          <w:rFonts w:ascii="Times New Roman" w:hAnsi="Times New Roman" w:cs="Times New Roman"/>
        </w:rPr>
      </w:pPr>
      <w:r w:rsidRPr="00AB053C">
        <w:rPr>
          <w:rFonts w:ascii="Times New Roman" w:hAnsi="Times New Roman" w:cs="Times New Roman"/>
        </w:rPr>
        <w:lastRenderedPageBreak/>
        <w:t>“Q.    Is it correct that on 19 April 2020 at Sakubva Mutare, you acted in concert and common purpose and used violence before taking the complai</w:t>
      </w:r>
      <w:r w:rsidR="007C718A">
        <w:rPr>
          <w:rFonts w:ascii="Times New Roman" w:hAnsi="Times New Roman" w:cs="Times New Roman"/>
        </w:rPr>
        <w:t>na</w:t>
      </w:r>
      <w:r w:rsidRPr="00AB053C">
        <w:rPr>
          <w:rFonts w:ascii="Times New Roman" w:hAnsi="Times New Roman" w:cs="Times New Roman"/>
        </w:rPr>
        <w:t>nt’s property?</w:t>
      </w:r>
    </w:p>
    <w:p w:rsidR="00AB053C" w:rsidRPr="00AB053C" w:rsidRDefault="00AB053C" w:rsidP="004C52A3">
      <w:pPr>
        <w:spacing w:after="0" w:line="240" w:lineRule="auto"/>
        <w:ind w:left="1440"/>
        <w:jc w:val="both"/>
        <w:rPr>
          <w:rFonts w:ascii="Times New Roman" w:hAnsi="Times New Roman" w:cs="Times New Roman"/>
        </w:rPr>
      </w:pPr>
    </w:p>
    <w:p w:rsidR="00F772A4" w:rsidRPr="00AB053C" w:rsidRDefault="004C52A3" w:rsidP="004C52A3">
      <w:pPr>
        <w:pStyle w:val="ListParagraph"/>
        <w:numPr>
          <w:ilvl w:val="0"/>
          <w:numId w:val="7"/>
        </w:numPr>
        <w:spacing w:after="0" w:line="240" w:lineRule="auto"/>
        <w:ind w:left="1800"/>
        <w:jc w:val="both"/>
        <w:rPr>
          <w:rFonts w:ascii="Times New Roman" w:hAnsi="Times New Roman" w:cs="Times New Roman"/>
        </w:rPr>
      </w:pPr>
      <w:r>
        <w:rPr>
          <w:rFonts w:ascii="Times New Roman" w:hAnsi="Times New Roman" w:cs="Times New Roman"/>
        </w:rPr>
        <w:t xml:space="preserve">   Accused 1:    </w:t>
      </w:r>
      <w:r w:rsidR="00F772A4" w:rsidRPr="00AB053C">
        <w:rPr>
          <w:rFonts w:ascii="Times New Roman" w:hAnsi="Times New Roman" w:cs="Times New Roman"/>
        </w:rPr>
        <w:t>Yes</w:t>
      </w:r>
    </w:p>
    <w:p w:rsidR="00F772A4" w:rsidRDefault="00F772A4" w:rsidP="004C52A3">
      <w:pPr>
        <w:pStyle w:val="ListParagraph"/>
        <w:spacing w:after="0" w:line="240" w:lineRule="auto"/>
        <w:ind w:left="1800"/>
        <w:jc w:val="both"/>
        <w:rPr>
          <w:rFonts w:ascii="Times New Roman" w:hAnsi="Times New Roman" w:cs="Times New Roman"/>
        </w:rPr>
      </w:pPr>
      <w:r w:rsidRPr="00AB053C">
        <w:rPr>
          <w:rFonts w:ascii="Times New Roman" w:hAnsi="Times New Roman" w:cs="Times New Roman"/>
        </w:rPr>
        <w:t xml:space="preserve"> </w:t>
      </w:r>
      <w:r w:rsidR="004C52A3">
        <w:rPr>
          <w:rFonts w:ascii="Times New Roman" w:hAnsi="Times New Roman" w:cs="Times New Roman"/>
        </w:rPr>
        <w:t xml:space="preserve">  Accused 2:    </w:t>
      </w:r>
      <w:r w:rsidRPr="00AB053C">
        <w:rPr>
          <w:rFonts w:ascii="Times New Roman" w:hAnsi="Times New Roman" w:cs="Times New Roman"/>
        </w:rPr>
        <w:t>Yes</w:t>
      </w:r>
    </w:p>
    <w:p w:rsidR="00AB053C" w:rsidRPr="00AB053C" w:rsidRDefault="00AB053C" w:rsidP="004C52A3">
      <w:pPr>
        <w:pStyle w:val="ListParagraph"/>
        <w:spacing w:after="0" w:line="240" w:lineRule="auto"/>
        <w:ind w:left="1440"/>
        <w:jc w:val="both"/>
        <w:rPr>
          <w:rFonts w:ascii="Times New Roman" w:hAnsi="Times New Roman" w:cs="Times New Roman"/>
        </w:rPr>
      </w:pPr>
    </w:p>
    <w:p w:rsidR="00F772A4" w:rsidRPr="00AB053C" w:rsidRDefault="00F772A4" w:rsidP="004C52A3">
      <w:pPr>
        <w:spacing w:after="0" w:line="240" w:lineRule="auto"/>
        <w:ind w:left="720"/>
        <w:jc w:val="both"/>
        <w:rPr>
          <w:rFonts w:ascii="Times New Roman" w:hAnsi="Times New Roman" w:cs="Times New Roman"/>
        </w:rPr>
      </w:pPr>
      <w:r w:rsidRPr="00AB053C">
        <w:rPr>
          <w:rFonts w:ascii="Times New Roman" w:hAnsi="Times New Roman" w:cs="Times New Roman"/>
        </w:rPr>
        <w:t xml:space="preserve">  </w:t>
      </w:r>
      <w:r w:rsidRPr="00AB053C">
        <w:rPr>
          <w:rFonts w:ascii="Times New Roman" w:hAnsi="Times New Roman" w:cs="Times New Roman"/>
        </w:rPr>
        <w:tab/>
        <w:t>Q.    You then took the complainant’s US$5 and ZWL75 as alleged?</w:t>
      </w:r>
    </w:p>
    <w:p w:rsidR="00F772A4" w:rsidRPr="00AB053C" w:rsidRDefault="00F772A4" w:rsidP="004C52A3">
      <w:pPr>
        <w:spacing w:after="0" w:line="240" w:lineRule="auto"/>
        <w:ind w:left="720"/>
        <w:jc w:val="both"/>
        <w:rPr>
          <w:rFonts w:ascii="Times New Roman" w:hAnsi="Times New Roman" w:cs="Times New Roman"/>
        </w:rPr>
      </w:pPr>
      <w:r w:rsidRPr="00AB053C">
        <w:rPr>
          <w:rFonts w:ascii="Times New Roman" w:hAnsi="Times New Roman" w:cs="Times New Roman"/>
        </w:rPr>
        <w:tab/>
      </w:r>
      <w:r w:rsidR="004C52A3">
        <w:rPr>
          <w:rFonts w:ascii="Times New Roman" w:hAnsi="Times New Roman" w:cs="Times New Roman"/>
        </w:rPr>
        <w:t xml:space="preserve">A.    Accused 1:    </w:t>
      </w:r>
      <w:r w:rsidRPr="00AB053C">
        <w:rPr>
          <w:rFonts w:ascii="Times New Roman" w:hAnsi="Times New Roman" w:cs="Times New Roman"/>
        </w:rPr>
        <w:t>Yes</w:t>
      </w:r>
    </w:p>
    <w:p w:rsidR="00F772A4" w:rsidRDefault="004C52A3" w:rsidP="004C52A3">
      <w:pPr>
        <w:spacing w:after="0" w:line="240" w:lineRule="auto"/>
        <w:ind w:left="720"/>
        <w:jc w:val="both"/>
        <w:rPr>
          <w:rFonts w:ascii="Times New Roman" w:hAnsi="Times New Roman" w:cs="Times New Roman"/>
        </w:rPr>
      </w:pPr>
      <w:r>
        <w:rPr>
          <w:rFonts w:ascii="Times New Roman" w:hAnsi="Times New Roman" w:cs="Times New Roman"/>
        </w:rPr>
        <w:tab/>
        <w:t xml:space="preserve">        Accused 2:    </w:t>
      </w:r>
      <w:r w:rsidR="00F772A4" w:rsidRPr="00AB053C">
        <w:rPr>
          <w:rFonts w:ascii="Times New Roman" w:hAnsi="Times New Roman" w:cs="Times New Roman"/>
        </w:rPr>
        <w:t>Yes</w:t>
      </w:r>
    </w:p>
    <w:p w:rsidR="00AB053C" w:rsidRPr="00AB053C" w:rsidRDefault="00AB053C" w:rsidP="004C52A3">
      <w:pPr>
        <w:spacing w:after="0" w:line="240" w:lineRule="auto"/>
        <w:ind w:left="720"/>
        <w:jc w:val="both"/>
        <w:rPr>
          <w:rFonts w:ascii="Times New Roman" w:hAnsi="Times New Roman" w:cs="Times New Roman"/>
        </w:rPr>
      </w:pPr>
    </w:p>
    <w:p w:rsidR="00AB053C" w:rsidRPr="00AB053C" w:rsidRDefault="00AB053C" w:rsidP="004C52A3">
      <w:pPr>
        <w:spacing w:after="0" w:line="240" w:lineRule="auto"/>
        <w:ind w:left="720"/>
        <w:jc w:val="both"/>
        <w:rPr>
          <w:rFonts w:ascii="Times New Roman" w:hAnsi="Times New Roman" w:cs="Times New Roman"/>
        </w:rPr>
      </w:pPr>
      <w:r w:rsidRPr="00AB053C">
        <w:rPr>
          <w:rFonts w:ascii="Times New Roman" w:hAnsi="Times New Roman" w:cs="Times New Roman"/>
        </w:rPr>
        <w:tab/>
        <w:t>Q.    You had the owner’s consent to take the money?</w:t>
      </w:r>
    </w:p>
    <w:p w:rsidR="00AB053C" w:rsidRPr="00AB053C" w:rsidRDefault="004C52A3" w:rsidP="004C52A3">
      <w:pPr>
        <w:spacing w:after="0" w:line="240" w:lineRule="auto"/>
        <w:ind w:left="720"/>
        <w:jc w:val="both"/>
        <w:rPr>
          <w:rFonts w:ascii="Times New Roman" w:hAnsi="Times New Roman" w:cs="Times New Roman"/>
        </w:rPr>
      </w:pPr>
      <w:r>
        <w:rPr>
          <w:rFonts w:ascii="Times New Roman" w:hAnsi="Times New Roman" w:cs="Times New Roman"/>
        </w:rPr>
        <w:tab/>
        <w:t xml:space="preserve">A.    Accused 1:    </w:t>
      </w:r>
      <w:r w:rsidR="00AB053C" w:rsidRPr="00AB053C">
        <w:rPr>
          <w:rFonts w:ascii="Times New Roman" w:hAnsi="Times New Roman" w:cs="Times New Roman"/>
        </w:rPr>
        <w:t>No</w:t>
      </w:r>
    </w:p>
    <w:p w:rsidR="00AB053C" w:rsidRDefault="004C52A3" w:rsidP="004C52A3">
      <w:pPr>
        <w:spacing w:after="0" w:line="240" w:lineRule="auto"/>
        <w:ind w:left="720"/>
        <w:jc w:val="both"/>
        <w:rPr>
          <w:rFonts w:ascii="Times New Roman" w:hAnsi="Times New Roman" w:cs="Times New Roman"/>
        </w:rPr>
      </w:pPr>
      <w:r>
        <w:rPr>
          <w:rFonts w:ascii="Times New Roman" w:hAnsi="Times New Roman" w:cs="Times New Roman"/>
        </w:rPr>
        <w:tab/>
        <w:t xml:space="preserve">        Accused 2:    </w:t>
      </w:r>
      <w:r w:rsidR="00AB053C" w:rsidRPr="00AB053C">
        <w:rPr>
          <w:rFonts w:ascii="Times New Roman" w:hAnsi="Times New Roman" w:cs="Times New Roman"/>
        </w:rPr>
        <w:t>No</w:t>
      </w:r>
    </w:p>
    <w:p w:rsidR="00AB053C" w:rsidRPr="00AB053C" w:rsidRDefault="00AB053C" w:rsidP="004C52A3">
      <w:pPr>
        <w:spacing w:after="0" w:line="240" w:lineRule="auto"/>
        <w:ind w:left="720"/>
        <w:jc w:val="both"/>
        <w:rPr>
          <w:rFonts w:ascii="Times New Roman" w:hAnsi="Times New Roman" w:cs="Times New Roman"/>
        </w:rPr>
      </w:pPr>
    </w:p>
    <w:p w:rsidR="00AB053C" w:rsidRPr="00AB053C" w:rsidRDefault="00AB053C" w:rsidP="004C52A3">
      <w:pPr>
        <w:spacing w:after="0" w:line="240" w:lineRule="auto"/>
        <w:ind w:left="720"/>
        <w:jc w:val="both"/>
        <w:rPr>
          <w:rFonts w:ascii="Times New Roman" w:hAnsi="Times New Roman" w:cs="Times New Roman"/>
        </w:rPr>
      </w:pPr>
      <w:r w:rsidRPr="00AB053C">
        <w:rPr>
          <w:rFonts w:ascii="Times New Roman" w:hAnsi="Times New Roman" w:cs="Times New Roman"/>
        </w:rPr>
        <w:tab/>
        <w:t>Q.    You intended to deprive the owner permanently of the money?</w:t>
      </w:r>
    </w:p>
    <w:p w:rsidR="00AB053C" w:rsidRPr="00AB053C" w:rsidRDefault="004C52A3" w:rsidP="004C52A3">
      <w:pPr>
        <w:spacing w:after="0" w:line="240" w:lineRule="auto"/>
        <w:ind w:left="720"/>
        <w:jc w:val="both"/>
        <w:rPr>
          <w:rFonts w:ascii="Times New Roman" w:hAnsi="Times New Roman" w:cs="Times New Roman"/>
        </w:rPr>
      </w:pPr>
      <w:r>
        <w:rPr>
          <w:rFonts w:ascii="Times New Roman" w:hAnsi="Times New Roman" w:cs="Times New Roman"/>
        </w:rPr>
        <w:tab/>
        <w:t xml:space="preserve">A.    Accused 1:    </w:t>
      </w:r>
      <w:r w:rsidR="00AB053C" w:rsidRPr="00AB053C">
        <w:rPr>
          <w:rFonts w:ascii="Times New Roman" w:hAnsi="Times New Roman" w:cs="Times New Roman"/>
        </w:rPr>
        <w:t>Yes</w:t>
      </w:r>
    </w:p>
    <w:p w:rsidR="00AB053C" w:rsidRDefault="004C52A3" w:rsidP="004C52A3">
      <w:pPr>
        <w:spacing w:after="0" w:line="240" w:lineRule="auto"/>
        <w:ind w:left="720"/>
        <w:jc w:val="both"/>
        <w:rPr>
          <w:rFonts w:ascii="Times New Roman" w:hAnsi="Times New Roman" w:cs="Times New Roman"/>
        </w:rPr>
      </w:pPr>
      <w:r>
        <w:rPr>
          <w:rFonts w:ascii="Times New Roman" w:hAnsi="Times New Roman" w:cs="Times New Roman"/>
        </w:rPr>
        <w:tab/>
        <w:t xml:space="preserve">        Accused 2:    </w:t>
      </w:r>
      <w:r w:rsidR="00AB053C" w:rsidRPr="00AB053C">
        <w:rPr>
          <w:rFonts w:ascii="Times New Roman" w:hAnsi="Times New Roman" w:cs="Times New Roman"/>
        </w:rPr>
        <w:t>Yes</w:t>
      </w:r>
    </w:p>
    <w:p w:rsidR="00AB053C" w:rsidRPr="00AB053C" w:rsidRDefault="00AB053C" w:rsidP="004C52A3">
      <w:pPr>
        <w:spacing w:after="0" w:line="240" w:lineRule="auto"/>
        <w:ind w:left="720"/>
        <w:jc w:val="both"/>
        <w:rPr>
          <w:rFonts w:ascii="Times New Roman" w:hAnsi="Times New Roman" w:cs="Times New Roman"/>
        </w:rPr>
      </w:pPr>
    </w:p>
    <w:p w:rsidR="00AB053C" w:rsidRPr="00AB053C" w:rsidRDefault="00AB053C" w:rsidP="004C52A3">
      <w:pPr>
        <w:spacing w:after="0" w:line="240" w:lineRule="auto"/>
        <w:ind w:left="720"/>
        <w:jc w:val="both"/>
        <w:rPr>
          <w:rFonts w:ascii="Times New Roman" w:hAnsi="Times New Roman" w:cs="Times New Roman"/>
        </w:rPr>
      </w:pPr>
      <w:r w:rsidRPr="00AB053C">
        <w:rPr>
          <w:rFonts w:ascii="Times New Roman" w:hAnsi="Times New Roman" w:cs="Times New Roman"/>
        </w:rPr>
        <w:tab/>
        <w:t>Q.    You knew that it was unlawful?</w:t>
      </w:r>
    </w:p>
    <w:p w:rsidR="00AB053C" w:rsidRPr="00AB053C" w:rsidRDefault="004C52A3" w:rsidP="004C52A3">
      <w:pPr>
        <w:spacing w:after="0" w:line="240" w:lineRule="auto"/>
        <w:ind w:left="720"/>
        <w:jc w:val="both"/>
        <w:rPr>
          <w:rFonts w:ascii="Times New Roman" w:hAnsi="Times New Roman" w:cs="Times New Roman"/>
        </w:rPr>
      </w:pPr>
      <w:r>
        <w:rPr>
          <w:rFonts w:ascii="Times New Roman" w:hAnsi="Times New Roman" w:cs="Times New Roman"/>
        </w:rPr>
        <w:tab/>
        <w:t xml:space="preserve">A.    Accused 1:    </w:t>
      </w:r>
      <w:r w:rsidR="00AB053C" w:rsidRPr="00AB053C">
        <w:rPr>
          <w:rFonts w:ascii="Times New Roman" w:hAnsi="Times New Roman" w:cs="Times New Roman"/>
        </w:rPr>
        <w:t>Yes</w:t>
      </w:r>
    </w:p>
    <w:p w:rsidR="00AB053C" w:rsidRDefault="00AB053C" w:rsidP="004C52A3">
      <w:pPr>
        <w:spacing w:after="0" w:line="240" w:lineRule="auto"/>
        <w:ind w:left="720"/>
        <w:jc w:val="both"/>
        <w:rPr>
          <w:rFonts w:ascii="Times New Roman" w:hAnsi="Times New Roman" w:cs="Times New Roman"/>
        </w:rPr>
      </w:pPr>
      <w:r w:rsidRPr="00AB053C">
        <w:rPr>
          <w:rFonts w:ascii="Times New Roman" w:hAnsi="Times New Roman" w:cs="Times New Roman"/>
        </w:rPr>
        <w:tab/>
        <w:t xml:space="preserve">       </w:t>
      </w:r>
      <w:r w:rsidR="004C52A3">
        <w:rPr>
          <w:rFonts w:ascii="Times New Roman" w:hAnsi="Times New Roman" w:cs="Times New Roman"/>
        </w:rPr>
        <w:t xml:space="preserve"> Accused 2:    </w:t>
      </w:r>
      <w:r w:rsidRPr="00AB053C">
        <w:rPr>
          <w:rFonts w:ascii="Times New Roman" w:hAnsi="Times New Roman" w:cs="Times New Roman"/>
        </w:rPr>
        <w:t>Yes</w:t>
      </w:r>
      <w:r w:rsidR="0048687B">
        <w:rPr>
          <w:rFonts w:ascii="Times New Roman" w:hAnsi="Times New Roman" w:cs="Times New Roman"/>
        </w:rPr>
        <w:t>”</w:t>
      </w:r>
    </w:p>
    <w:p w:rsidR="00AB053C" w:rsidRPr="00AB053C" w:rsidRDefault="00AB053C" w:rsidP="00AB053C">
      <w:pPr>
        <w:spacing w:after="0" w:line="240" w:lineRule="auto"/>
        <w:jc w:val="both"/>
        <w:rPr>
          <w:rFonts w:ascii="Times New Roman" w:hAnsi="Times New Roman" w:cs="Times New Roman"/>
        </w:rPr>
      </w:pPr>
    </w:p>
    <w:p w:rsidR="00AB053C" w:rsidRDefault="00AB053C" w:rsidP="00F772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 was assisted by an interpreter</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assuming for a moment that appellant did not understand the charge before he pleaded and that he did not </w:t>
      </w:r>
      <w:r w:rsidR="0027639D">
        <w:rPr>
          <w:rFonts w:ascii="Times New Roman" w:hAnsi="Times New Roman" w:cs="Times New Roman"/>
          <w:sz w:val="24"/>
          <w:szCs w:val="24"/>
        </w:rPr>
        <w:t xml:space="preserve">comprehend the first question on the essential elements, he should have denied the taking of US$5 and ZWL75 when that question was put to him. He should have stated his defence that he did not associate with his co-accused to assault the complainant and then take the money. He should have raised a red flag and deny that he </w:t>
      </w:r>
      <w:r w:rsidR="00BD3D91">
        <w:rPr>
          <w:rFonts w:ascii="Times New Roman" w:hAnsi="Times New Roman" w:cs="Times New Roman"/>
          <w:sz w:val="24"/>
          <w:szCs w:val="24"/>
        </w:rPr>
        <w:t xml:space="preserve">did not </w:t>
      </w:r>
      <w:r w:rsidR="0027639D">
        <w:rPr>
          <w:rFonts w:ascii="Times New Roman" w:hAnsi="Times New Roman" w:cs="Times New Roman"/>
          <w:sz w:val="24"/>
          <w:szCs w:val="24"/>
        </w:rPr>
        <w:t>participate in the taking of complainant’s belongings without her consent. The essentials of the elements of robbery as defined above apply to the appellant. In the first place he falls onto the category of s 196 A (2) of the Code, he was at the scene of the crime, he was the one who struck the complainant on the face to instil</w:t>
      </w:r>
      <w:r w:rsidR="007C718A">
        <w:rPr>
          <w:rFonts w:ascii="Times New Roman" w:hAnsi="Times New Roman" w:cs="Times New Roman"/>
          <w:sz w:val="24"/>
          <w:szCs w:val="24"/>
        </w:rPr>
        <w:t>l</w:t>
      </w:r>
      <w:r w:rsidR="0027639D">
        <w:rPr>
          <w:rFonts w:ascii="Times New Roman" w:hAnsi="Times New Roman" w:cs="Times New Roman"/>
          <w:sz w:val="24"/>
          <w:szCs w:val="24"/>
        </w:rPr>
        <w:t xml:space="preserve"> fear in her, and immediately preceding the assault</w:t>
      </w:r>
      <w:r w:rsidR="007C718A">
        <w:rPr>
          <w:rFonts w:ascii="Times New Roman" w:hAnsi="Times New Roman" w:cs="Times New Roman"/>
          <w:sz w:val="24"/>
          <w:szCs w:val="24"/>
        </w:rPr>
        <w:t>,</w:t>
      </w:r>
      <w:r w:rsidR="0027639D">
        <w:rPr>
          <w:rFonts w:ascii="Times New Roman" w:hAnsi="Times New Roman" w:cs="Times New Roman"/>
          <w:sz w:val="24"/>
          <w:szCs w:val="24"/>
        </w:rPr>
        <w:t xml:space="preserve"> his accomplice took the money. Appellant is the perpetrator of violence that led to the taking of the money.</w:t>
      </w:r>
    </w:p>
    <w:p w:rsidR="0027639D" w:rsidRDefault="0027639D" w:rsidP="00C639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also satisfied that the court </w:t>
      </w:r>
      <w:r w:rsidRPr="00C6399D">
        <w:rPr>
          <w:rFonts w:ascii="Times New Roman" w:hAnsi="Times New Roman" w:cs="Times New Roman"/>
          <w:i/>
          <w:sz w:val="24"/>
          <w:szCs w:val="24"/>
        </w:rPr>
        <w:t>a quo</w:t>
      </w:r>
      <w:r>
        <w:rPr>
          <w:rFonts w:ascii="Times New Roman" w:hAnsi="Times New Roman" w:cs="Times New Roman"/>
          <w:sz w:val="24"/>
          <w:szCs w:val="24"/>
        </w:rPr>
        <w:t xml:space="preserve"> followed the requirements of s 271 (2)(b) of the Criminal Proced</w:t>
      </w:r>
      <w:r w:rsidR="007C718A">
        <w:rPr>
          <w:rFonts w:ascii="Times New Roman" w:hAnsi="Times New Roman" w:cs="Times New Roman"/>
          <w:sz w:val="24"/>
          <w:szCs w:val="24"/>
        </w:rPr>
        <w:t>ure and Evidence Act and properl</w:t>
      </w:r>
      <w:r>
        <w:rPr>
          <w:rFonts w:ascii="Times New Roman" w:hAnsi="Times New Roman" w:cs="Times New Roman"/>
          <w:sz w:val="24"/>
          <w:szCs w:val="24"/>
        </w:rPr>
        <w:t>y in my view put questions to the appellant to establish whether his plea was genuine and well informed.</w:t>
      </w:r>
      <w:r w:rsidR="00C6399D">
        <w:rPr>
          <w:rFonts w:ascii="Times New Roman" w:hAnsi="Times New Roman" w:cs="Times New Roman"/>
          <w:sz w:val="24"/>
          <w:szCs w:val="24"/>
        </w:rPr>
        <w:t xml:space="preserve"> The court </w:t>
      </w:r>
      <w:r w:rsidR="00C6399D" w:rsidRPr="00C6399D">
        <w:rPr>
          <w:rFonts w:ascii="Times New Roman" w:hAnsi="Times New Roman" w:cs="Times New Roman"/>
          <w:i/>
          <w:sz w:val="24"/>
          <w:szCs w:val="24"/>
        </w:rPr>
        <w:t>a quo</w:t>
      </w:r>
      <w:r w:rsidR="00C6399D">
        <w:rPr>
          <w:rFonts w:ascii="Times New Roman" w:hAnsi="Times New Roman" w:cs="Times New Roman"/>
          <w:sz w:val="24"/>
          <w:szCs w:val="24"/>
        </w:rPr>
        <w:t xml:space="preserve"> competently assisted the unrepresented appellant and recorded a plea of guilty. I failed to discern any misdirection and I find the appeal against conviction without merit.</w:t>
      </w:r>
    </w:p>
    <w:p w:rsidR="00C6399D" w:rsidRDefault="00C6399D" w:rsidP="00C639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 against sentence, robbery is fairly an aggravated theft. It </w:t>
      </w:r>
      <w:r w:rsidR="00BD3D91" w:rsidRPr="00BD3D91">
        <w:rPr>
          <w:rFonts w:ascii="Times New Roman" w:hAnsi="Times New Roman" w:cs="Times New Roman"/>
          <w:sz w:val="24"/>
          <w:szCs w:val="24"/>
        </w:rPr>
        <w:t>instils</w:t>
      </w:r>
      <w:r>
        <w:rPr>
          <w:rFonts w:ascii="Times New Roman" w:hAnsi="Times New Roman" w:cs="Times New Roman"/>
          <w:sz w:val="24"/>
          <w:szCs w:val="24"/>
        </w:rPr>
        <w:t xml:space="preserve"> fear due to real risk of injury or harm or threats of u</w:t>
      </w:r>
      <w:r w:rsidR="00BD3D91">
        <w:rPr>
          <w:rFonts w:ascii="Times New Roman" w:hAnsi="Times New Roman" w:cs="Times New Roman"/>
          <w:sz w:val="24"/>
          <w:szCs w:val="24"/>
        </w:rPr>
        <w:t>nknown consequence, more</w:t>
      </w:r>
      <w:r w:rsidR="00AA3427">
        <w:rPr>
          <w:rFonts w:ascii="Times New Roman" w:hAnsi="Times New Roman" w:cs="Times New Roman"/>
          <w:sz w:val="24"/>
          <w:szCs w:val="24"/>
        </w:rPr>
        <w:t xml:space="preserve">so perpetrated against a female at night and accompanied by assault on the face. The Code talks of life imprisonment or a definite fixed term of imprisonment. In the </w:t>
      </w:r>
      <w:r w:rsidR="00AA3427" w:rsidRPr="00BD3D91">
        <w:rPr>
          <w:rFonts w:ascii="Times New Roman" w:hAnsi="Times New Roman" w:cs="Times New Roman"/>
          <w:i/>
          <w:sz w:val="24"/>
          <w:szCs w:val="24"/>
        </w:rPr>
        <w:t>locus classicus</w:t>
      </w:r>
      <w:r w:rsidR="00AA3427">
        <w:rPr>
          <w:rFonts w:ascii="Times New Roman" w:hAnsi="Times New Roman" w:cs="Times New Roman"/>
          <w:sz w:val="24"/>
          <w:szCs w:val="24"/>
        </w:rPr>
        <w:t xml:space="preserve"> case of </w:t>
      </w:r>
      <w:r w:rsidR="00AA3427" w:rsidRPr="00AA3427">
        <w:rPr>
          <w:rFonts w:ascii="Times New Roman" w:hAnsi="Times New Roman" w:cs="Times New Roman"/>
          <w:i/>
          <w:sz w:val="24"/>
          <w:szCs w:val="24"/>
        </w:rPr>
        <w:t>S</w:t>
      </w:r>
      <w:r w:rsidR="00AA3427">
        <w:rPr>
          <w:rFonts w:ascii="Times New Roman" w:hAnsi="Times New Roman" w:cs="Times New Roman"/>
          <w:sz w:val="24"/>
          <w:szCs w:val="24"/>
        </w:rPr>
        <w:t xml:space="preserve"> v </w:t>
      </w:r>
      <w:r w:rsidR="00AA3427" w:rsidRPr="00AA3427">
        <w:rPr>
          <w:rFonts w:ascii="Times New Roman" w:hAnsi="Times New Roman" w:cs="Times New Roman"/>
          <w:i/>
          <w:sz w:val="24"/>
          <w:szCs w:val="24"/>
        </w:rPr>
        <w:t>Mundondo</w:t>
      </w:r>
      <w:r w:rsidR="00AA3427">
        <w:rPr>
          <w:rStyle w:val="FootnoteReference"/>
          <w:rFonts w:ascii="Times New Roman" w:hAnsi="Times New Roman" w:cs="Times New Roman"/>
          <w:sz w:val="24"/>
          <w:szCs w:val="24"/>
        </w:rPr>
        <w:footnoteReference w:id="9"/>
      </w:r>
      <w:r w:rsidR="00AA3427">
        <w:rPr>
          <w:rFonts w:ascii="Times New Roman" w:hAnsi="Times New Roman" w:cs="Times New Roman"/>
          <w:sz w:val="24"/>
          <w:szCs w:val="24"/>
        </w:rPr>
        <w:t xml:space="preserve"> this court highlighted that for offences of robbery, the guiding prototype of sentence starts from 5 years with portions suspended on applicable conditions. A superior court is reluctant to interfere with the sentencing discretion of the court of first instance.</w:t>
      </w:r>
      <w:r w:rsidR="00AA3427">
        <w:rPr>
          <w:rStyle w:val="FootnoteReference"/>
          <w:rFonts w:ascii="Times New Roman" w:hAnsi="Times New Roman" w:cs="Times New Roman"/>
          <w:sz w:val="24"/>
          <w:szCs w:val="24"/>
        </w:rPr>
        <w:footnoteReference w:id="10"/>
      </w:r>
      <w:r w:rsidR="00AA3427">
        <w:rPr>
          <w:rFonts w:ascii="Times New Roman" w:hAnsi="Times New Roman" w:cs="Times New Roman"/>
          <w:sz w:val="24"/>
          <w:szCs w:val="24"/>
        </w:rPr>
        <w:t xml:space="preserve">I failed to detect any misdirection in the way the sentencing court exercised its discretion on choosing the appropriate sentence and the appellant failed to advance any plausible ground to justify such cause. For an offence of robbery even where </w:t>
      </w:r>
      <w:r w:rsidR="00DE13DF">
        <w:rPr>
          <w:rFonts w:ascii="Times New Roman" w:hAnsi="Times New Roman" w:cs="Times New Roman"/>
          <w:sz w:val="24"/>
          <w:szCs w:val="24"/>
        </w:rPr>
        <w:t>insignificant sums of money are involved heavy sentences are called for. There is nothing to show that the sentence passed in this matter induces a deep sense of shock. The appeal against sentence is dismissed.</w:t>
      </w:r>
    </w:p>
    <w:p w:rsidR="00A513A3" w:rsidRDefault="00A513A3" w:rsidP="00E52524">
      <w:pPr>
        <w:spacing w:after="0" w:line="360" w:lineRule="auto"/>
        <w:jc w:val="both"/>
        <w:rPr>
          <w:rFonts w:ascii="Times New Roman" w:hAnsi="Times New Roman" w:cs="Times New Roman"/>
          <w:sz w:val="24"/>
          <w:szCs w:val="24"/>
          <w:u w:val="single"/>
        </w:rPr>
      </w:pPr>
    </w:p>
    <w:p w:rsidR="00DE13DF" w:rsidRPr="00E52524" w:rsidRDefault="00DE13DF" w:rsidP="00E52524">
      <w:pPr>
        <w:spacing w:after="0" w:line="360" w:lineRule="auto"/>
        <w:jc w:val="both"/>
        <w:rPr>
          <w:rFonts w:ascii="Times New Roman" w:hAnsi="Times New Roman" w:cs="Times New Roman"/>
          <w:sz w:val="24"/>
          <w:szCs w:val="24"/>
          <w:u w:val="single"/>
        </w:rPr>
      </w:pPr>
      <w:r w:rsidRPr="00E52524">
        <w:rPr>
          <w:rFonts w:ascii="Times New Roman" w:hAnsi="Times New Roman" w:cs="Times New Roman"/>
          <w:sz w:val="24"/>
          <w:szCs w:val="24"/>
          <w:u w:val="single"/>
        </w:rPr>
        <w:t>Disposition</w:t>
      </w:r>
    </w:p>
    <w:p w:rsidR="00DE13DF" w:rsidRDefault="00DE13DF" w:rsidP="00C639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hereby ordered as follows.</w:t>
      </w:r>
    </w:p>
    <w:p w:rsidR="00DE13DF" w:rsidRDefault="00DE13DF" w:rsidP="00C639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appeal be and is hereby dismissed in its </w:t>
      </w:r>
      <w:r w:rsidR="00E52524">
        <w:rPr>
          <w:rFonts w:ascii="Times New Roman" w:hAnsi="Times New Roman" w:cs="Times New Roman"/>
          <w:sz w:val="24"/>
          <w:szCs w:val="24"/>
        </w:rPr>
        <w:t>entirety</w:t>
      </w:r>
      <w:r>
        <w:rPr>
          <w:rFonts w:ascii="Times New Roman" w:hAnsi="Times New Roman" w:cs="Times New Roman"/>
          <w:sz w:val="24"/>
          <w:szCs w:val="24"/>
        </w:rPr>
        <w:t>.</w:t>
      </w:r>
      <w:r w:rsidR="00BD3D91">
        <w:rPr>
          <w:rFonts w:ascii="Times New Roman" w:hAnsi="Times New Roman" w:cs="Times New Roman"/>
          <w:sz w:val="24"/>
          <w:szCs w:val="24"/>
        </w:rPr>
        <w:t>”</w:t>
      </w:r>
    </w:p>
    <w:p w:rsidR="00C6399D" w:rsidRDefault="00C6399D" w:rsidP="00F772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F772A4" w:rsidRDefault="00F772A4" w:rsidP="00F772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415F3D" w:rsidRDefault="00415F3D" w:rsidP="00F772A4">
      <w:pPr>
        <w:spacing w:after="0" w:line="360" w:lineRule="auto"/>
        <w:jc w:val="both"/>
        <w:rPr>
          <w:rFonts w:ascii="Times New Roman" w:hAnsi="Times New Roman" w:cs="Times New Roman"/>
          <w:sz w:val="24"/>
          <w:szCs w:val="24"/>
        </w:rPr>
      </w:pPr>
    </w:p>
    <w:p w:rsidR="00DE13DF" w:rsidRPr="00F772A4" w:rsidRDefault="00DE13DF" w:rsidP="00F772A4">
      <w:pPr>
        <w:spacing w:after="0" w:line="360" w:lineRule="auto"/>
        <w:jc w:val="both"/>
        <w:rPr>
          <w:rFonts w:ascii="Times New Roman" w:hAnsi="Times New Roman" w:cs="Times New Roman"/>
          <w:sz w:val="24"/>
          <w:szCs w:val="24"/>
        </w:rPr>
      </w:pPr>
    </w:p>
    <w:p w:rsidR="00700A99" w:rsidRDefault="00DE13DF" w:rsidP="00700A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MUZENDA J____________________</w:t>
      </w:r>
    </w:p>
    <w:p w:rsidR="00DE13DF" w:rsidRDefault="00DE13DF" w:rsidP="00700A99">
      <w:pPr>
        <w:spacing w:after="0" w:line="360" w:lineRule="auto"/>
        <w:jc w:val="both"/>
        <w:rPr>
          <w:rFonts w:ascii="Times New Roman" w:hAnsi="Times New Roman" w:cs="Times New Roman"/>
          <w:sz w:val="24"/>
          <w:szCs w:val="24"/>
        </w:rPr>
      </w:pPr>
    </w:p>
    <w:p w:rsidR="00DE13DF" w:rsidRDefault="00DE13DF" w:rsidP="00700A99">
      <w:pPr>
        <w:spacing w:after="0" w:line="360" w:lineRule="auto"/>
        <w:jc w:val="both"/>
        <w:rPr>
          <w:rFonts w:ascii="Times New Roman" w:hAnsi="Times New Roman" w:cs="Times New Roman"/>
          <w:sz w:val="24"/>
          <w:szCs w:val="24"/>
        </w:rPr>
      </w:pPr>
    </w:p>
    <w:p w:rsidR="00DE13DF" w:rsidRDefault="00DE13DF" w:rsidP="00700A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MWAYERA J agrees_________________</w:t>
      </w:r>
    </w:p>
    <w:p w:rsidR="00DE13DF" w:rsidRPr="00700A99" w:rsidRDefault="00DE13DF" w:rsidP="00700A99">
      <w:pPr>
        <w:spacing w:after="0" w:line="360" w:lineRule="auto"/>
        <w:jc w:val="both"/>
        <w:rPr>
          <w:rFonts w:ascii="Times New Roman" w:hAnsi="Times New Roman" w:cs="Times New Roman"/>
          <w:sz w:val="24"/>
          <w:szCs w:val="24"/>
        </w:rPr>
      </w:pPr>
    </w:p>
    <w:p w:rsidR="00442BFB" w:rsidRDefault="00DE13DF" w:rsidP="00DE13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Chibaya and Associates, </w:t>
      </w:r>
      <w:r w:rsidRPr="00DE13DF">
        <w:rPr>
          <w:rFonts w:ascii="Times New Roman" w:hAnsi="Times New Roman" w:cs="Times New Roman"/>
          <w:i/>
          <w:sz w:val="24"/>
          <w:szCs w:val="24"/>
        </w:rPr>
        <w:t>appellant’s legal practitioners</w:t>
      </w:r>
    </w:p>
    <w:p w:rsidR="00DE13DF" w:rsidRDefault="00DE13DF" w:rsidP="00DE13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National Prosecuting Authority, </w:t>
      </w:r>
      <w:r w:rsidRPr="00DE13DF">
        <w:rPr>
          <w:rFonts w:ascii="Times New Roman" w:hAnsi="Times New Roman" w:cs="Times New Roman"/>
          <w:i/>
          <w:sz w:val="24"/>
          <w:szCs w:val="24"/>
        </w:rPr>
        <w:t>respondent’s legal practitioners</w:t>
      </w:r>
    </w:p>
    <w:p w:rsidR="00305D12" w:rsidRDefault="00305D12" w:rsidP="00305D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305D1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82A" w:rsidRDefault="00E7782A" w:rsidP="00D6638E">
      <w:pPr>
        <w:spacing w:after="0" w:line="240" w:lineRule="auto"/>
      </w:pPr>
      <w:r>
        <w:separator/>
      </w:r>
    </w:p>
  </w:endnote>
  <w:endnote w:type="continuationSeparator" w:id="0">
    <w:p w:rsidR="00E7782A" w:rsidRDefault="00E7782A" w:rsidP="00D66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82A" w:rsidRDefault="00E7782A" w:rsidP="00D6638E">
      <w:pPr>
        <w:spacing w:after="0" w:line="240" w:lineRule="auto"/>
      </w:pPr>
      <w:r>
        <w:separator/>
      </w:r>
    </w:p>
  </w:footnote>
  <w:footnote w:type="continuationSeparator" w:id="0">
    <w:p w:rsidR="00E7782A" w:rsidRDefault="00E7782A" w:rsidP="00D6638E">
      <w:pPr>
        <w:spacing w:after="0" w:line="240" w:lineRule="auto"/>
      </w:pPr>
      <w:r>
        <w:continuationSeparator/>
      </w:r>
    </w:p>
  </w:footnote>
  <w:footnote w:id="1">
    <w:p w:rsidR="00D6638E" w:rsidRDefault="00D6638E">
      <w:pPr>
        <w:pStyle w:val="FootnoteText"/>
      </w:pPr>
      <w:r>
        <w:rPr>
          <w:rStyle w:val="FootnoteReference"/>
        </w:rPr>
        <w:footnoteRef/>
      </w:r>
      <w:r>
        <w:t xml:space="preserve"> HH 48/2006</w:t>
      </w:r>
    </w:p>
  </w:footnote>
  <w:footnote w:id="2">
    <w:p w:rsidR="000B2A87" w:rsidRDefault="000B2A87">
      <w:pPr>
        <w:pStyle w:val="FootnoteText"/>
      </w:pPr>
      <w:r>
        <w:rPr>
          <w:rStyle w:val="FootnoteReference"/>
        </w:rPr>
        <w:footnoteRef/>
      </w:r>
      <w:r>
        <w:t xml:space="preserve"> 1995 (2) ZLR 130(s)</w:t>
      </w:r>
    </w:p>
  </w:footnote>
  <w:footnote w:id="3">
    <w:p w:rsidR="00AA1615" w:rsidRDefault="00AA1615">
      <w:pPr>
        <w:pStyle w:val="FootnoteText"/>
      </w:pPr>
      <w:r>
        <w:rPr>
          <w:rStyle w:val="FootnoteReference"/>
        </w:rPr>
        <w:footnoteRef/>
      </w:r>
      <w:r>
        <w:t xml:space="preserve"> HH 17/2003</w:t>
      </w:r>
    </w:p>
  </w:footnote>
  <w:footnote w:id="4">
    <w:p w:rsidR="00AA1615" w:rsidRDefault="00AA1615">
      <w:pPr>
        <w:pStyle w:val="FootnoteText"/>
      </w:pPr>
      <w:r>
        <w:rPr>
          <w:rStyle w:val="FootnoteReference"/>
        </w:rPr>
        <w:footnoteRef/>
      </w:r>
      <w:r>
        <w:t xml:space="preserve"> Court was referred to the case of S v Ncube SC 33/16</w:t>
      </w:r>
    </w:p>
  </w:footnote>
  <w:footnote w:id="5">
    <w:p w:rsidR="005A536F" w:rsidRDefault="005A536F">
      <w:pPr>
        <w:pStyle w:val="FootnoteText"/>
      </w:pPr>
      <w:r>
        <w:rPr>
          <w:rStyle w:val="FootnoteReference"/>
        </w:rPr>
        <w:footnoteRef/>
      </w:r>
      <w:r>
        <w:t xml:space="preserve"> S </w:t>
      </w:r>
      <w:r w:rsidR="006C77E8">
        <w:t>v Bvuto and Ors 2018</w:t>
      </w:r>
    </w:p>
  </w:footnote>
  <w:footnote w:id="6">
    <w:p w:rsidR="005A536F" w:rsidRDefault="005A536F">
      <w:pPr>
        <w:pStyle w:val="FootnoteText"/>
      </w:pPr>
      <w:r>
        <w:rPr>
          <w:rStyle w:val="FootnoteReference"/>
        </w:rPr>
        <w:footnoteRef/>
      </w:r>
      <w:r>
        <w:t xml:space="preserve"> </w:t>
      </w:r>
      <w:r w:rsidR="006C77E8">
        <w:t>S v Dhlamini 1975 (2) SA 524 (N)</w:t>
      </w:r>
    </w:p>
  </w:footnote>
  <w:footnote w:id="7">
    <w:p w:rsidR="00F772A4" w:rsidRDefault="00F772A4">
      <w:pPr>
        <w:pStyle w:val="FootnoteText"/>
      </w:pPr>
      <w:r>
        <w:rPr>
          <w:rStyle w:val="FootnoteReference"/>
        </w:rPr>
        <w:footnoteRef/>
      </w:r>
      <w:r>
        <w:t xml:space="preserve"> See p 16</w:t>
      </w:r>
      <w:r w:rsidR="0048687B">
        <w:t xml:space="preserve"> of the record of proceedings. </w:t>
      </w:r>
    </w:p>
  </w:footnote>
  <w:footnote w:id="8">
    <w:p w:rsidR="00AB053C" w:rsidRDefault="00AB053C">
      <w:pPr>
        <w:pStyle w:val="FootnoteText"/>
      </w:pPr>
      <w:r>
        <w:rPr>
          <w:rStyle w:val="FootnoteReference"/>
        </w:rPr>
        <w:footnoteRef/>
      </w:r>
      <w:r>
        <w:t xml:space="preserve"> See p 15 of the record</w:t>
      </w:r>
    </w:p>
  </w:footnote>
  <w:footnote w:id="9">
    <w:p w:rsidR="00AA3427" w:rsidRDefault="00AA3427">
      <w:pPr>
        <w:pStyle w:val="FootnoteText"/>
      </w:pPr>
      <w:r>
        <w:rPr>
          <w:rStyle w:val="FootnoteReference"/>
        </w:rPr>
        <w:footnoteRef/>
      </w:r>
      <w:r>
        <w:t xml:space="preserve"> 1989 (2) ZLR 300</w:t>
      </w:r>
    </w:p>
  </w:footnote>
  <w:footnote w:id="10">
    <w:p w:rsidR="00AA3427" w:rsidRDefault="00AA3427">
      <w:pPr>
        <w:pStyle w:val="FootnoteText"/>
      </w:pPr>
      <w:r>
        <w:rPr>
          <w:rStyle w:val="FootnoteReference"/>
        </w:rPr>
        <w:footnoteRef/>
      </w:r>
      <w:r>
        <w:t xml:space="preserve"> S v Mugwenhe 1991 (2) ZLR 66 (s) S v Mundowa 1989 (2) ZLR 392 (H)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381220"/>
      <w:docPartObj>
        <w:docPartGallery w:val="Page Numbers (Top of Page)"/>
        <w:docPartUnique/>
      </w:docPartObj>
    </w:sdtPr>
    <w:sdtEndPr>
      <w:rPr>
        <w:noProof/>
      </w:rPr>
    </w:sdtEndPr>
    <w:sdtContent>
      <w:p w:rsidR="00415F3D" w:rsidRDefault="00415F3D">
        <w:pPr>
          <w:pStyle w:val="Header"/>
          <w:jc w:val="right"/>
          <w:rPr>
            <w:noProof/>
          </w:rPr>
        </w:pPr>
        <w:r>
          <w:fldChar w:fldCharType="begin"/>
        </w:r>
        <w:r>
          <w:instrText xml:space="preserve"> PAGE   \* MERGEFORMAT </w:instrText>
        </w:r>
        <w:r>
          <w:fldChar w:fldCharType="separate"/>
        </w:r>
        <w:r w:rsidR="003642D6">
          <w:rPr>
            <w:noProof/>
          </w:rPr>
          <w:t>1</w:t>
        </w:r>
        <w:r>
          <w:rPr>
            <w:noProof/>
          </w:rPr>
          <w:fldChar w:fldCharType="end"/>
        </w:r>
      </w:p>
      <w:p w:rsidR="00415F3D" w:rsidRDefault="00A513A3">
        <w:pPr>
          <w:pStyle w:val="Header"/>
          <w:jc w:val="right"/>
          <w:rPr>
            <w:noProof/>
          </w:rPr>
        </w:pPr>
        <w:r>
          <w:rPr>
            <w:noProof/>
          </w:rPr>
          <w:t>HMT 35</w:t>
        </w:r>
        <w:r w:rsidR="003660D9">
          <w:rPr>
            <w:noProof/>
          </w:rPr>
          <w:t>-</w:t>
        </w:r>
        <w:r w:rsidR="00415F3D">
          <w:rPr>
            <w:noProof/>
          </w:rPr>
          <w:t>21</w:t>
        </w:r>
      </w:p>
      <w:p w:rsidR="00415F3D" w:rsidRDefault="00415F3D">
        <w:pPr>
          <w:pStyle w:val="Header"/>
          <w:jc w:val="right"/>
          <w:rPr>
            <w:noProof/>
          </w:rPr>
        </w:pPr>
        <w:r>
          <w:rPr>
            <w:noProof/>
          </w:rPr>
          <w:t>CASE NO. CA 42/20</w:t>
        </w:r>
      </w:p>
      <w:p w:rsidR="00415F3D" w:rsidRDefault="00415F3D">
        <w:pPr>
          <w:pStyle w:val="Header"/>
          <w:jc w:val="right"/>
          <w:rPr>
            <w:noProof/>
          </w:rPr>
        </w:pPr>
        <w:r>
          <w:rPr>
            <w:noProof/>
          </w:rPr>
          <w:t>CRB MUTP 3203/20</w:t>
        </w:r>
      </w:p>
      <w:p w:rsidR="00415F3D" w:rsidRDefault="00E7782A">
        <w:pPr>
          <w:pStyle w:val="Header"/>
          <w:jc w:val="right"/>
        </w:pPr>
      </w:p>
    </w:sdtContent>
  </w:sdt>
  <w:p w:rsidR="00415F3D" w:rsidRDefault="00415F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71192"/>
    <w:multiLevelType w:val="hybridMultilevel"/>
    <w:tmpl w:val="C3D2E17A"/>
    <w:lvl w:ilvl="0" w:tplc="5AE696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35733B6"/>
    <w:multiLevelType w:val="hybridMultilevel"/>
    <w:tmpl w:val="719020CA"/>
    <w:lvl w:ilvl="0" w:tplc="9D74DA62">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4CC56775"/>
    <w:multiLevelType w:val="hybridMultilevel"/>
    <w:tmpl w:val="B3F2BD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9C63AB9"/>
    <w:multiLevelType w:val="hybridMultilevel"/>
    <w:tmpl w:val="0FDA8F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BC908CC"/>
    <w:multiLevelType w:val="hybridMultilevel"/>
    <w:tmpl w:val="F4424D8A"/>
    <w:lvl w:ilvl="0" w:tplc="92FE900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5F783997"/>
    <w:multiLevelType w:val="hybridMultilevel"/>
    <w:tmpl w:val="8BB074F4"/>
    <w:lvl w:ilvl="0" w:tplc="87600440">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798C3BA3"/>
    <w:multiLevelType w:val="hybridMultilevel"/>
    <w:tmpl w:val="477CEC1E"/>
    <w:lvl w:ilvl="0" w:tplc="8F3C9C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3"/>
  </w:num>
  <w:num w:numId="3">
    <w:abstractNumId w:val="0"/>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D12"/>
    <w:rsid w:val="000B2A87"/>
    <w:rsid w:val="000B6E6B"/>
    <w:rsid w:val="0027639D"/>
    <w:rsid w:val="00305D12"/>
    <w:rsid w:val="00337953"/>
    <w:rsid w:val="003642D6"/>
    <w:rsid w:val="003660D9"/>
    <w:rsid w:val="0036793F"/>
    <w:rsid w:val="003E5FCB"/>
    <w:rsid w:val="00400295"/>
    <w:rsid w:val="00415F3D"/>
    <w:rsid w:val="00442BFB"/>
    <w:rsid w:val="0048687B"/>
    <w:rsid w:val="004C52A3"/>
    <w:rsid w:val="00533C74"/>
    <w:rsid w:val="005549E3"/>
    <w:rsid w:val="005A536F"/>
    <w:rsid w:val="006010D6"/>
    <w:rsid w:val="00672B4D"/>
    <w:rsid w:val="00675420"/>
    <w:rsid w:val="006C77E8"/>
    <w:rsid w:val="00700A99"/>
    <w:rsid w:val="00767533"/>
    <w:rsid w:val="007C718A"/>
    <w:rsid w:val="008327C9"/>
    <w:rsid w:val="00A513A3"/>
    <w:rsid w:val="00AA1615"/>
    <w:rsid w:val="00AA3427"/>
    <w:rsid w:val="00AB053C"/>
    <w:rsid w:val="00BD3D91"/>
    <w:rsid w:val="00BF13FB"/>
    <w:rsid w:val="00C6399D"/>
    <w:rsid w:val="00CA131E"/>
    <w:rsid w:val="00CB72D0"/>
    <w:rsid w:val="00CB791B"/>
    <w:rsid w:val="00D343FF"/>
    <w:rsid w:val="00D6638E"/>
    <w:rsid w:val="00DB522F"/>
    <w:rsid w:val="00DC5679"/>
    <w:rsid w:val="00DE13DF"/>
    <w:rsid w:val="00E52524"/>
    <w:rsid w:val="00E7782A"/>
    <w:rsid w:val="00F4247F"/>
    <w:rsid w:val="00F772A4"/>
    <w:rsid w:val="00FB383F"/>
    <w:rsid w:val="00FB44B8"/>
    <w:rsid w:val="00FF73E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B472F-497B-4FDE-A711-1E85FE0F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D1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47F"/>
    <w:pPr>
      <w:ind w:left="720"/>
      <w:contextualSpacing/>
    </w:pPr>
  </w:style>
  <w:style w:type="paragraph" w:styleId="FootnoteText">
    <w:name w:val="footnote text"/>
    <w:basedOn w:val="Normal"/>
    <w:link w:val="FootnoteTextChar"/>
    <w:uiPriority w:val="99"/>
    <w:semiHidden/>
    <w:unhideWhenUsed/>
    <w:rsid w:val="00D663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38E"/>
    <w:rPr>
      <w:sz w:val="20"/>
      <w:szCs w:val="20"/>
    </w:rPr>
  </w:style>
  <w:style w:type="character" w:styleId="FootnoteReference">
    <w:name w:val="footnote reference"/>
    <w:basedOn w:val="DefaultParagraphFont"/>
    <w:uiPriority w:val="99"/>
    <w:semiHidden/>
    <w:unhideWhenUsed/>
    <w:rsid w:val="00D6638E"/>
    <w:rPr>
      <w:vertAlign w:val="superscript"/>
    </w:rPr>
  </w:style>
  <w:style w:type="paragraph" w:styleId="Header">
    <w:name w:val="header"/>
    <w:basedOn w:val="Normal"/>
    <w:link w:val="HeaderChar"/>
    <w:uiPriority w:val="99"/>
    <w:unhideWhenUsed/>
    <w:rsid w:val="00415F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F3D"/>
  </w:style>
  <w:style w:type="paragraph" w:styleId="Footer">
    <w:name w:val="footer"/>
    <w:basedOn w:val="Normal"/>
    <w:link w:val="FooterChar"/>
    <w:uiPriority w:val="99"/>
    <w:unhideWhenUsed/>
    <w:rsid w:val="00415F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F3D"/>
  </w:style>
  <w:style w:type="paragraph" w:styleId="BalloonText">
    <w:name w:val="Balloon Text"/>
    <w:basedOn w:val="Normal"/>
    <w:link w:val="BalloonTextChar"/>
    <w:uiPriority w:val="99"/>
    <w:semiHidden/>
    <w:unhideWhenUsed/>
    <w:rsid w:val="00A51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3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63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A8006-C23B-491E-B2BC-107F19117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2103</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Microsoft account</cp:lastModifiedBy>
  <cp:revision>2</cp:revision>
  <cp:lastPrinted>2021-06-11T13:59:00Z</cp:lastPrinted>
  <dcterms:created xsi:type="dcterms:W3CDTF">2021-06-18T11:35:00Z</dcterms:created>
  <dcterms:modified xsi:type="dcterms:W3CDTF">2021-06-18T11:35:00Z</dcterms:modified>
</cp:coreProperties>
</file>