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A3123">
      <w:pPr>
        <w:spacing w:after="0" w:line="240" w:lineRule="auto"/>
        <w:rPr>
          <w:rFonts w:ascii="Times New Roman" w:hAnsi="Times New Roman" w:cs="Times New Roman"/>
          <w:b/>
          <w:sz w:val="24"/>
          <w:szCs w:val="24"/>
          <w:u w:val="single"/>
        </w:rPr>
      </w:pPr>
      <w:bookmarkStart w:id="4" w:name="_GoBack"/>
      <w:bookmarkEnd w:id="4"/>
      <w:r>
        <w:rPr>
          <w:rFonts w:ascii="Times New Roman" w:hAnsi="Times New Roman" w:cs="Times New Roman"/>
          <w:b/>
          <w:sz w:val="24"/>
          <w:szCs w:val="24"/>
          <w:u w:val="single"/>
        </w:rPr>
        <w:t>REPORTABLE</w:t>
      </w:r>
      <w:r>
        <w:rPr>
          <w:rFonts w:ascii="Times New Roman" w:hAnsi="Times New Roman" w:cs="Times New Roman"/>
          <w:b/>
          <w:sz w:val="24"/>
          <w:szCs w:val="24"/>
        </w:rPr>
        <w:t xml:space="preserve">      (92)</w:t>
      </w:r>
      <w:r>
        <w:rPr>
          <w:rFonts w:ascii="Times New Roman" w:hAnsi="Times New Roman" w:cs="Times New Roman"/>
          <w:b/>
          <w:sz w:val="24"/>
          <w:szCs w:val="24"/>
        </w:rPr>
        <w:tab/>
      </w:r>
    </w:p>
    <w:p w14:paraId="40FBEFE5">
      <w:pPr>
        <w:spacing w:after="0" w:line="240" w:lineRule="auto"/>
        <w:jc w:val="center"/>
        <w:rPr>
          <w:rFonts w:ascii="Times New Roman" w:hAnsi="Times New Roman" w:cs="Times New Roman"/>
          <w:b/>
          <w:sz w:val="24"/>
          <w:szCs w:val="24"/>
        </w:rPr>
      </w:pPr>
    </w:p>
    <w:p w14:paraId="3A26A43E">
      <w:pPr>
        <w:spacing w:after="0" w:line="480" w:lineRule="auto"/>
        <w:jc w:val="center"/>
        <w:rPr>
          <w:rFonts w:ascii="Times New Roman" w:hAnsi="Times New Roman" w:cs="Times New Roman"/>
          <w:b/>
          <w:sz w:val="24"/>
          <w:szCs w:val="24"/>
        </w:rPr>
      </w:pPr>
    </w:p>
    <w:p w14:paraId="099CE3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CLAWZY     TRADING     (PRIVATE)     LIMITED</w:t>
      </w:r>
    </w:p>
    <w:p w14:paraId="62CAF2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1EC7D28F">
      <w:pPr>
        <w:pStyle w:val="28"/>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JONASI     CHITSA     (2)     SABINA     NYARAI     CHITSA     (3)     MATOPOS     PROPERTIES     (PRIVATE)     LIMITED     (4)     REGISTRAR OF     DEEDS     N.O     (5)     THE     DEPUTY     SHERIFF     N.O</w:t>
      </w:r>
    </w:p>
    <w:p w14:paraId="73422366">
      <w:pPr>
        <w:spacing w:line="480" w:lineRule="auto"/>
        <w:jc w:val="center"/>
        <w:rPr>
          <w:rFonts w:ascii="Times New Roman" w:hAnsi="Times New Roman" w:cs="Times New Roman"/>
          <w:b/>
          <w:sz w:val="24"/>
          <w:szCs w:val="24"/>
        </w:rPr>
      </w:pPr>
    </w:p>
    <w:p w14:paraId="65E40B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SUPREME COURT OF ZIMBABWE </w:t>
      </w:r>
    </w:p>
    <w:p w14:paraId="7897D2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GUVAVA JA, MAKONI JA &amp; CHATUKUTA JA </w:t>
      </w:r>
    </w:p>
    <w:p w14:paraId="7385B45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17 JUNE 2024 &amp; 18 OCTOBER 2024 </w:t>
      </w:r>
    </w:p>
    <w:p w14:paraId="6B650ADB">
      <w:pPr>
        <w:spacing w:after="0" w:line="480" w:lineRule="auto"/>
        <w:jc w:val="both"/>
        <w:rPr>
          <w:rFonts w:ascii="Times New Roman" w:hAnsi="Times New Roman" w:cs="Times New Roman"/>
          <w:b/>
          <w:sz w:val="24"/>
          <w:szCs w:val="24"/>
        </w:rPr>
      </w:pPr>
    </w:p>
    <w:p w14:paraId="1E5E60E2">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T.L. Mapuranga</w:t>
      </w:r>
      <w:r>
        <w:rPr>
          <w:rFonts w:ascii="Times New Roman" w:hAnsi="Times New Roman" w:cs="Times New Roman"/>
          <w:sz w:val="24"/>
          <w:szCs w:val="24"/>
        </w:rPr>
        <w:t>, for the appellant</w:t>
      </w:r>
    </w:p>
    <w:p w14:paraId="25B7722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R.M. Fitches, </w:t>
      </w:r>
      <w:r>
        <w:rPr>
          <w:rFonts w:ascii="Times New Roman" w:hAnsi="Times New Roman" w:cs="Times New Roman"/>
          <w:sz w:val="24"/>
          <w:szCs w:val="24"/>
        </w:rPr>
        <w:t xml:space="preserve">for the first and second respondents </w:t>
      </w:r>
    </w:p>
    <w:p w14:paraId="75564D33">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third, fourth and fifth respondents </w:t>
      </w:r>
    </w:p>
    <w:p w14:paraId="3594BF58">
      <w:pPr>
        <w:tabs>
          <w:tab w:val="left" w:pos="567"/>
        </w:tabs>
        <w:spacing w:after="0" w:line="240" w:lineRule="auto"/>
        <w:jc w:val="both"/>
        <w:rPr>
          <w:rFonts w:ascii="Times New Roman" w:hAnsi="Times New Roman" w:cs="Times New Roman"/>
          <w:sz w:val="24"/>
          <w:szCs w:val="24"/>
        </w:rPr>
      </w:pPr>
    </w:p>
    <w:p w14:paraId="0ADC95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MAKONI JA:</w:t>
      </w:r>
      <w:r>
        <w:rPr>
          <w:rFonts w:ascii="Times New Roman" w:hAnsi="Times New Roman" w:cs="Times New Roman"/>
          <w:b/>
          <w:sz w:val="24"/>
          <w:szCs w:val="24"/>
        </w:rPr>
        <w:tab/>
      </w:r>
    </w:p>
    <w:p w14:paraId="64BB2361">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   This is an appeal against the whole judgment of the High Court of Zimbabwe (“the court </w:t>
      </w:r>
      <w:r>
        <w:rPr>
          <w:rFonts w:ascii="Times New Roman" w:hAnsi="Times New Roman" w:cs="Times New Roman"/>
          <w:i/>
          <w:sz w:val="24"/>
          <w:szCs w:val="24"/>
        </w:rPr>
        <w:t>a quo”</w:t>
      </w:r>
      <w:r>
        <w:rPr>
          <w:rFonts w:ascii="Times New Roman" w:hAnsi="Times New Roman" w:cs="Times New Roman"/>
          <w:sz w:val="24"/>
          <w:szCs w:val="24"/>
        </w:rPr>
        <w:t xml:space="preserve">) sitting at Harare dated 10 November 2021.  In the court </w:t>
      </w:r>
      <w:r>
        <w:rPr>
          <w:rFonts w:ascii="Times New Roman" w:hAnsi="Times New Roman" w:cs="Times New Roman"/>
          <w:i/>
          <w:iCs/>
          <w:sz w:val="24"/>
          <w:szCs w:val="24"/>
        </w:rPr>
        <w:t>a quo</w:t>
      </w:r>
      <w:r>
        <w:rPr>
          <w:rFonts w:ascii="Times New Roman" w:hAnsi="Times New Roman" w:cs="Times New Roman"/>
          <w:sz w:val="24"/>
          <w:szCs w:val="24"/>
        </w:rPr>
        <w:t>, the first and second respondents issued summons against  the appellant for cancellation of its title deed over a certain piece of land situate in the district of Salisbury called Stand 2465 Glen Lorne Township (hereinafter called ‘the property”).  The appellant counter claimed for their eviction from the property and holding over damages.  Judgment was entered for the first and second respondents as against the appellant.  It is that judgment that is the subject of this appeal.</w:t>
      </w:r>
    </w:p>
    <w:p w14:paraId="0E69AF55">
      <w:pPr>
        <w:autoSpaceDE w:val="0"/>
        <w:autoSpaceDN w:val="0"/>
        <w:adjustRightInd w:val="0"/>
        <w:spacing w:after="0" w:line="480" w:lineRule="auto"/>
        <w:ind w:left="360"/>
        <w:jc w:val="both"/>
        <w:rPr>
          <w:rFonts w:ascii="Times New Roman" w:hAnsi="Times New Roman" w:cs="Times New Roman"/>
          <w:sz w:val="24"/>
          <w:szCs w:val="24"/>
        </w:rPr>
      </w:pPr>
    </w:p>
    <w:p w14:paraId="0962E24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BACKGROUND FACTS </w:t>
      </w:r>
    </w:p>
    <w:p w14:paraId="318F60F0">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    The appellant is a company registered in accordance with the laws of Zimbabwe.  The first and second respondents are husband and wife and were the holders of title to the property before its transfer to the third respondent and subsequently to the appellant.  The third respondent is a company registered in the United Kingdom, and an entity controlled by one Frank Buyanga.  The fourth respondent is the Registrar of Deeds, Harare.  The fifth respondent is the Deputy Sheriff, Harare.  </w:t>
      </w:r>
    </w:p>
    <w:p w14:paraId="657E8D7E">
      <w:pPr>
        <w:tabs>
          <w:tab w:val="left" w:pos="567"/>
        </w:tabs>
        <w:spacing w:after="0" w:line="240" w:lineRule="auto"/>
        <w:ind w:left="567" w:hanging="567"/>
        <w:jc w:val="both"/>
        <w:rPr>
          <w:rFonts w:ascii="Times New Roman" w:hAnsi="Times New Roman" w:cs="Times New Roman"/>
          <w:sz w:val="24"/>
          <w:szCs w:val="24"/>
        </w:rPr>
      </w:pPr>
    </w:p>
    <w:p w14:paraId="275B0DB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    The facts of this matter are common cause.  This is one of the many cases that have gone through our courts which can be safely termed “The Buyanga Cases”.  On or about August 2009, the first and second respondents entered into a loan agreement with the third respondent for US$ 25,000.00.</w:t>
      </w:r>
    </w:p>
    <w:p w14:paraId="1B2D908D">
      <w:pPr>
        <w:spacing w:after="0" w:line="240" w:lineRule="auto"/>
        <w:ind w:left="567" w:hanging="567"/>
        <w:jc w:val="both"/>
        <w:rPr>
          <w:rFonts w:ascii="Times New Roman" w:hAnsi="Times New Roman" w:cs="Times New Roman"/>
          <w:sz w:val="24"/>
          <w:szCs w:val="24"/>
        </w:rPr>
      </w:pPr>
    </w:p>
    <w:p w14:paraId="6B2B2496">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  Part of the terms of the agreement were that the sum of US$25 000.00 plus an administration fee of US$2 500.00 were to be repaid, by the first and second respondent, at an interest rate of 9% per month in three instalments as follows:</w:t>
      </w:r>
    </w:p>
    <w:p w14:paraId="71278447">
      <w:pPr>
        <w:spacing w:after="0" w:line="240" w:lineRule="auto"/>
        <w:ind w:left="720" w:firstLine="41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 xml:space="preserve"> A sum of US$2 475.00 being interest on or before the 30</w:t>
      </w:r>
      <w:r>
        <w:rPr>
          <w:rFonts w:ascii="Times New Roman" w:hAnsi="Times New Roman" w:cs="Times New Roman"/>
          <w:sz w:val="24"/>
          <w:szCs w:val="24"/>
          <w:vertAlign w:val="superscript"/>
        </w:rPr>
        <w:t xml:space="preserve"> </w:t>
      </w:r>
      <w:r>
        <w:rPr>
          <w:rFonts w:ascii="Times New Roman" w:hAnsi="Times New Roman" w:cs="Times New Roman"/>
          <w:sz w:val="24"/>
          <w:szCs w:val="24"/>
        </w:rPr>
        <w:t>of September 2009;</w:t>
      </w:r>
    </w:p>
    <w:p w14:paraId="46CFA830">
      <w:pPr>
        <w:spacing w:after="0" w:line="240" w:lineRule="auto"/>
        <w:ind w:left="720" w:firstLine="414"/>
        <w:jc w:val="both"/>
        <w:rPr>
          <w:rFonts w:ascii="Times New Roman" w:hAnsi="Times New Roman" w:cs="Times New Roman"/>
          <w:sz w:val="24"/>
          <w:szCs w:val="24"/>
        </w:rPr>
      </w:pPr>
    </w:p>
    <w:p w14:paraId="140A8651">
      <w:pPr>
        <w:spacing w:after="0" w:line="240" w:lineRule="auto"/>
        <w:ind w:left="720" w:firstLine="41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 xml:space="preserve"> A sum of US$2 475.00 being interest on or before the 31</w:t>
      </w:r>
      <w:r>
        <w:rPr>
          <w:rFonts w:ascii="Times New Roman" w:hAnsi="Times New Roman" w:cs="Times New Roman"/>
          <w:sz w:val="24"/>
          <w:szCs w:val="24"/>
          <w:vertAlign w:val="superscript"/>
        </w:rPr>
        <w:t xml:space="preserve"> </w:t>
      </w:r>
      <w:r>
        <w:rPr>
          <w:rFonts w:ascii="Times New Roman" w:hAnsi="Times New Roman" w:cs="Times New Roman"/>
          <w:sz w:val="24"/>
          <w:szCs w:val="24"/>
        </w:rPr>
        <w:t>of October 2009;</w:t>
      </w:r>
    </w:p>
    <w:p w14:paraId="2774257C">
      <w:pPr>
        <w:spacing w:after="0" w:line="240" w:lineRule="auto"/>
        <w:ind w:left="720" w:firstLine="414"/>
        <w:jc w:val="both"/>
        <w:rPr>
          <w:rFonts w:ascii="Times New Roman" w:hAnsi="Times New Roman" w:cs="Times New Roman"/>
          <w:sz w:val="24"/>
          <w:szCs w:val="24"/>
        </w:rPr>
      </w:pPr>
    </w:p>
    <w:p w14:paraId="72CF81E7">
      <w:pPr>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 sum of US$2 475.00 being interest and the capital debt in the sum of US$           25 000.00 on or before 30</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of November 2009. </w:t>
      </w:r>
    </w:p>
    <w:p w14:paraId="175C05B3">
      <w:pPr>
        <w:spacing w:line="240" w:lineRule="auto"/>
        <w:ind w:left="1560" w:hanging="426"/>
        <w:jc w:val="both"/>
        <w:rPr>
          <w:rFonts w:ascii="Times New Roman" w:hAnsi="Times New Roman" w:cs="Times New Roman"/>
          <w:sz w:val="24"/>
          <w:szCs w:val="24"/>
        </w:rPr>
      </w:pPr>
    </w:p>
    <w:p w14:paraId="203AE5C5">
      <w:pPr>
        <w:tabs>
          <w:tab w:val="left" w:pos="567"/>
        </w:tabs>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     As security for the loan, the first and second respondents put up their immovable property.  In view of the fact that the third respondent was not a registered money lender, it was agreed that the first and second respondent would sign an agreement of sale, powers of attorney and declarations by sellers in favour of the third respondent.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They also handed over the title deed to the property on the understanding that the transfer would never be effected. </w:t>
      </w:r>
    </w:p>
    <w:p w14:paraId="0E8D83BF">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
    <w:p w14:paraId="0FA4DA40">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   Pursuant to the loan agreement, the first and second respondents repaid a total sum of US$6 900.00 to the third respondent.  They defaulted in the remaining payments.  They sought and were granted an extension to repay the loan on or before the 24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of March 2010.  They then tendered a sum of US$35 000.00, in full and final settlement of the loan, plus interest on </w:t>
      </w:r>
      <w:r>
        <w:rPr>
          <w:rFonts w:ascii="Times New Roman" w:hAnsi="Times New Roman" w:cs="Times New Roman"/>
          <w:b/>
          <w:bCs/>
          <w:sz w:val="24"/>
          <w:szCs w:val="24"/>
        </w:rPr>
        <w:t>24</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March 2010</w:t>
      </w:r>
      <w:r>
        <w:rPr>
          <w:rFonts w:ascii="Times New Roman" w:hAnsi="Times New Roman" w:cs="Times New Roman"/>
          <w:bCs/>
          <w:sz w:val="24"/>
          <w:szCs w:val="24"/>
        </w:rPr>
        <w:t xml:space="preserve">.  </w:t>
      </w:r>
      <w:r>
        <w:rPr>
          <w:rFonts w:ascii="Times New Roman" w:hAnsi="Times New Roman" w:cs="Times New Roman"/>
          <w:sz w:val="24"/>
          <w:szCs w:val="24"/>
        </w:rPr>
        <w:t xml:space="preserve">The tender was rejected by the third respondent on the basis that the outstanding amount had ballooned to US 68 000.00.  </w:t>
      </w:r>
    </w:p>
    <w:p w14:paraId="4255880A">
      <w:pPr>
        <w:spacing w:line="480" w:lineRule="auto"/>
        <w:ind w:left="567"/>
        <w:jc w:val="both"/>
        <w:rPr>
          <w:rFonts w:ascii="Times New Roman" w:hAnsi="Times New Roman" w:cs="Times New Roman"/>
          <w:b/>
          <w:bCs/>
          <w:sz w:val="24"/>
          <w:szCs w:val="24"/>
        </w:rPr>
      </w:pPr>
      <w:r>
        <w:rPr>
          <w:rFonts w:ascii="Times New Roman" w:hAnsi="Times New Roman" w:cs="Times New Roman"/>
          <w:sz w:val="24"/>
          <w:szCs w:val="24"/>
        </w:rPr>
        <w:t xml:space="preserve">The property was subsequently transferred into the name of the third respondent on         </w:t>
      </w:r>
      <w:r>
        <w:rPr>
          <w:rFonts w:ascii="Times New Roman" w:hAnsi="Times New Roman" w:cs="Times New Roman"/>
          <w:b/>
          <w:bCs/>
          <w:sz w:val="24"/>
          <w:szCs w:val="24"/>
        </w:rPr>
        <w:t>30</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March 2010</w:t>
      </w:r>
      <w:r>
        <w:rPr>
          <w:rFonts w:ascii="Times New Roman" w:hAnsi="Times New Roman" w:cs="Times New Roman"/>
          <w:sz w:val="24"/>
          <w:szCs w:val="24"/>
        </w:rPr>
        <w:t xml:space="preserve"> and the same property was transferred into the name of the appellant on </w:t>
      </w:r>
      <w:r>
        <w:rPr>
          <w:rFonts w:ascii="Times New Roman" w:hAnsi="Times New Roman" w:cs="Times New Roman"/>
          <w:b/>
          <w:bCs/>
          <w:sz w:val="24"/>
          <w:szCs w:val="24"/>
        </w:rPr>
        <w:t xml:space="preserve">29 April 2010.   </w:t>
      </w:r>
    </w:p>
    <w:p w14:paraId="01AEC1DA">
      <w:pPr>
        <w:spacing w:after="0" w:line="240" w:lineRule="auto"/>
        <w:ind w:left="567"/>
        <w:jc w:val="both"/>
        <w:rPr>
          <w:rFonts w:ascii="Times New Roman" w:hAnsi="Times New Roman" w:cs="Times New Roman"/>
          <w:b/>
          <w:bCs/>
          <w:sz w:val="24"/>
          <w:szCs w:val="24"/>
        </w:rPr>
      </w:pPr>
    </w:p>
    <w:p w14:paraId="6650C9B6">
      <w:pPr>
        <w:spacing w:after="0" w:line="480" w:lineRule="auto"/>
        <w:jc w:val="both"/>
        <w:rPr>
          <w:rFonts w:ascii="Times New Roman" w:hAnsi="Times New Roman" w:cs="Times New Roman"/>
          <w:b/>
          <w:i/>
          <w:sz w:val="24"/>
          <w:szCs w:val="24"/>
          <w:u w:val="single"/>
        </w:rPr>
      </w:pPr>
      <w:r>
        <w:rPr>
          <w:rFonts w:ascii="Times New Roman" w:hAnsi="Times New Roman" w:cs="Times New Roman"/>
          <w:b/>
          <w:sz w:val="24"/>
          <w:szCs w:val="24"/>
          <w:u w:val="single"/>
        </w:rPr>
        <w:t xml:space="preserve">PROCEEDINGS BEFORE THE COURT </w:t>
      </w:r>
      <w:r>
        <w:rPr>
          <w:rFonts w:ascii="Times New Roman" w:hAnsi="Times New Roman" w:cs="Times New Roman"/>
          <w:b/>
          <w:i/>
          <w:sz w:val="24"/>
          <w:szCs w:val="24"/>
          <w:u w:val="single"/>
        </w:rPr>
        <w:t>A QUO</w:t>
      </w:r>
    </w:p>
    <w:p w14:paraId="01B6D57C">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    The first and second respondents issued summons in the court </w:t>
      </w:r>
      <w:r>
        <w:rPr>
          <w:rFonts w:ascii="Times New Roman" w:hAnsi="Times New Roman" w:cs="Times New Roman"/>
          <w:i/>
          <w:sz w:val="24"/>
          <w:szCs w:val="24"/>
        </w:rPr>
        <w:t>a quo</w:t>
      </w:r>
      <w:r>
        <w:rPr>
          <w:rFonts w:ascii="Times New Roman" w:hAnsi="Times New Roman" w:cs="Times New Roman"/>
          <w:sz w:val="24"/>
          <w:szCs w:val="24"/>
        </w:rPr>
        <w:t xml:space="preserve"> seeking an order declaring the transfer of the immovable property from their names to the third respondent and the subsequent transfer of the same property from the third respondent to the appellant, null and void.  They also sought consequential relief which included, </w:t>
      </w:r>
      <w:r>
        <w:rPr>
          <w:rFonts w:ascii="Times New Roman" w:hAnsi="Times New Roman" w:cs="Times New Roman"/>
          <w:i/>
          <w:iCs/>
          <w:sz w:val="24"/>
          <w:szCs w:val="24"/>
        </w:rPr>
        <w:t>inter alia</w:t>
      </w:r>
      <w:r>
        <w:rPr>
          <w:rFonts w:ascii="Times New Roman" w:hAnsi="Times New Roman" w:cs="Times New Roman"/>
          <w:sz w:val="24"/>
          <w:szCs w:val="24"/>
        </w:rPr>
        <w:t xml:space="preserve"> the reinstatement of their title deed.</w:t>
      </w:r>
    </w:p>
    <w:p w14:paraId="44574267">
      <w:p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3962ADC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[8]    The first and second respondents contended that they never intended to sell the property to the third respondent especially considering that the purchase price of US$25 000, reflected in the agreement, was way below the value of the property of US$170 000 which was ascertained through an evaluation of the property. </w:t>
      </w:r>
    </w:p>
    <w:p w14:paraId="11A57210">
      <w:pPr>
        <w:spacing w:after="0" w:line="240" w:lineRule="auto"/>
        <w:jc w:val="both"/>
        <w:rPr>
          <w:rFonts w:ascii="Times New Roman" w:hAnsi="Times New Roman" w:cs="Times New Roman"/>
          <w:sz w:val="24"/>
          <w:szCs w:val="24"/>
        </w:rPr>
      </w:pPr>
    </w:p>
    <w:p w14:paraId="19B2ADED">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[9]    The third respondent denied that there was ever a loan agreement and that the first and second respondents were asked to surrender their title deeds as security.  It was the third respondent’s position that the first and second respondents approached the third respondent intending to sell their property at an agreed price of US $25 000.00.   It must be noted that the third respondent, after filing its plea, did not participate further in the proceedings </w:t>
      </w:r>
      <w:r>
        <w:rPr>
          <w:rFonts w:ascii="Times New Roman" w:hAnsi="Times New Roman" w:cs="Times New Roman"/>
          <w:i/>
          <w:iCs/>
          <w:sz w:val="24"/>
          <w:szCs w:val="24"/>
        </w:rPr>
        <w:t>a quo</w:t>
      </w:r>
      <w:r>
        <w:rPr>
          <w:rFonts w:ascii="Times New Roman" w:hAnsi="Times New Roman" w:cs="Times New Roman"/>
          <w:sz w:val="24"/>
          <w:szCs w:val="24"/>
        </w:rPr>
        <w:t xml:space="preserve">. </w:t>
      </w:r>
    </w:p>
    <w:p w14:paraId="4F5A977C">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[10] The appellant filed a claim in reconvention in the court </w:t>
      </w:r>
      <w:r>
        <w:rPr>
          <w:rFonts w:ascii="Times New Roman" w:hAnsi="Times New Roman" w:cs="Times New Roman"/>
          <w:i/>
          <w:sz w:val="24"/>
          <w:szCs w:val="24"/>
        </w:rPr>
        <w:t>a quo</w:t>
      </w:r>
      <w:r>
        <w:rPr>
          <w:rFonts w:ascii="Times New Roman" w:hAnsi="Times New Roman" w:cs="Times New Roman"/>
          <w:sz w:val="24"/>
          <w:szCs w:val="24"/>
        </w:rPr>
        <w:t xml:space="preserve">.  It claimed that the immovable property was transferred to it by the third respondent who was the holder of rights, title and interest in the property in question.  The appellant alleged that the first and second respondents were occupants of the immovable property and were given                      3 months’ notice to vacate the premises but they refused to do so.  It sought an order for their eviction and holding over damages. </w:t>
      </w:r>
    </w:p>
    <w:p w14:paraId="26FC8107">
      <w:pPr>
        <w:tabs>
          <w:tab w:val="left" w:pos="567"/>
        </w:tabs>
        <w:spacing w:after="0" w:line="240" w:lineRule="auto"/>
        <w:ind w:left="567" w:hanging="567"/>
        <w:jc w:val="both"/>
        <w:rPr>
          <w:rFonts w:ascii="Times New Roman" w:hAnsi="Times New Roman" w:cs="Times New Roman"/>
          <w:sz w:val="24"/>
          <w:szCs w:val="24"/>
        </w:rPr>
      </w:pPr>
    </w:p>
    <w:p w14:paraId="17A86CDB">
      <w:pPr>
        <w:tabs>
          <w:tab w:val="left" w:pos="8931"/>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[11]  In the proceedings </w:t>
      </w:r>
      <w:r>
        <w:rPr>
          <w:rFonts w:ascii="Times New Roman" w:hAnsi="Times New Roman" w:cs="Times New Roman"/>
          <w:i/>
          <w:sz w:val="24"/>
          <w:szCs w:val="24"/>
        </w:rPr>
        <w:t>a quo</w:t>
      </w:r>
      <w:r>
        <w:rPr>
          <w:rFonts w:ascii="Times New Roman" w:hAnsi="Times New Roman" w:cs="Times New Roman"/>
          <w:sz w:val="24"/>
          <w:szCs w:val="24"/>
        </w:rPr>
        <w:t xml:space="preserve">, evidence was led through one Ellen Mawire from the Deeds Registry and one Tawanda Peter Chitura from ZIMRA amongst other witnesses.  Ellen Mawire led evidence in respect of irregularities on the power of attorney that was used to transfer the property from the first and second respondents to the third respondent. There was an alteration that was not signed for.  </w:t>
      </w:r>
    </w:p>
    <w:p w14:paraId="67489A56">
      <w:pPr>
        <w:tabs>
          <w:tab w:val="left" w:pos="567"/>
        </w:tabs>
        <w:spacing w:after="0" w:line="240" w:lineRule="auto"/>
        <w:ind w:left="567" w:hanging="567"/>
        <w:jc w:val="both"/>
        <w:rPr>
          <w:rFonts w:ascii="Times New Roman" w:hAnsi="Times New Roman" w:cs="Times New Roman"/>
          <w:sz w:val="24"/>
          <w:szCs w:val="24"/>
        </w:rPr>
      </w:pPr>
    </w:p>
    <w:p w14:paraId="5258B8A6">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[12] Tawanda Peter Chitura testified that the capital gains tax certificate that was used to transfer the property into the third respondent’s name was fraudulent but that the one used for the transfer between the third respondent and the appellant was genuine.  He pointed out the many features of the certificate that proved that it was fake.  He also gave evidence to the effect that the US $1 250 supposedly paid as capital gains tax was never paid because the parties were not in the ZIMRA system.  It was his evidence that no number had been created in the system for purposes of effecting payment.  The number indicated at the top of the certificate showed that it belonged to a different taxpayer.  The signatures on the certificate were fake and the ZIMRA stamp on the certificate was also fake. </w:t>
      </w:r>
    </w:p>
    <w:p w14:paraId="3A48B3B6">
      <w:pPr>
        <w:spacing w:after="0" w:line="480" w:lineRule="auto"/>
        <w:jc w:val="both"/>
        <w:rPr>
          <w:rFonts w:ascii="Times New Roman" w:hAnsi="Times New Roman" w:cs="Times New Roman"/>
          <w:b/>
          <w:i/>
          <w:sz w:val="24"/>
          <w:szCs w:val="24"/>
          <w:u w:val="single"/>
        </w:rPr>
      </w:pPr>
      <w:r>
        <w:rPr>
          <w:rFonts w:ascii="Times New Roman" w:hAnsi="Times New Roman" w:cs="Times New Roman"/>
          <w:b/>
          <w:sz w:val="24"/>
          <w:szCs w:val="24"/>
          <w:u w:val="single"/>
        </w:rPr>
        <w:t xml:space="preserve">FINDINGS BY THE COURT </w:t>
      </w:r>
      <w:r>
        <w:rPr>
          <w:rFonts w:ascii="Times New Roman" w:hAnsi="Times New Roman" w:cs="Times New Roman"/>
          <w:b/>
          <w:i/>
          <w:sz w:val="24"/>
          <w:szCs w:val="24"/>
          <w:u w:val="single"/>
        </w:rPr>
        <w:t xml:space="preserve">A QUO </w:t>
      </w:r>
    </w:p>
    <w:p w14:paraId="12231DE5">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[13]   The court </w:t>
      </w:r>
      <w:r>
        <w:rPr>
          <w:rFonts w:ascii="Times New Roman" w:hAnsi="Times New Roman" w:cs="Times New Roman"/>
          <w:i/>
          <w:sz w:val="24"/>
          <w:szCs w:val="24"/>
        </w:rPr>
        <w:t>a quo</w:t>
      </w:r>
      <w:r>
        <w:rPr>
          <w:rFonts w:ascii="Times New Roman" w:hAnsi="Times New Roman" w:cs="Times New Roman"/>
          <w:sz w:val="24"/>
          <w:szCs w:val="24"/>
        </w:rPr>
        <w:t xml:space="preserve">, in dealing with the matter, relied on the judgments of </w:t>
      </w:r>
      <w:r>
        <w:rPr>
          <w:rFonts w:ascii="Times New Roman" w:hAnsi="Times New Roman" w:cs="Times New Roman"/>
          <w:i/>
          <w:sz w:val="24"/>
          <w:szCs w:val="24"/>
        </w:rPr>
        <w:t>Mzilikazi &amp; Anor</w:t>
      </w:r>
      <w:r>
        <w:rPr>
          <w:rFonts w:ascii="Times New Roman" w:hAnsi="Times New Roman" w:cs="Times New Roman"/>
          <w:sz w:val="24"/>
          <w:szCs w:val="24"/>
        </w:rPr>
        <w:t xml:space="preserve"> v </w:t>
      </w:r>
      <w:r>
        <w:rPr>
          <w:rFonts w:ascii="Times New Roman" w:hAnsi="Times New Roman" w:cs="Times New Roman"/>
          <w:i/>
          <w:sz w:val="24"/>
          <w:szCs w:val="24"/>
        </w:rPr>
        <w:t xml:space="preserve">Marume &amp; Ors </w:t>
      </w:r>
      <w:r>
        <w:rPr>
          <w:rFonts w:ascii="Times New Roman" w:hAnsi="Times New Roman" w:cs="Times New Roman"/>
          <w:sz w:val="24"/>
          <w:szCs w:val="24"/>
        </w:rPr>
        <w:t xml:space="preserve">SC 39/16 and </w:t>
      </w:r>
      <w:r>
        <w:rPr>
          <w:rFonts w:ascii="Times New Roman" w:hAnsi="Times New Roman" w:cs="Times New Roman"/>
          <w:i/>
          <w:sz w:val="24"/>
          <w:szCs w:val="24"/>
        </w:rPr>
        <w:t>Mhende &amp; Anor</w:t>
      </w:r>
      <w:r>
        <w:rPr>
          <w:rFonts w:ascii="Times New Roman" w:hAnsi="Times New Roman" w:cs="Times New Roman"/>
          <w:sz w:val="24"/>
          <w:szCs w:val="24"/>
        </w:rPr>
        <w:t xml:space="preserve"> v </w:t>
      </w:r>
      <w:r>
        <w:rPr>
          <w:rFonts w:ascii="Times New Roman" w:hAnsi="Times New Roman" w:cs="Times New Roman"/>
          <w:i/>
          <w:sz w:val="24"/>
          <w:szCs w:val="24"/>
        </w:rPr>
        <w:t xml:space="preserve">Cookham Inn (Pvt) Ltd &amp; Anor           </w:t>
      </w:r>
      <w:r>
        <w:rPr>
          <w:rFonts w:ascii="Times New Roman" w:hAnsi="Times New Roman" w:cs="Times New Roman"/>
          <w:sz w:val="24"/>
          <w:szCs w:val="24"/>
        </w:rPr>
        <w:t xml:space="preserve">HH-45-21.  It held that the matter before it bore all the hallmarks of the </w:t>
      </w:r>
      <w:r>
        <w:rPr>
          <w:rFonts w:ascii="Times New Roman" w:hAnsi="Times New Roman" w:cs="Times New Roman"/>
          <w:i/>
          <w:sz w:val="24"/>
          <w:szCs w:val="24"/>
        </w:rPr>
        <w:t>Mzilikazi</w:t>
      </w:r>
      <w:r>
        <w:rPr>
          <w:rFonts w:ascii="Times New Roman" w:hAnsi="Times New Roman" w:cs="Times New Roman"/>
          <w:sz w:val="24"/>
          <w:szCs w:val="24"/>
        </w:rPr>
        <w:t xml:space="preserve"> and </w:t>
      </w:r>
      <w:r>
        <w:rPr>
          <w:rFonts w:ascii="Times New Roman" w:hAnsi="Times New Roman" w:cs="Times New Roman"/>
          <w:i/>
          <w:sz w:val="24"/>
          <w:szCs w:val="24"/>
        </w:rPr>
        <w:t>Mhende</w:t>
      </w:r>
      <w:r>
        <w:rPr>
          <w:rFonts w:ascii="Times New Roman" w:hAnsi="Times New Roman" w:cs="Times New Roman"/>
          <w:sz w:val="24"/>
          <w:szCs w:val="24"/>
        </w:rPr>
        <w:t xml:space="preserve"> judgments. </w:t>
      </w:r>
    </w:p>
    <w:p w14:paraId="64FF6992">
      <w:pPr>
        <w:tabs>
          <w:tab w:val="left" w:pos="567"/>
        </w:tabs>
        <w:spacing w:after="0" w:line="240" w:lineRule="auto"/>
        <w:ind w:left="567" w:hanging="567"/>
        <w:jc w:val="both"/>
        <w:rPr>
          <w:rFonts w:ascii="Times New Roman" w:hAnsi="Times New Roman" w:cs="Times New Roman"/>
          <w:sz w:val="24"/>
          <w:szCs w:val="24"/>
        </w:rPr>
      </w:pPr>
    </w:p>
    <w:p w14:paraId="683E8652">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It held that the first and second respondents never intended to sell their property to the third respondent and that the loan agreement was fraudulently disguised as an agreement of sale.  It also held that the transfer from the first and second respondents’ names to the third respondent was fraught with irregularities, chief among them was a fraudulent capital gains certificate.  </w:t>
      </w:r>
    </w:p>
    <w:p w14:paraId="12828A6A">
      <w:pPr>
        <w:tabs>
          <w:tab w:val="left" w:pos="567"/>
        </w:tabs>
        <w:spacing w:after="0" w:line="240" w:lineRule="auto"/>
        <w:ind w:left="567" w:hanging="567"/>
        <w:jc w:val="both"/>
        <w:rPr>
          <w:rFonts w:ascii="Times New Roman" w:hAnsi="Times New Roman" w:cs="Times New Roman"/>
          <w:sz w:val="24"/>
          <w:szCs w:val="24"/>
        </w:rPr>
      </w:pPr>
    </w:p>
    <w:p w14:paraId="30297DDA">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[15]   Even though the court was convinced that the appellant took all steps to ascertain whether the third respondent had title, it found that an agreement founded on an illegality cannot at law give rights and obligations enforceable by parties </w:t>
      </w:r>
      <w:r>
        <w:rPr>
          <w:rFonts w:ascii="Times New Roman" w:hAnsi="Times New Roman" w:cs="Times New Roman"/>
          <w:i/>
          <w:sz w:val="24"/>
          <w:szCs w:val="24"/>
        </w:rPr>
        <w:t>inter se</w:t>
      </w:r>
      <w:r>
        <w:rPr>
          <w:rFonts w:ascii="Times New Roman" w:hAnsi="Times New Roman" w:cs="Times New Roman"/>
          <w:sz w:val="24"/>
          <w:szCs w:val="24"/>
        </w:rPr>
        <w:t>.   The court further held that the doctrine of estoppel</w:t>
      </w:r>
      <w:r>
        <w:rPr>
          <w:rFonts w:ascii="Times New Roman" w:hAnsi="Times New Roman" w:cs="Times New Roman"/>
          <w:i/>
          <w:sz w:val="24"/>
          <w:szCs w:val="24"/>
        </w:rPr>
        <w:t xml:space="preserve"> </w:t>
      </w:r>
      <w:r>
        <w:rPr>
          <w:rFonts w:ascii="Times New Roman" w:hAnsi="Times New Roman" w:cs="Times New Roman"/>
          <w:sz w:val="24"/>
          <w:szCs w:val="24"/>
        </w:rPr>
        <w:t xml:space="preserve">could therefore not protect the appellant.  And for those reasons, the claim in reconvention by the appellant against the first and second respondent for eviction and holding over damages could not be sustained.  </w:t>
      </w:r>
    </w:p>
    <w:p w14:paraId="5118356A">
      <w:pPr>
        <w:tabs>
          <w:tab w:val="left" w:pos="567"/>
        </w:tabs>
        <w:spacing w:after="0" w:line="240" w:lineRule="auto"/>
        <w:ind w:left="567" w:hanging="567"/>
        <w:jc w:val="both"/>
        <w:rPr>
          <w:rFonts w:ascii="Times New Roman" w:hAnsi="Times New Roman" w:cs="Times New Roman"/>
          <w:sz w:val="24"/>
          <w:szCs w:val="24"/>
        </w:rPr>
      </w:pPr>
    </w:p>
    <w:p w14:paraId="6FB35224">
      <w:pPr>
        <w:tabs>
          <w:tab w:val="left" w:pos="1134"/>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[16]   Accordingly, the court made an order in favour of the first and second respondents’ claim and dismissed the appellant’s claim in reconvention.  Dissatisfied by the decision of the court </w:t>
      </w:r>
      <w:r>
        <w:rPr>
          <w:rFonts w:ascii="Times New Roman" w:hAnsi="Times New Roman" w:cs="Times New Roman"/>
          <w:i/>
          <w:sz w:val="24"/>
          <w:szCs w:val="24"/>
        </w:rPr>
        <w:t>a quo</w:t>
      </w:r>
      <w:r>
        <w:rPr>
          <w:rFonts w:ascii="Times New Roman" w:hAnsi="Times New Roman" w:cs="Times New Roman"/>
          <w:sz w:val="24"/>
          <w:szCs w:val="24"/>
        </w:rPr>
        <w:t>, the appellant noted this appeal on the following grounds:</w:t>
      </w:r>
    </w:p>
    <w:p w14:paraId="4F3867BD">
      <w:pPr>
        <w:spacing w:after="0" w:line="240" w:lineRule="auto"/>
        <w:ind w:left="567"/>
        <w:jc w:val="both"/>
        <w:rPr>
          <w:rFonts w:ascii="Times New Roman" w:hAnsi="Times New Roman" w:cs="Times New Roman"/>
          <w:sz w:val="24"/>
          <w:szCs w:val="24"/>
        </w:rPr>
      </w:pPr>
    </w:p>
    <w:p w14:paraId="4D63137B">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GROUNDS OF APPEAL </w:t>
      </w:r>
    </w:p>
    <w:p w14:paraId="6CEF3EC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at law by – </w:t>
      </w:r>
    </w:p>
    <w:p w14:paraId="31495EF8">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find that the judgment in </w:t>
      </w:r>
      <w:r>
        <w:rPr>
          <w:rFonts w:ascii="Times New Roman" w:hAnsi="Times New Roman" w:cs="Times New Roman"/>
          <w:i/>
          <w:sz w:val="24"/>
          <w:szCs w:val="24"/>
        </w:rPr>
        <w:t xml:space="preserve">Mzilikazi &amp; Anor </w:t>
      </w:r>
      <w:r>
        <w:rPr>
          <w:rFonts w:ascii="Times New Roman" w:hAnsi="Times New Roman" w:cs="Times New Roman"/>
          <w:sz w:val="24"/>
          <w:szCs w:val="24"/>
        </w:rPr>
        <w:t xml:space="preserve">v </w:t>
      </w:r>
      <w:r>
        <w:rPr>
          <w:rFonts w:ascii="Times New Roman" w:hAnsi="Times New Roman" w:cs="Times New Roman"/>
          <w:i/>
          <w:sz w:val="24"/>
          <w:szCs w:val="24"/>
        </w:rPr>
        <w:t>Marume &amp; Ors                   SC</w:t>
      </w:r>
      <w:r>
        <w:rPr>
          <w:rFonts w:ascii="Times New Roman" w:hAnsi="Times New Roman" w:cs="Times New Roman"/>
          <w:sz w:val="24"/>
          <w:szCs w:val="24"/>
        </w:rPr>
        <w:t xml:space="preserve"> 39/16 was distinguishable on the facts of this matter as the first and second respondents had failed to take positive and timeous action to vindicate their property upon being aware that the property had been transferred into the name of the third respondent. </w:t>
      </w:r>
    </w:p>
    <w:p w14:paraId="66CD2CEE">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find that </w:t>
      </w:r>
      <w:r>
        <w:rPr>
          <w:rFonts w:ascii="Times New Roman" w:hAnsi="Times New Roman" w:cs="Times New Roman"/>
          <w:i/>
          <w:sz w:val="24"/>
          <w:szCs w:val="24"/>
        </w:rPr>
        <w:t xml:space="preserve">in casu </w:t>
      </w:r>
      <w:r>
        <w:rPr>
          <w:rFonts w:ascii="Times New Roman" w:hAnsi="Times New Roman" w:cs="Times New Roman"/>
          <w:sz w:val="24"/>
          <w:szCs w:val="24"/>
        </w:rPr>
        <w:t>all the requirements for estoppel had been met such that the first and second respondents could not vindicate the property from the appellant due to the unique circumstances of the matter.</w:t>
      </w:r>
    </w:p>
    <w:p w14:paraId="27A25256">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find that the defence of estoppel prevented the first and second respondents from vindicating the property from the appellant as they had made a negligent representation which was relied upon by, and which had caused prejudice to the appellant by signing documents indicating that they had sold and transferred the property to the third respondent. </w:t>
      </w:r>
    </w:p>
    <w:p w14:paraId="34317827">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find that the defence of estoppel prevented the first and second respondents from vindicating the property from the appellant as they had made a negligent representation which was relied upon by, and which had caused prejudice to the appellant by failing to timeously take legal action to recover the documents that they signed purporting to sell and transfer the property to the third respondent. </w:t>
      </w:r>
    </w:p>
    <w:p w14:paraId="68DB4D60">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find that the defence of estoppel prevented the first and second respondents from vindicating the property from the appellant as they had made a negligent representation which was relied upon by, and which had caused prejudice to the appellant by failing to timeously take legal action to reverse the transfer of the property to the third respondent upon discovering of the transfer of the property to it, prior to the subsequent transfer to the appellant. </w:t>
      </w:r>
    </w:p>
    <w:p w14:paraId="40345A94">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that the defence of estoppel could not succeed based on previous precedent of this Court and the High Court when the facts of this matter were unique in that the first and second respondents had cause to act and forewarning requiring them to act prior to the transfer of the property to the appellant. </w:t>
      </w:r>
    </w:p>
    <w:p w14:paraId="3383BF86">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uphold the counterclaim and dismiss the claim in convention considering the admissions by the first respondent in evidence that the amount for holding over damages claimed reflected the fair market rental for the property. </w:t>
      </w:r>
    </w:p>
    <w:p w14:paraId="67536DF8">
      <w:pPr>
        <w:pStyle w:val="2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Finding that the central issue was the validity of the agreement of sale between the First and Second Respondents on the one hand and the third respondent on the other when this had ceased to be an issue at the beginning of the case for the defence and the focus became solely on estoppel.”</w:t>
      </w:r>
    </w:p>
    <w:p w14:paraId="19857F29">
      <w:pPr>
        <w:pStyle w:val="28"/>
        <w:spacing w:line="480" w:lineRule="auto"/>
        <w:ind w:left="1080"/>
        <w:jc w:val="both"/>
        <w:rPr>
          <w:rFonts w:ascii="Times New Roman" w:hAnsi="Times New Roman" w:cs="Times New Roman"/>
          <w:sz w:val="24"/>
          <w:szCs w:val="24"/>
        </w:rPr>
      </w:pPr>
    </w:p>
    <w:p w14:paraId="46B20AA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APPELLANT’S SUBMISSIONS BEFORE THIS COURT </w:t>
      </w:r>
    </w:p>
    <w:p w14:paraId="162EFB7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[17]  The appellant, through a letter dated 13 May 2024, requested for the constitution of the court by a panel of five Judges to determine this matter.  The reason for this request is that the appellant believed that it may be necessary to argue that the case of </w:t>
      </w:r>
      <w:r>
        <w:rPr>
          <w:rFonts w:ascii="Times New Roman" w:hAnsi="Times New Roman" w:cs="Times New Roman"/>
          <w:i/>
          <w:iCs/>
          <w:sz w:val="24"/>
          <w:szCs w:val="24"/>
        </w:rPr>
        <w:t xml:space="preserve">Mzilikazi &amp; Anor </w:t>
      </w:r>
      <w:r>
        <w:rPr>
          <w:rFonts w:ascii="Times New Roman" w:hAnsi="Times New Roman" w:cs="Times New Roman"/>
          <w:sz w:val="24"/>
          <w:szCs w:val="24"/>
        </w:rPr>
        <w:t xml:space="preserve">v </w:t>
      </w:r>
      <w:r>
        <w:rPr>
          <w:rFonts w:ascii="Times New Roman" w:hAnsi="Times New Roman" w:cs="Times New Roman"/>
          <w:i/>
          <w:iCs/>
          <w:sz w:val="24"/>
          <w:szCs w:val="24"/>
        </w:rPr>
        <w:t xml:space="preserve">Marume &amp; Ors </w:t>
      </w:r>
      <w:r>
        <w:rPr>
          <w:rFonts w:ascii="Times New Roman" w:hAnsi="Times New Roman" w:cs="Times New Roman"/>
          <w:sz w:val="24"/>
          <w:szCs w:val="24"/>
        </w:rPr>
        <w:t xml:space="preserve">SC 39/16 was wrongly decided in so far as it introduces a requirement of direct contact in a case of </w:t>
      </w:r>
      <w:r>
        <w:rPr>
          <w:rFonts w:ascii="Times New Roman" w:hAnsi="Times New Roman" w:cs="Times New Roman"/>
          <w:iCs/>
          <w:sz w:val="24"/>
          <w:szCs w:val="24"/>
        </w:rPr>
        <w:t>estoppel</w:t>
      </w:r>
      <w:r>
        <w:rPr>
          <w:rFonts w:ascii="Times New Roman" w:hAnsi="Times New Roman" w:cs="Times New Roman"/>
          <w:sz w:val="24"/>
          <w:szCs w:val="24"/>
        </w:rPr>
        <w:t xml:space="preserve">.  It was the appellant’s contention that this new requirement is contrary to established authorities in this jurisdiction including the cases of </w:t>
      </w:r>
      <w:r>
        <w:rPr>
          <w:rFonts w:ascii="Times New Roman" w:hAnsi="Times New Roman" w:cs="Times New Roman"/>
          <w:i/>
          <w:iCs/>
          <w:sz w:val="24"/>
          <w:szCs w:val="24"/>
        </w:rPr>
        <w:t xml:space="preserve">Stanbic Finance Zimbabwe Ltd </w:t>
      </w:r>
      <w:r>
        <w:rPr>
          <w:rFonts w:ascii="Times New Roman" w:hAnsi="Times New Roman" w:cs="Times New Roman"/>
          <w:sz w:val="24"/>
          <w:szCs w:val="24"/>
        </w:rPr>
        <w:t xml:space="preserve">v </w:t>
      </w:r>
      <w:r>
        <w:rPr>
          <w:rFonts w:ascii="Times New Roman" w:hAnsi="Times New Roman" w:cs="Times New Roman"/>
          <w:i/>
          <w:iCs/>
          <w:sz w:val="24"/>
          <w:szCs w:val="24"/>
        </w:rPr>
        <w:t xml:space="preserve">Chivhungwa </w:t>
      </w:r>
      <w:r>
        <w:rPr>
          <w:rFonts w:ascii="Times New Roman" w:hAnsi="Times New Roman" w:cs="Times New Roman"/>
          <w:sz w:val="24"/>
          <w:szCs w:val="24"/>
        </w:rPr>
        <w:t xml:space="preserve">1999 (1) ZLR 262 (HC) and </w:t>
      </w:r>
      <w:r>
        <w:rPr>
          <w:rFonts w:ascii="Times New Roman" w:hAnsi="Times New Roman" w:cs="Times New Roman"/>
          <w:i/>
          <w:iCs/>
          <w:sz w:val="24"/>
          <w:szCs w:val="24"/>
        </w:rPr>
        <w:t xml:space="preserve">Mashave </w:t>
      </w:r>
      <w:r>
        <w:rPr>
          <w:rFonts w:ascii="Times New Roman" w:hAnsi="Times New Roman" w:cs="Times New Roman"/>
          <w:sz w:val="24"/>
          <w:szCs w:val="24"/>
        </w:rPr>
        <w:t xml:space="preserve">v </w:t>
      </w:r>
      <w:r>
        <w:rPr>
          <w:rFonts w:ascii="Times New Roman" w:hAnsi="Times New Roman" w:cs="Times New Roman"/>
          <w:i/>
          <w:iCs/>
          <w:sz w:val="24"/>
          <w:szCs w:val="24"/>
        </w:rPr>
        <w:t xml:space="preserve">Standard Bank of South Africa Limited </w:t>
      </w:r>
      <w:r>
        <w:rPr>
          <w:rFonts w:ascii="Times New Roman" w:hAnsi="Times New Roman" w:cs="Times New Roman"/>
          <w:sz w:val="24"/>
          <w:szCs w:val="24"/>
        </w:rPr>
        <w:t>1998(1) ZLR 436 (SC).</w:t>
      </w:r>
    </w:p>
    <w:p w14:paraId="50763ED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court in </w:t>
      </w:r>
      <w:r>
        <w:rPr>
          <w:rFonts w:ascii="Times New Roman" w:hAnsi="Times New Roman" w:cs="Times New Roman"/>
          <w:iCs/>
          <w:sz w:val="24"/>
          <w:szCs w:val="24"/>
        </w:rPr>
        <w:t>the</w:t>
      </w:r>
      <w:r>
        <w:rPr>
          <w:rFonts w:ascii="Times New Roman" w:hAnsi="Times New Roman" w:cs="Times New Roman"/>
          <w:i/>
          <w:iCs/>
          <w:sz w:val="24"/>
          <w:szCs w:val="24"/>
        </w:rPr>
        <w:t xml:space="preserve"> Mzilikazi </w:t>
      </w:r>
      <w:r>
        <w:rPr>
          <w:rFonts w:ascii="Times New Roman" w:hAnsi="Times New Roman" w:cs="Times New Roman"/>
          <w:iCs/>
          <w:sz w:val="24"/>
          <w:szCs w:val="24"/>
        </w:rPr>
        <w:t xml:space="preserve">case </w:t>
      </w:r>
      <w:r>
        <w:rPr>
          <w:rFonts w:ascii="Times New Roman" w:hAnsi="Times New Roman" w:cs="Times New Roman"/>
          <w:i/>
          <w:iCs/>
          <w:sz w:val="24"/>
          <w:szCs w:val="24"/>
        </w:rPr>
        <w:t>supra</w:t>
      </w:r>
      <w:r>
        <w:rPr>
          <w:rFonts w:ascii="Times New Roman" w:hAnsi="Times New Roman" w:cs="Times New Roman"/>
          <w:sz w:val="24"/>
          <w:szCs w:val="24"/>
        </w:rPr>
        <w:t xml:space="preserve"> had at p6 made the following remarks;</w:t>
      </w:r>
    </w:p>
    <w:p w14:paraId="40A22C2B">
      <w:pPr>
        <w:autoSpaceDE w:val="0"/>
        <w:autoSpaceDN w:val="0"/>
        <w:adjustRightInd w:val="0"/>
        <w:spacing w:after="0" w:line="240" w:lineRule="auto"/>
        <w:ind w:left="1134"/>
        <w:jc w:val="both"/>
        <w:rPr>
          <w:rFonts w:ascii="Times New Roman" w:hAnsi="Times New Roman" w:cs="Times New Roman"/>
          <w:b/>
          <w:bCs/>
          <w:iCs/>
          <w:sz w:val="24"/>
          <w:szCs w:val="24"/>
        </w:rPr>
      </w:pPr>
      <w:r>
        <w:rPr>
          <w:rFonts w:ascii="Times New Roman" w:hAnsi="Times New Roman" w:cs="Times New Roman"/>
          <w:sz w:val="24"/>
          <w:szCs w:val="24"/>
        </w:rPr>
        <w:t>“</w:t>
      </w:r>
      <w:r>
        <w:rPr>
          <w:rFonts w:ascii="Times New Roman" w:hAnsi="Times New Roman" w:cs="Times New Roman"/>
          <w:iCs/>
          <w:sz w:val="24"/>
          <w:szCs w:val="24"/>
        </w:rPr>
        <w:t xml:space="preserve">Insofar as the argument for estoppel is concerned, </w:t>
      </w:r>
      <w:r>
        <w:rPr>
          <w:rFonts w:ascii="Times New Roman" w:hAnsi="Times New Roman" w:cs="Times New Roman"/>
          <w:b/>
          <w:bCs/>
          <w:iCs/>
          <w:sz w:val="24"/>
          <w:szCs w:val="24"/>
        </w:rPr>
        <w:t xml:space="preserve">it is abundantly clear that there were no direct dealings </w:t>
      </w:r>
      <w:r>
        <w:rPr>
          <w:rFonts w:ascii="Times New Roman" w:hAnsi="Times New Roman" w:cs="Times New Roman"/>
          <w:iCs/>
          <w:sz w:val="24"/>
          <w:szCs w:val="24"/>
        </w:rPr>
        <w:t>between the first respondent and the appellants and that the</w:t>
      </w:r>
      <w:r>
        <w:rPr>
          <w:rFonts w:ascii="Times New Roman" w:hAnsi="Times New Roman" w:cs="Times New Roman"/>
          <w:b/>
          <w:bCs/>
          <w:iCs/>
          <w:sz w:val="24"/>
          <w:szCs w:val="24"/>
        </w:rPr>
        <w:t xml:space="preserve"> </w:t>
      </w:r>
      <w:r>
        <w:rPr>
          <w:rFonts w:ascii="Times New Roman" w:hAnsi="Times New Roman" w:cs="Times New Roman"/>
          <w:iCs/>
          <w:sz w:val="24"/>
          <w:szCs w:val="24"/>
        </w:rPr>
        <w:t>former made no representation to the latter. The only party that could have relied</w:t>
      </w:r>
      <w:r>
        <w:rPr>
          <w:rFonts w:ascii="Times New Roman" w:hAnsi="Times New Roman" w:cs="Times New Roman"/>
          <w:b/>
          <w:bCs/>
          <w:iCs/>
          <w:sz w:val="24"/>
          <w:szCs w:val="24"/>
        </w:rPr>
        <w:t xml:space="preserve"> </w:t>
      </w:r>
      <w:r>
        <w:rPr>
          <w:rFonts w:ascii="Times New Roman" w:hAnsi="Times New Roman" w:cs="Times New Roman"/>
          <w:iCs/>
          <w:sz w:val="24"/>
          <w:szCs w:val="24"/>
        </w:rPr>
        <w:t xml:space="preserve">on the doctrine of estoppel is the second respondent. </w:t>
      </w:r>
      <w:r>
        <w:rPr>
          <w:rFonts w:ascii="Times New Roman" w:hAnsi="Times New Roman" w:cs="Times New Roman"/>
          <w:b/>
          <w:bCs/>
          <w:iCs/>
          <w:sz w:val="24"/>
          <w:szCs w:val="24"/>
        </w:rPr>
        <w:t>Without any direct link between the first respondent and the appellants they cannot raise any estoppel as against her.</w:t>
      </w:r>
      <w:r>
        <w:rPr>
          <w:rFonts w:ascii="Times New Roman" w:hAnsi="Times New Roman" w:cs="Times New Roman"/>
          <w:bCs/>
          <w:iCs/>
          <w:sz w:val="24"/>
          <w:szCs w:val="24"/>
        </w:rPr>
        <w:t>”</w:t>
      </w:r>
    </w:p>
    <w:p w14:paraId="7BD6E95B">
      <w:pPr>
        <w:autoSpaceDE w:val="0"/>
        <w:autoSpaceDN w:val="0"/>
        <w:adjustRightInd w:val="0"/>
        <w:spacing w:after="0" w:line="240" w:lineRule="auto"/>
        <w:ind w:left="1134"/>
        <w:jc w:val="both"/>
        <w:rPr>
          <w:rFonts w:ascii="Times New Roman" w:hAnsi="Times New Roman" w:cs="Times New Roman"/>
          <w:b/>
          <w:bCs/>
          <w:i/>
          <w:iCs/>
          <w:sz w:val="24"/>
          <w:szCs w:val="24"/>
        </w:rPr>
      </w:pPr>
    </w:p>
    <w:p w14:paraId="72C9F15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this finding that the appellant intended to take issue with.</w:t>
      </w:r>
    </w:p>
    <w:p w14:paraId="312C51A0">
      <w:pPr>
        <w:spacing w:before="24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[18]   At the hearing, Mr </w:t>
      </w:r>
      <w:r>
        <w:rPr>
          <w:rFonts w:ascii="Times New Roman" w:hAnsi="Times New Roman" w:cs="Times New Roman"/>
          <w:i/>
          <w:sz w:val="24"/>
          <w:szCs w:val="24"/>
          <w:lang w:val="en-GB"/>
        </w:rPr>
        <w:t>T. L Mapuranga</w:t>
      </w:r>
      <w:r>
        <w:rPr>
          <w:rFonts w:ascii="Times New Roman" w:hAnsi="Times New Roman" w:cs="Times New Roman"/>
          <w:sz w:val="24"/>
          <w:szCs w:val="24"/>
          <w:lang w:val="en-GB"/>
        </w:rPr>
        <w:t>, counsel for the appellant, submitted, as a preliminary point that the appellant was abandoning the request for the matter to be heard before a five-member bench.</w:t>
      </w:r>
    </w:p>
    <w:p w14:paraId="19A0E64A">
      <w:pPr>
        <w:spacing w:after="0" w:line="240" w:lineRule="auto"/>
        <w:ind w:left="567" w:hanging="657"/>
        <w:jc w:val="both"/>
        <w:rPr>
          <w:rFonts w:ascii="Times New Roman" w:hAnsi="Times New Roman" w:cs="Times New Roman"/>
          <w:sz w:val="24"/>
          <w:szCs w:val="24"/>
          <w:lang w:val="en-GB"/>
        </w:rPr>
      </w:pPr>
    </w:p>
    <w:p w14:paraId="2FF34DF1">
      <w:pPr>
        <w:spacing w:line="480" w:lineRule="auto"/>
        <w:ind w:left="567" w:hanging="65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[19]    On the merits, Mr </w:t>
      </w:r>
      <w:r>
        <w:rPr>
          <w:rFonts w:ascii="Times New Roman" w:hAnsi="Times New Roman" w:cs="Times New Roman"/>
          <w:i/>
          <w:sz w:val="24"/>
          <w:szCs w:val="24"/>
          <w:lang w:val="en-GB"/>
        </w:rPr>
        <w:t xml:space="preserve">Mapuranga </w:t>
      </w:r>
      <w:r>
        <w:rPr>
          <w:rFonts w:ascii="Times New Roman" w:hAnsi="Times New Roman" w:cs="Times New Roman"/>
          <w:sz w:val="24"/>
          <w:szCs w:val="24"/>
          <w:lang w:val="en-GB"/>
        </w:rPr>
        <w:t xml:space="preserve">submitted, at the outset, that the appellant accepted that the sale agreement between the first and second respondents with the third respondent was a simulated agreement and therefore was not valid. </w:t>
      </w:r>
    </w:p>
    <w:p w14:paraId="5515FE91">
      <w:pPr>
        <w:spacing w:after="0" w:line="240" w:lineRule="auto"/>
        <w:jc w:val="both"/>
        <w:rPr>
          <w:rFonts w:ascii="Times New Roman" w:hAnsi="Times New Roman" w:cs="Times New Roman"/>
          <w:color w:val="FF0000"/>
          <w:sz w:val="24"/>
          <w:szCs w:val="24"/>
          <w:lang w:val="en-GB"/>
        </w:rPr>
      </w:pPr>
    </w:p>
    <w:p w14:paraId="6B669EF1">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[20] Mr </w:t>
      </w:r>
      <w:r>
        <w:rPr>
          <w:rFonts w:ascii="Times New Roman" w:hAnsi="Times New Roman" w:cs="Times New Roman"/>
          <w:i/>
          <w:sz w:val="24"/>
          <w:szCs w:val="24"/>
        </w:rPr>
        <w:t>Mapuranga</w:t>
      </w:r>
      <w:r>
        <w:rPr>
          <w:rFonts w:ascii="Times New Roman" w:hAnsi="Times New Roman" w:cs="Times New Roman"/>
          <w:sz w:val="24"/>
          <w:szCs w:val="24"/>
        </w:rPr>
        <w:t xml:space="preserve"> further submitted that notwithstanding that concession, the first and second respondents must be estopped from vindicating the property as they had, by the underlisted conduct, made a negligent misrepresentation which resulted in the appellant purchasing the property.  They signed transfer papers in the simulated agreement of sale.  They made attempts to redeem the signed documents but did not agree with the third respondent on the amount outstanding.  At that stage they had a duty to approach the courts, on an urgent basis, to recover those transfer papers. The property was transferred to the third respondent on 30 March 2020</w:t>
      </w:r>
      <w:r>
        <w:rPr>
          <w:rFonts w:ascii="Times New Roman" w:hAnsi="Times New Roman" w:cs="Times New Roman"/>
          <w:b/>
          <w:bCs/>
          <w:sz w:val="24"/>
          <w:szCs w:val="24"/>
        </w:rPr>
        <w:t>.</w:t>
      </w:r>
      <w:r>
        <w:rPr>
          <w:rFonts w:ascii="Times New Roman" w:hAnsi="Times New Roman" w:cs="Times New Roman"/>
          <w:sz w:val="24"/>
          <w:szCs w:val="24"/>
        </w:rPr>
        <w:t xml:space="preserve"> The first and second respondent got to know about the transfer on 4 April 2020.Transfer to the appellant was effected on                                  29 April 2020.  On 30 April 2020 the appellant gave notice to the first and second respondents to vacate the property. The first and second respondents only instituted a suit against the third respondent and the appellant on 16 November 2020. </w:t>
      </w:r>
    </w:p>
    <w:p w14:paraId="3E9E53D3">
      <w:pPr>
        <w:tabs>
          <w:tab w:val="left" w:pos="567"/>
        </w:tabs>
        <w:spacing w:after="0" w:line="240" w:lineRule="auto"/>
        <w:ind w:left="567" w:hanging="567"/>
        <w:jc w:val="both"/>
        <w:rPr>
          <w:rFonts w:ascii="Times New Roman" w:hAnsi="Times New Roman" w:cs="Times New Roman"/>
          <w:sz w:val="24"/>
          <w:szCs w:val="24"/>
        </w:rPr>
      </w:pPr>
    </w:p>
    <w:p w14:paraId="276C6496">
      <w:pPr>
        <w:tabs>
          <w:tab w:val="left" w:pos="567"/>
        </w:tabs>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[21]   Mr </w:t>
      </w:r>
      <w:r>
        <w:rPr>
          <w:rFonts w:ascii="Times New Roman" w:hAnsi="Times New Roman" w:cs="Times New Roman"/>
          <w:i/>
          <w:sz w:val="24"/>
          <w:szCs w:val="24"/>
          <w:lang w:val="en-GB"/>
        </w:rPr>
        <w:t xml:space="preserve">Mapuranga </w:t>
      </w:r>
      <w:r>
        <w:rPr>
          <w:rFonts w:ascii="Times New Roman" w:hAnsi="Times New Roman" w:cs="Times New Roman"/>
          <w:sz w:val="24"/>
          <w:szCs w:val="24"/>
          <w:lang w:val="en-GB"/>
        </w:rPr>
        <w:t>submitted that the transfer from the third respondent to the appellant was not necessarily a nullity or an invalid transfer but it was a transfer which did not give title because the third respondent had no valid title.  He however submitted that the appellant was not claiming title but estoppel</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barring the first and second respondents from vindicating the property from it. </w:t>
      </w:r>
    </w:p>
    <w:p w14:paraId="04C47A5B">
      <w:pPr>
        <w:tabs>
          <w:tab w:val="left" w:pos="567"/>
        </w:tabs>
        <w:spacing w:after="0" w:line="240" w:lineRule="auto"/>
        <w:ind w:left="567" w:hanging="567"/>
        <w:jc w:val="both"/>
        <w:rPr>
          <w:rFonts w:ascii="Times New Roman" w:hAnsi="Times New Roman" w:cs="Times New Roman"/>
          <w:sz w:val="24"/>
          <w:szCs w:val="24"/>
          <w:lang w:val="en-GB"/>
        </w:rPr>
      </w:pPr>
    </w:p>
    <w:p w14:paraId="045B990D">
      <w:pPr>
        <w:tabs>
          <w:tab w:val="left" w:pos="567"/>
        </w:tabs>
        <w:spacing w:line="480" w:lineRule="auto"/>
        <w:ind w:left="567" w:hanging="567"/>
        <w:jc w:val="both"/>
        <w:rPr>
          <w:rFonts w:ascii="Times New Roman" w:hAnsi="Times New Roman" w:cs="Times New Roman"/>
          <w:iCs/>
          <w:sz w:val="24"/>
          <w:szCs w:val="24"/>
          <w:lang w:val="en-GB"/>
        </w:rPr>
      </w:pPr>
      <w:r>
        <w:rPr>
          <w:rFonts w:ascii="Times New Roman" w:hAnsi="Times New Roman" w:cs="Times New Roman"/>
          <w:sz w:val="24"/>
          <w:szCs w:val="24"/>
          <w:lang w:val="en-GB"/>
        </w:rPr>
        <w:t xml:space="preserve">[22]   Counsel further submitted that the matter before the court was distinguishable from the </w:t>
      </w:r>
      <w:r>
        <w:rPr>
          <w:rFonts w:ascii="Times New Roman" w:hAnsi="Times New Roman" w:cs="Times New Roman"/>
          <w:i/>
          <w:sz w:val="24"/>
          <w:szCs w:val="24"/>
          <w:lang w:val="en-GB"/>
        </w:rPr>
        <w:t xml:space="preserve">Mzilikazi </w:t>
      </w:r>
      <w:r>
        <w:rPr>
          <w:rFonts w:ascii="Times New Roman" w:hAnsi="Times New Roman" w:cs="Times New Roman"/>
          <w:iCs/>
          <w:sz w:val="24"/>
          <w:szCs w:val="24"/>
          <w:lang w:val="en-GB"/>
        </w:rPr>
        <w:t xml:space="preserve">case </w:t>
      </w:r>
      <w:r>
        <w:rPr>
          <w:rFonts w:ascii="Times New Roman" w:hAnsi="Times New Roman" w:cs="Times New Roman"/>
          <w:sz w:val="24"/>
          <w:szCs w:val="24"/>
          <w:lang w:val="en-GB"/>
        </w:rPr>
        <w:t xml:space="preserve">which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relied on.  It was his submission that the </w:t>
      </w:r>
      <w:r>
        <w:rPr>
          <w:rFonts w:ascii="Times New Roman" w:hAnsi="Times New Roman" w:cs="Times New Roman"/>
          <w:i/>
          <w:sz w:val="24"/>
          <w:szCs w:val="24"/>
          <w:lang w:val="en-GB"/>
        </w:rPr>
        <w:t xml:space="preserve">Mzilikazi </w:t>
      </w:r>
      <w:r>
        <w:rPr>
          <w:rFonts w:ascii="Times New Roman" w:hAnsi="Times New Roman" w:cs="Times New Roman"/>
          <w:sz w:val="24"/>
          <w:szCs w:val="24"/>
          <w:lang w:val="en-GB"/>
        </w:rPr>
        <w:t>case was wrongly decided as direct contact is not a requirement for the defence of estoppel</w:t>
      </w:r>
      <w:r>
        <w:rPr>
          <w:rFonts w:ascii="Times New Roman" w:hAnsi="Times New Roman" w:cs="Times New Roman"/>
          <w:i/>
          <w:sz w:val="24"/>
          <w:szCs w:val="24"/>
          <w:lang w:val="en-GB"/>
        </w:rPr>
        <w:t xml:space="preserve">. </w:t>
      </w:r>
      <w:r>
        <w:rPr>
          <w:rFonts w:ascii="Times New Roman" w:hAnsi="Times New Roman" w:cs="Times New Roman"/>
          <w:iCs/>
          <w:sz w:val="24"/>
          <w:szCs w:val="24"/>
          <w:lang w:val="en-GB"/>
        </w:rPr>
        <w:t xml:space="preserve">I must observe that this point was not persisted with in view of the appellant’s position of abandoning its request for a five member bench. </w:t>
      </w:r>
    </w:p>
    <w:p w14:paraId="44FAB88A">
      <w:pPr>
        <w:tabs>
          <w:tab w:val="left" w:pos="567"/>
        </w:tabs>
        <w:spacing w:after="0" w:line="240" w:lineRule="auto"/>
        <w:ind w:left="567" w:hanging="567"/>
        <w:jc w:val="both"/>
        <w:rPr>
          <w:rFonts w:ascii="Times New Roman" w:hAnsi="Times New Roman" w:cs="Times New Roman"/>
          <w:sz w:val="24"/>
          <w:szCs w:val="24"/>
          <w:lang w:val="en-GB"/>
        </w:rPr>
      </w:pPr>
    </w:p>
    <w:p w14:paraId="490B30EF">
      <w:pPr>
        <w:spacing w:after="0" w:line="48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FIRST AND SECOND RESPONDENTS’ SUBMISSIONS </w:t>
      </w:r>
    </w:p>
    <w:p w14:paraId="4D6116EB">
      <w:pPr>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[23]  Mr </w:t>
      </w:r>
      <w:r>
        <w:rPr>
          <w:rFonts w:ascii="Times New Roman" w:hAnsi="Times New Roman" w:cs="Times New Roman"/>
          <w:i/>
          <w:sz w:val="24"/>
          <w:szCs w:val="24"/>
          <w:lang w:val="en-GB"/>
        </w:rPr>
        <w:t xml:space="preserve">Fitches, </w:t>
      </w:r>
      <w:r>
        <w:rPr>
          <w:rFonts w:ascii="Times New Roman" w:hAnsi="Times New Roman" w:cs="Times New Roman"/>
          <w:sz w:val="24"/>
          <w:szCs w:val="24"/>
          <w:lang w:val="en-GB"/>
        </w:rPr>
        <w:t xml:space="preserve">for the first and second respondents, submitted that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determined estoppel</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on relevant authority.  It was his submission that the first and second respondents never intended to sell the property and the third respondent could not in turn transfer what it did not have.</w:t>
      </w:r>
    </w:p>
    <w:p w14:paraId="1C7C1B01">
      <w:pPr>
        <w:tabs>
          <w:tab w:val="left" w:pos="567"/>
        </w:tabs>
        <w:spacing w:after="0" w:line="240" w:lineRule="auto"/>
        <w:ind w:left="567" w:hanging="567"/>
        <w:jc w:val="both"/>
        <w:rPr>
          <w:rFonts w:ascii="Times New Roman" w:hAnsi="Times New Roman" w:cs="Times New Roman"/>
          <w:sz w:val="24"/>
          <w:szCs w:val="24"/>
          <w:lang w:val="en-GB"/>
        </w:rPr>
      </w:pPr>
    </w:p>
    <w:p w14:paraId="20B903E6">
      <w:pPr>
        <w:spacing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[24] Counsel was in agreement with Mr </w:t>
      </w:r>
      <w:r>
        <w:rPr>
          <w:rFonts w:ascii="Times New Roman" w:hAnsi="Times New Roman" w:cs="Times New Roman"/>
          <w:i/>
          <w:sz w:val="24"/>
          <w:szCs w:val="24"/>
          <w:lang w:val="en-GB"/>
        </w:rPr>
        <w:t>Mapuranga</w:t>
      </w:r>
      <w:r>
        <w:rPr>
          <w:rFonts w:ascii="Times New Roman" w:hAnsi="Times New Roman" w:cs="Times New Roman"/>
          <w:sz w:val="24"/>
          <w:szCs w:val="24"/>
          <w:lang w:val="en-GB"/>
        </w:rPr>
        <w:t>’s submission that the defence of estoppel</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does not require direct contact.  It was however his submission that estoppel</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could not be relied on as the initial transfer from the first and second respondent was tainted at law. Counsel accordingly prayed for the dismissal of the appeal with costs. </w:t>
      </w:r>
    </w:p>
    <w:p w14:paraId="25D70218">
      <w:pPr>
        <w:tabs>
          <w:tab w:val="left" w:pos="567"/>
        </w:tabs>
        <w:spacing w:after="0" w:line="240" w:lineRule="auto"/>
        <w:ind w:left="567" w:hanging="567"/>
        <w:jc w:val="both"/>
        <w:rPr>
          <w:rFonts w:ascii="Times New Roman" w:hAnsi="Times New Roman" w:cs="Times New Roman"/>
          <w:sz w:val="24"/>
          <w:szCs w:val="24"/>
          <w:lang w:val="en-GB"/>
        </w:rPr>
      </w:pPr>
    </w:p>
    <w:p w14:paraId="74D74FD0">
      <w:pPr>
        <w:spacing w:line="36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ISSUES FOR DETERMINATION </w:t>
      </w:r>
    </w:p>
    <w:p w14:paraId="2D2B6930">
      <w:pPr>
        <w:pStyle w:val="28"/>
        <w:numPr>
          <w:ilvl w:val="0"/>
          <w:numId w:val="3"/>
        </w:numPr>
        <w:spacing w:after="0" w:line="480" w:lineRule="auto"/>
        <w:ind w:left="851" w:hanging="284"/>
        <w:jc w:val="both"/>
        <w:rPr>
          <w:rFonts w:ascii="Times New Roman" w:hAnsi="Times New Roman" w:cs="Times New Roman"/>
          <w:sz w:val="24"/>
          <w:szCs w:val="24"/>
          <w:lang w:val="en-GB"/>
        </w:rPr>
      </w:pPr>
      <w:r>
        <w:rPr>
          <w:rFonts w:ascii="Times New Roman" w:hAnsi="Times New Roman" w:cs="Times New Roman"/>
          <w:sz w:val="24"/>
          <w:szCs w:val="24"/>
          <w:lang w:val="en-GB"/>
        </w:rPr>
        <w:t>Although the appellant raised eight grounds of appeal, only two issues arise for determination by this Court. The issues are:</w:t>
      </w:r>
    </w:p>
    <w:p w14:paraId="756F2ACE">
      <w:pPr>
        <w:pStyle w:val="28"/>
        <w:numPr>
          <w:ilvl w:val="1"/>
          <w:numId w:val="4"/>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Whether or not the first and second respondents were estopped from vindicating the property. </w:t>
      </w:r>
    </w:p>
    <w:p w14:paraId="7369FC29">
      <w:pPr>
        <w:pStyle w:val="28"/>
        <w:spacing w:after="0" w:line="240" w:lineRule="auto"/>
        <w:ind w:left="1418"/>
        <w:jc w:val="both"/>
        <w:rPr>
          <w:rFonts w:ascii="Times New Roman" w:hAnsi="Times New Roman" w:cs="Times New Roman"/>
          <w:sz w:val="24"/>
          <w:szCs w:val="24"/>
        </w:rPr>
      </w:pPr>
    </w:p>
    <w:p w14:paraId="44CA25E9">
      <w:pPr>
        <w:pStyle w:val="28"/>
        <w:numPr>
          <w:ilvl w:val="1"/>
          <w:numId w:val="4"/>
        </w:numPr>
        <w:spacing w:line="480" w:lineRule="auto"/>
        <w:ind w:left="1418" w:hanging="248"/>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Pr>
          <w:rFonts w:ascii="Times New Roman" w:hAnsi="Times New Roman" w:cs="Times New Roman"/>
          <w:i/>
          <w:sz w:val="24"/>
          <w:szCs w:val="24"/>
        </w:rPr>
        <w:t xml:space="preserve">a quo </w:t>
      </w:r>
      <w:r>
        <w:rPr>
          <w:rFonts w:ascii="Times New Roman" w:hAnsi="Times New Roman" w:cs="Times New Roman"/>
          <w:sz w:val="24"/>
          <w:szCs w:val="24"/>
        </w:rPr>
        <w:t>erred in dismissing the appellant’s counter claim.</w:t>
      </w:r>
    </w:p>
    <w:p w14:paraId="521DE5EC">
      <w:pPr>
        <w:pStyle w:val="28"/>
        <w:spacing w:after="0" w:line="480" w:lineRule="auto"/>
        <w:ind w:left="1418"/>
        <w:jc w:val="both"/>
        <w:rPr>
          <w:rFonts w:ascii="Times New Roman" w:hAnsi="Times New Roman" w:cs="Times New Roman"/>
          <w:sz w:val="24"/>
          <w:szCs w:val="24"/>
        </w:rPr>
      </w:pPr>
    </w:p>
    <w:p w14:paraId="1A1D25E7">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APPLICATION OF THE LAW TO THE FACTS </w:t>
      </w:r>
    </w:p>
    <w:p w14:paraId="2756B2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Whether or not the first and second respondents were estopped from vindicating the property.</w:t>
      </w:r>
    </w:p>
    <w:p w14:paraId="27FB14C8">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[25]   The first issue is whether or not the first and second respondents were estopped from vindicating the property from the appellant on the basis of negligent misrepresentation.</w:t>
      </w:r>
    </w:p>
    <w:p w14:paraId="7906BDC4">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p>
    <w:p w14:paraId="668C6479">
      <w:pPr>
        <w:tabs>
          <w:tab w:val="left" w:pos="567"/>
        </w:tabs>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[26]   It was conceded, on behalf of the appellant, that the agreement between the first and second respondents and the third respondent was simulated.  There was an agreement of a loan between the first and second respondents and the third respondent.  The first and second respondent did not sell their property.  The first transfer from the first and second respondents to the third respondent was done illegally.  The question that arises is whether the requisites to establish an estoppel emerge from circumstances of this matter. </w:t>
      </w:r>
    </w:p>
    <w:p w14:paraId="53FB4668">
      <w:pPr>
        <w:tabs>
          <w:tab w:val="left" w:pos="567"/>
        </w:tabs>
        <w:spacing w:after="0" w:line="240" w:lineRule="auto"/>
        <w:jc w:val="both"/>
        <w:rPr>
          <w:rFonts w:ascii="Times New Roman" w:hAnsi="Times New Roman" w:cs="Times New Roman"/>
          <w:sz w:val="24"/>
          <w:szCs w:val="24"/>
        </w:rPr>
      </w:pPr>
    </w:p>
    <w:p w14:paraId="6F259626">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[27]   The requirements for estoppel to be successful were explained in the case relied on by the appellant, of </w:t>
      </w:r>
      <w:r>
        <w:rPr>
          <w:rFonts w:ascii="Times New Roman" w:hAnsi="Times New Roman" w:cs="Times New Roman"/>
          <w:i/>
          <w:sz w:val="24"/>
          <w:szCs w:val="24"/>
        </w:rPr>
        <w:t xml:space="preserve">Stanbic Finance Zimbabwe Ltd </w:t>
      </w:r>
      <w:r>
        <w:rPr>
          <w:rFonts w:ascii="Times New Roman" w:hAnsi="Times New Roman" w:cs="Times New Roman"/>
          <w:sz w:val="24"/>
          <w:szCs w:val="24"/>
        </w:rPr>
        <w:t xml:space="preserve">v </w:t>
      </w:r>
      <w:r>
        <w:rPr>
          <w:rFonts w:ascii="Times New Roman" w:hAnsi="Times New Roman" w:cs="Times New Roman"/>
          <w:i/>
          <w:sz w:val="24"/>
          <w:szCs w:val="24"/>
        </w:rPr>
        <w:t>Chivhungwa</w:t>
      </w:r>
      <w:r>
        <w:rPr>
          <w:rFonts w:ascii="Times New Roman" w:hAnsi="Times New Roman" w:cs="Times New Roman"/>
          <w:sz w:val="24"/>
          <w:szCs w:val="24"/>
        </w:rPr>
        <w:t xml:space="preserve"> 1999 (1) ZLR 262 (HC) at 266 D-G as follows:</w:t>
      </w:r>
    </w:p>
    <w:p w14:paraId="42D5AF90">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“In 1956, S</w:t>
      </w:r>
      <w:r>
        <w:rPr>
          <w:rFonts w:ascii="Times New Roman" w:hAnsi="Times New Roman" w:cs="Times New Roman"/>
          <w:smallCaps/>
          <w:sz w:val="24"/>
          <w:szCs w:val="24"/>
        </w:rPr>
        <w:t>teyn</w:t>
      </w:r>
      <w:r>
        <w:rPr>
          <w:rFonts w:ascii="Times New Roman" w:hAnsi="Times New Roman" w:cs="Times New Roman"/>
          <w:sz w:val="24"/>
          <w:szCs w:val="24"/>
        </w:rPr>
        <w:t xml:space="preserve"> JA (as he then was) in </w:t>
      </w:r>
      <w:r>
        <w:rPr>
          <w:rFonts w:ascii="Times New Roman" w:hAnsi="Times New Roman" w:cs="Times New Roman"/>
          <w:i/>
          <w:iCs/>
          <w:sz w:val="24"/>
          <w:szCs w:val="24"/>
        </w:rPr>
        <w:t>Grosvenor Motors</w:t>
      </w:r>
      <w:r>
        <w:rPr>
          <w:rFonts w:ascii="Times New Roman" w:hAnsi="Times New Roman" w:cs="Times New Roman"/>
          <w:sz w:val="24"/>
          <w:szCs w:val="24"/>
        </w:rPr>
        <w:t xml:space="preserve"> (</w:t>
      </w:r>
      <w:r>
        <w:rPr>
          <w:rFonts w:ascii="Times New Roman" w:hAnsi="Times New Roman" w:cs="Times New Roman"/>
          <w:i/>
          <w:iCs/>
          <w:sz w:val="24"/>
          <w:szCs w:val="24"/>
        </w:rPr>
        <w:t>Potchefstroom</w:t>
      </w:r>
      <w:r>
        <w:rPr>
          <w:rFonts w:ascii="Times New Roman" w:hAnsi="Times New Roman" w:cs="Times New Roman"/>
          <w:sz w:val="24"/>
          <w:szCs w:val="24"/>
        </w:rPr>
        <w:t xml:space="preserve">) </w:t>
      </w:r>
      <w:r>
        <w:rPr>
          <w:rFonts w:ascii="Times New Roman" w:hAnsi="Times New Roman" w:cs="Times New Roman"/>
          <w:i/>
          <w:iCs/>
          <w:sz w:val="24"/>
          <w:szCs w:val="24"/>
        </w:rPr>
        <w:t>Ltd</w:t>
      </w:r>
      <w:r>
        <w:rPr>
          <w:rFonts w:ascii="Times New Roman" w:hAnsi="Times New Roman" w:cs="Times New Roman"/>
          <w:sz w:val="24"/>
          <w:szCs w:val="24"/>
        </w:rPr>
        <w:t xml:space="preserve"> v </w:t>
      </w:r>
      <w:r>
        <w:rPr>
          <w:rFonts w:ascii="Times New Roman" w:hAnsi="Times New Roman" w:cs="Times New Roman"/>
          <w:i/>
          <w:iCs/>
          <w:sz w:val="24"/>
          <w:szCs w:val="24"/>
        </w:rPr>
        <w:t xml:space="preserve">Douglas </w:t>
      </w:r>
      <w:r>
        <w:rPr>
          <w:rFonts w:ascii="Times New Roman" w:hAnsi="Times New Roman" w:cs="Times New Roman"/>
          <w:sz w:val="24"/>
          <w:szCs w:val="24"/>
        </w:rPr>
        <w:t>1956 (3) SA 420 (A) emphasised the importance our law attaches to the protection of property when at p 427C -D he said:</w:t>
      </w:r>
    </w:p>
    <w:p w14:paraId="294D3E41">
      <w:pPr>
        <w:spacing w:line="240" w:lineRule="auto"/>
        <w:ind w:left="1746"/>
        <w:jc w:val="both"/>
        <w:rPr>
          <w:rFonts w:ascii="Times New Roman" w:hAnsi="Times New Roman" w:cs="Times New Roman"/>
          <w:sz w:val="24"/>
          <w:szCs w:val="24"/>
        </w:rPr>
      </w:pPr>
      <w:r>
        <w:rPr>
          <w:rFonts w:ascii="Times New Roman" w:hAnsi="Times New Roman" w:cs="Times New Roman"/>
          <w:sz w:val="24"/>
          <w:szCs w:val="24"/>
        </w:rPr>
        <w:t xml:space="preserve">‘It is only necessary to add that according to Metthaeus Paroemia 7.7i.f. enactments derogating from the owner`s vindicatory rights are to be very strictly (strictissime) construed, a view with which Voet </w:t>
      </w:r>
      <w:r>
        <w:rPr>
          <w:rFonts w:ascii="Times New Roman" w:hAnsi="Times New Roman" w:cs="Times New Roman"/>
          <w:i/>
          <w:iCs/>
          <w:sz w:val="24"/>
          <w:szCs w:val="24"/>
        </w:rPr>
        <w:t>Commentaries</w:t>
      </w:r>
      <w:r>
        <w:rPr>
          <w:rFonts w:ascii="Times New Roman" w:hAnsi="Times New Roman" w:cs="Times New Roman"/>
          <w:sz w:val="24"/>
          <w:szCs w:val="24"/>
        </w:rPr>
        <w:t xml:space="preserve"> 6.1.12. agrees.</w:t>
      </w:r>
    </w:p>
    <w:p w14:paraId="0FFE316F">
      <w:pPr>
        <w:spacing w:line="240" w:lineRule="auto"/>
        <w:ind w:left="1746" w:firstLine="60"/>
        <w:jc w:val="both"/>
        <w:rPr>
          <w:rFonts w:ascii="Times New Roman" w:hAnsi="Times New Roman" w:cs="Times New Roman"/>
          <w:sz w:val="24"/>
          <w:szCs w:val="24"/>
        </w:rPr>
      </w:pPr>
      <w:r>
        <w:rPr>
          <w:rFonts w:ascii="Times New Roman" w:hAnsi="Times New Roman" w:cs="Times New Roman"/>
          <w:sz w:val="24"/>
          <w:szCs w:val="24"/>
        </w:rPr>
        <w:t xml:space="preserve">This serves to emphasise the importance which, notwithstanding recognised exceptions, our law attaches to the owner’s right to vindicate his property and suggests that, where estoppel is pleaded, he is not debarred from asserting that right </w:t>
      </w:r>
      <w:r>
        <w:rPr>
          <w:rFonts w:ascii="Times New Roman" w:hAnsi="Times New Roman" w:cs="Times New Roman"/>
          <w:i/>
          <w:iCs/>
          <w:sz w:val="24"/>
          <w:szCs w:val="24"/>
        </w:rPr>
        <w:t>unless there is clear proof of estoppel</w:t>
      </w:r>
      <w:r>
        <w:rPr>
          <w:rFonts w:ascii="Times New Roman" w:hAnsi="Times New Roman" w:cs="Times New Roman"/>
          <w:sz w:val="24"/>
          <w:szCs w:val="24"/>
        </w:rPr>
        <w:t>.’ (The emphasis is mine)</w:t>
      </w:r>
    </w:p>
    <w:p w14:paraId="25BB2C18">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Estoppel depends upon an allegation that a representation was made by the owner (Mashave‘s case </w:t>
      </w:r>
      <w:r>
        <w:rPr>
          <w:rFonts w:ascii="Times New Roman" w:hAnsi="Times New Roman" w:cs="Times New Roman"/>
          <w:i/>
          <w:sz w:val="24"/>
          <w:szCs w:val="24"/>
        </w:rPr>
        <w:t>supra</w:t>
      </w:r>
      <w:r>
        <w:rPr>
          <w:rFonts w:ascii="Times New Roman" w:hAnsi="Times New Roman" w:cs="Times New Roman"/>
          <w:sz w:val="24"/>
          <w:szCs w:val="24"/>
        </w:rPr>
        <w:t xml:space="preserve"> at p 438D). In Oakland Nominees supra at p 452A-G H</w:t>
      </w:r>
      <w:r>
        <w:rPr>
          <w:rFonts w:ascii="Times New Roman" w:hAnsi="Times New Roman" w:cs="Times New Roman"/>
          <w:smallCaps/>
          <w:sz w:val="24"/>
          <w:szCs w:val="24"/>
        </w:rPr>
        <w:t>olmes</w:t>
      </w:r>
      <w:r>
        <w:rPr>
          <w:rFonts w:ascii="Times New Roman" w:hAnsi="Times New Roman" w:cs="Times New Roman"/>
          <w:sz w:val="24"/>
          <w:szCs w:val="24"/>
        </w:rPr>
        <w:t xml:space="preserve"> JA said:</w:t>
      </w:r>
    </w:p>
    <w:p w14:paraId="1897541C">
      <w:pPr>
        <w:spacing w:line="240" w:lineRule="auto"/>
        <w:ind w:left="2160" w:hanging="459"/>
        <w:jc w:val="both"/>
        <w:rPr>
          <w:rFonts w:ascii="Times New Roman" w:hAnsi="Times New Roman" w:cs="Times New Roman"/>
          <w:sz w:val="24"/>
          <w:szCs w:val="24"/>
        </w:rPr>
      </w:pPr>
      <w:r>
        <w:rPr>
          <w:rFonts w:ascii="Times New Roman" w:hAnsi="Times New Roman" w:cs="Times New Roman"/>
          <w:sz w:val="24"/>
          <w:szCs w:val="24"/>
        </w:rPr>
        <w:t xml:space="preserve">‘(i) There must be a representation by the owner, by conduct or otherwise, that the person who disposed of his property was the owner of it or was entitled to dispose of it. A helpful decision in this regard is </w:t>
      </w:r>
      <w:r>
        <w:rPr>
          <w:rFonts w:ascii="Times New Roman" w:hAnsi="Times New Roman" w:cs="Times New Roman"/>
          <w:i/>
          <w:sz w:val="24"/>
          <w:szCs w:val="24"/>
        </w:rPr>
        <w:t xml:space="preserve">Electrolux (Pty) Ltd </w:t>
      </w:r>
      <w:r>
        <w:rPr>
          <w:rFonts w:ascii="Times New Roman" w:hAnsi="Times New Roman" w:cs="Times New Roman"/>
          <w:sz w:val="24"/>
          <w:szCs w:val="24"/>
        </w:rPr>
        <w:t>v</w:t>
      </w:r>
      <w:r>
        <w:rPr>
          <w:rFonts w:ascii="Times New Roman" w:hAnsi="Times New Roman" w:cs="Times New Roman"/>
          <w:i/>
          <w:sz w:val="24"/>
          <w:szCs w:val="24"/>
        </w:rPr>
        <w:t xml:space="preserve"> Khota &amp; Anor</w:t>
      </w:r>
      <w:r>
        <w:rPr>
          <w:rFonts w:ascii="Times New Roman" w:hAnsi="Times New Roman" w:cs="Times New Roman"/>
          <w:sz w:val="24"/>
          <w:szCs w:val="24"/>
        </w:rPr>
        <w:t xml:space="preserve"> 1961 (4) SA 244 (W) with its reference at p 247 to the entrusting of possession of property with </w:t>
      </w:r>
      <w:r>
        <w:rPr>
          <w:rFonts w:ascii="Times New Roman" w:hAnsi="Times New Roman" w:cs="Times New Roman"/>
          <w:i/>
          <w:iCs/>
          <w:sz w:val="24"/>
          <w:szCs w:val="24"/>
        </w:rPr>
        <w:t xml:space="preserve">indicia </w:t>
      </w:r>
      <w:r>
        <w:rPr>
          <w:rFonts w:ascii="Times New Roman" w:hAnsi="Times New Roman" w:cs="Times New Roman"/>
          <w:sz w:val="24"/>
          <w:szCs w:val="24"/>
        </w:rPr>
        <w:t xml:space="preserve">of </w:t>
      </w:r>
      <w:r>
        <w:rPr>
          <w:rFonts w:ascii="Times New Roman" w:hAnsi="Times New Roman" w:cs="Times New Roman"/>
          <w:i/>
          <w:iCs/>
          <w:sz w:val="24"/>
          <w:szCs w:val="24"/>
        </w:rPr>
        <w:t xml:space="preserve">dominium </w:t>
      </w:r>
      <w:r>
        <w:rPr>
          <w:rFonts w:ascii="Times New Roman" w:hAnsi="Times New Roman" w:cs="Times New Roman"/>
          <w:sz w:val="24"/>
          <w:szCs w:val="24"/>
        </w:rPr>
        <w:t xml:space="preserve">or </w:t>
      </w:r>
      <w:r>
        <w:rPr>
          <w:rFonts w:ascii="Times New Roman" w:hAnsi="Times New Roman" w:cs="Times New Roman"/>
          <w:i/>
          <w:iCs/>
          <w:sz w:val="24"/>
          <w:szCs w:val="24"/>
        </w:rPr>
        <w:t>jus disponendi</w:t>
      </w:r>
      <w:r>
        <w:rPr>
          <w:rFonts w:ascii="Times New Roman" w:hAnsi="Times New Roman" w:cs="Times New Roman"/>
          <w:sz w:val="24"/>
          <w:szCs w:val="24"/>
        </w:rPr>
        <w:t>.</w:t>
      </w:r>
    </w:p>
    <w:p w14:paraId="00828347">
      <w:pPr>
        <w:spacing w:line="240" w:lineRule="auto"/>
        <w:ind w:left="2160" w:hanging="459"/>
        <w:jc w:val="both"/>
        <w:rPr>
          <w:rFonts w:ascii="Times New Roman" w:hAnsi="Times New Roman" w:cs="Times New Roman"/>
          <w:sz w:val="24"/>
          <w:szCs w:val="24"/>
        </w:rPr>
      </w:pPr>
      <w:r>
        <w:rPr>
          <w:rFonts w:ascii="Times New Roman" w:hAnsi="Times New Roman" w:cs="Times New Roman"/>
          <w:sz w:val="24"/>
          <w:szCs w:val="24"/>
        </w:rPr>
        <w:t>(ii) The representation must have been made negligently in the circumstances.</w:t>
      </w:r>
    </w:p>
    <w:p w14:paraId="29F2EAC0">
      <w:pPr>
        <w:spacing w:line="240" w:lineRule="auto"/>
        <w:ind w:left="2160" w:hanging="459"/>
        <w:jc w:val="both"/>
        <w:rPr>
          <w:rFonts w:ascii="Times New Roman" w:hAnsi="Times New Roman" w:cs="Times New Roman"/>
          <w:sz w:val="24"/>
          <w:szCs w:val="24"/>
        </w:rPr>
      </w:pPr>
      <w:r>
        <w:rPr>
          <w:rFonts w:ascii="Times New Roman" w:hAnsi="Times New Roman" w:cs="Times New Roman"/>
          <w:sz w:val="24"/>
          <w:szCs w:val="24"/>
        </w:rPr>
        <w:t>(iii)  The representation must have been relied upon by the person raising the estoppel.</w:t>
      </w:r>
    </w:p>
    <w:p w14:paraId="672484D1">
      <w:pPr>
        <w:spacing w:line="240" w:lineRule="auto"/>
        <w:ind w:left="2160" w:hanging="459"/>
        <w:jc w:val="both"/>
        <w:rPr>
          <w:rFonts w:ascii="Times New Roman" w:hAnsi="Times New Roman" w:cs="Times New Roman"/>
          <w:sz w:val="24"/>
          <w:szCs w:val="24"/>
        </w:rPr>
      </w:pPr>
      <w:r>
        <w:rPr>
          <w:rFonts w:ascii="Times New Roman" w:hAnsi="Times New Roman" w:cs="Times New Roman"/>
          <w:sz w:val="24"/>
          <w:szCs w:val="24"/>
        </w:rPr>
        <w:t>(iv)  Such person’s reliance upon the representation must be the cause of his acting to his detriment.’”</w:t>
      </w:r>
    </w:p>
    <w:p w14:paraId="084A50C9">
      <w:pPr>
        <w:spacing w:line="240" w:lineRule="auto"/>
        <w:jc w:val="both"/>
        <w:rPr>
          <w:rFonts w:ascii="Times New Roman" w:hAnsi="Times New Roman" w:cs="Times New Roman"/>
          <w:sz w:val="24"/>
          <w:szCs w:val="24"/>
        </w:rPr>
      </w:pPr>
    </w:p>
    <w:p w14:paraId="2720D3DB">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[28]   It might be necessary, at this stage, to define what is meant by negligent misrepresentation which is also known as estoppel by negligence. </w:t>
      </w:r>
      <w:r>
        <w:rPr>
          <w:rFonts w:ascii="Times New Roman" w:hAnsi="Times New Roman" w:cs="Times New Roman"/>
          <w:i/>
          <w:iCs/>
          <w:sz w:val="24"/>
          <w:szCs w:val="24"/>
        </w:rPr>
        <w:t>In Standard Finance Zimbabwe Limited</w:t>
      </w:r>
      <w:r>
        <w:rPr>
          <w:rFonts w:ascii="Times New Roman" w:hAnsi="Times New Roman" w:cs="Times New Roman"/>
          <w:sz w:val="24"/>
          <w:szCs w:val="24"/>
        </w:rPr>
        <w:t xml:space="preserve"> </w:t>
      </w:r>
      <w:r>
        <w:rPr>
          <w:rFonts w:ascii="Times New Roman" w:hAnsi="Times New Roman" w:cs="Times New Roman"/>
          <w:i/>
          <w:iCs/>
          <w:sz w:val="24"/>
          <w:szCs w:val="24"/>
        </w:rPr>
        <w:t xml:space="preserve">supra </w:t>
      </w:r>
      <w:r>
        <w:rPr>
          <w:rFonts w:ascii="Times New Roman" w:hAnsi="Times New Roman" w:cs="Times New Roman"/>
          <w:sz w:val="24"/>
          <w:szCs w:val="24"/>
        </w:rPr>
        <w:t xml:space="preserve">at p 268D-E, quoting from P J Rabie: </w:t>
      </w:r>
      <w:r>
        <w:rPr>
          <w:rFonts w:ascii="Times New Roman" w:hAnsi="Times New Roman" w:cs="Times New Roman"/>
          <w:i/>
          <w:iCs/>
          <w:sz w:val="24"/>
          <w:szCs w:val="24"/>
        </w:rPr>
        <w:t>The Law of Estoppel in South Africa</w:t>
      </w:r>
      <w:r>
        <w:rPr>
          <w:rFonts w:ascii="Times New Roman" w:hAnsi="Times New Roman" w:cs="Times New Roman"/>
          <w:sz w:val="24"/>
          <w:szCs w:val="24"/>
        </w:rPr>
        <w:t xml:space="preserve"> p 91, it was defined as follows;</w:t>
      </w:r>
    </w:p>
    <w:p w14:paraId="6645E053">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“The expression ‘estoppel by negligence’ is not infrequently encountered in cases of estoppel … It seems that... the expression is commonly used in those cases where an estoppel is against a person, not on the ground of representation which he himself made to the person raising the estoppel, but on the ground of representation which he, through negligent conduct on his part, enabled another person, acting fraudulently, to make to the person claiming the estoppel. Ewart, as shown above, refers to a representation made in this fashion as ‘assisted misrepresentation’.</w:t>
      </w:r>
    </w:p>
    <w:p w14:paraId="294F1575">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In such a case, he says, the person against whom the estoppel is raised is estopped, not because of any misrepresentation made by himself, but because he ‘</w:t>
      </w:r>
      <w:bookmarkStart w:id="0" w:name="_Hlk178853703"/>
      <w:r>
        <w:rPr>
          <w:rFonts w:ascii="Times New Roman" w:hAnsi="Times New Roman" w:cs="Times New Roman"/>
          <w:sz w:val="24"/>
          <w:szCs w:val="24"/>
        </w:rPr>
        <w:t xml:space="preserve">furnished an opportunity for fraud ‘and’ made the representation of another person credible.” </w:t>
      </w:r>
    </w:p>
    <w:p w14:paraId="48163459">
      <w:pPr>
        <w:spacing w:line="240" w:lineRule="auto"/>
        <w:ind w:left="2160"/>
        <w:jc w:val="both"/>
        <w:rPr>
          <w:rFonts w:ascii="Times New Roman" w:hAnsi="Times New Roman" w:cs="Times New Roman"/>
          <w:sz w:val="24"/>
          <w:szCs w:val="24"/>
        </w:rPr>
      </w:pPr>
    </w:p>
    <w:bookmarkEnd w:id="0"/>
    <w:p w14:paraId="77448C1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[29] It is the appellant’s contention that the first and second respondents ‘furnished an opportunity for fraud and made the misrepresentation of another person credible’. </w:t>
      </w:r>
    </w:p>
    <w:p w14:paraId="0E05C87F">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On the representation by conduct of the first and second respondents, the appellant, in its heads of argument, relied on the case of </w:t>
      </w:r>
      <w:r>
        <w:rPr>
          <w:rFonts w:ascii="Times New Roman" w:hAnsi="Times New Roman" w:cs="Times New Roman"/>
          <w:i/>
          <w:iCs/>
          <w:sz w:val="24"/>
          <w:szCs w:val="24"/>
        </w:rPr>
        <w:t xml:space="preserve">Oriental Products (Pty) Ltd </w:t>
      </w:r>
      <w:r>
        <w:rPr>
          <w:rFonts w:ascii="Times New Roman" w:hAnsi="Times New Roman" w:cs="Times New Roman"/>
          <w:sz w:val="24"/>
          <w:szCs w:val="24"/>
        </w:rPr>
        <w:t xml:space="preserve">v </w:t>
      </w:r>
      <w:r>
        <w:rPr>
          <w:rFonts w:ascii="Times New Roman" w:hAnsi="Times New Roman" w:cs="Times New Roman"/>
          <w:i/>
          <w:iCs/>
          <w:sz w:val="24"/>
          <w:szCs w:val="24"/>
        </w:rPr>
        <w:t xml:space="preserve">Pegma 178 Investments Trading CC &amp; Ors </w:t>
      </w:r>
      <w:r>
        <w:rPr>
          <w:rFonts w:ascii="Times New Roman" w:hAnsi="Times New Roman" w:cs="Times New Roman"/>
          <w:sz w:val="24"/>
          <w:szCs w:val="24"/>
        </w:rPr>
        <w:t xml:space="preserve">2011 (2) SA 508 (SCA) where it was stated; </w:t>
      </w:r>
    </w:p>
    <w:p w14:paraId="5302D2F7">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“[9] The court </w:t>
      </w:r>
      <w:r>
        <w:rPr>
          <w:rFonts w:ascii="Times New Roman" w:hAnsi="Times New Roman" w:cs="Times New Roman"/>
          <w:i/>
          <w:iCs/>
          <w:sz w:val="24"/>
          <w:szCs w:val="24"/>
        </w:rPr>
        <w:t xml:space="preserve">a quo </w:t>
      </w:r>
      <w:r>
        <w:rPr>
          <w:rFonts w:ascii="Times New Roman" w:hAnsi="Times New Roman" w:cs="Times New Roman"/>
          <w:sz w:val="24"/>
          <w:szCs w:val="24"/>
        </w:rPr>
        <w:t>found that the third respondent was not properly authorized</w:t>
      </w:r>
    </w:p>
    <w:p w14:paraId="12EB2616">
      <w:pPr>
        <w:autoSpaceDE w:val="0"/>
        <w:autoSpaceDN w:val="0"/>
        <w:adjustRightInd w:val="0"/>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to pass transfer of the property to the second respondent, therefore the transfer was void as it lacked the prerequisite to effect registration of transfer, being that the transferor (in this case the appellant), must intend to transfer and the transferee (in this case the second respondent) must intend to take transfer (</w:t>
      </w:r>
      <w:r>
        <w:rPr>
          <w:rFonts w:ascii="Times New Roman" w:hAnsi="Times New Roman" w:cs="Times New Roman"/>
          <w:b/>
          <w:bCs/>
          <w:i/>
          <w:iCs/>
          <w:sz w:val="24"/>
          <w:szCs w:val="24"/>
        </w:rPr>
        <w:t>Trust</w:t>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Bank van Afrika v Western Bank en &amp; Andere </w:t>
      </w:r>
      <w:r>
        <w:rPr>
          <w:rFonts w:ascii="Times New Roman" w:hAnsi="Times New Roman" w:cs="Times New Roman"/>
          <w:b/>
          <w:bCs/>
          <w:sz w:val="24"/>
          <w:szCs w:val="24"/>
        </w:rPr>
        <w:t xml:space="preserve">1978 (4) SA 281 (A) </w:t>
      </w:r>
      <w:r>
        <w:rPr>
          <w:rFonts w:ascii="Times New Roman" w:hAnsi="Times New Roman" w:cs="Times New Roman"/>
          <w:sz w:val="24"/>
          <w:szCs w:val="24"/>
        </w:rPr>
        <w:t xml:space="preserve">at 302 A-referring with approval to </w:t>
      </w:r>
      <w:r>
        <w:rPr>
          <w:rFonts w:ascii="Times New Roman" w:hAnsi="Times New Roman" w:cs="Times New Roman"/>
          <w:b/>
          <w:bCs/>
          <w:i/>
          <w:iCs/>
          <w:sz w:val="24"/>
          <w:szCs w:val="24"/>
        </w:rPr>
        <w:t>Commissioner of Customs and Excise v Randles</w:t>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Brothers &amp; Hudson Ltd </w:t>
      </w:r>
      <w:r>
        <w:rPr>
          <w:rFonts w:ascii="Times New Roman" w:hAnsi="Times New Roman" w:cs="Times New Roman"/>
          <w:b/>
          <w:bCs/>
          <w:sz w:val="24"/>
          <w:szCs w:val="24"/>
        </w:rPr>
        <w:t xml:space="preserve">1941 AD 369 </w:t>
      </w:r>
      <w:r>
        <w:rPr>
          <w:rFonts w:ascii="Times New Roman" w:hAnsi="Times New Roman" w:cs="Times New Roman"/>
          <w:sz w:val="24"/>
          <w:szCs w:val="24"/>
        </w:rPr>
        <w:t xml:space="preserve">at 397-398. See also </w:t>
      </w:r>
      <w:r>
        <w:rPr>
          <w:rFonts w:ascii="Times New Roman" w:hAnsi="Times New Roman" w:cs="Times New Roman"/>
          <w:b/>
          <w:bCs/>
          <w:sz w:val="24"/>
          <w:szCs w:val="24"/>
        </w:rPr>
        <w:t xml:space="preserve">Wille’s </w:t>
      </w:r>
      <w:r>
        <w:rPr>
          <w:rFonts w:ascii="Times New Roman" w:hAnsi="Times New Roman" w:cs="Times New Roman"/>
          <w:b/>
          <w:bCs/>
          <w:i/>
          <w:iCs/>
          <w:sz w:val="24"/>
          <w:szCs w:val="24"/>
        </w:rPr>
        <w:t>Principles</w:t>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of South African Law </w:t>
      </w:r>
      <w:r>
        <w:rPr>
          <w:rFonts w:ascii="Times New Roman" w:hAnsi="Times New Roman" w:cs="Times New Roman"/>
          <w:b/>
          <w:bCs/>
          <w:sz w:val="24"/>
          <w:szCs w:val="24"/>
        </w:rPr>
        <w:t xml:space="preserve">9 ed (2007) </w:t>
      </w:r>
      <w:r>
        <w:rPr>
          <w:rFonts w:ascii="Times New Roman" w:hAnsi="Times New Roman" w:cs="Times New Roman"/>
          <w:sz w:val="24"/>
          <w:szCs w:val="24"/>
        </w:rPr>
        <w:t>at 520-521.)</w:t>
      </w:r>
    </w:p>
    <w:p w14:paraId="5A4461D2">
      <w:pPr>
        <w:autoSpaceDE w:val="0"/>
        <w:autoSpaceDN w:val="0"/>
        <w:adjustRightInd w:val="0"/>
        <w:spacing w:after="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p>
    <w:p w14:paraId="20715B04">
      <w:pPr>
        <w:autoSpaceDE w:val="0"/>
        <w:autoSpaceDN w:val="0"/>
        <w:adjustRightInd w:val="0"/>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 xml:space="preserve"> [15] The next question is whether the appellant is estopped from challenging the</w:t>
      </w:r>
    </w:p>
    <w:p w14:paraId="37BD7495">
      <w:pPr>
        <w:autoSpaceDE w:val="0"/>
        <w:autoSpaceDN w:val="0"/>
        <w:adjustRightInd w:val="0"/>
        <w:spacing w:after="0" w:line="240" w:lineRule="auto"/>
        <w:ind w:left="993" w:firstLine="807"/>
        <w:jc w:val="both"/>
        <w:rPr>
          <w:rFonts w:ascii="Times New Roman" w:hAnsi="Times New Roman" w:cs="Times New Roman"/>
          <w:b/>
          <w:bCs/>
          <w:sz w:val="24"/>
          <w:szCs w:val="24"/>
        </w:rPr>
      </w:pPr>
      <w:r>
        <w:rPr>
          <w:rFonts w:ascii="Times New Roman" w:hAnsi="Times New Roman" w:cs="Times New Roman"/>
          <w:sz w:val="24"/>
          <w:szCs w:val="24"/>
        </w:rPr>
        <w:t xml:space="preserve">first respondent’s title by bringing these proceedings </w:t>
      </w:r>
      <w:r>
        <w:rPr>
          <w:rFonts w:ascii="Times New Roman" w:hAnsi="Times New Roman" w:cs="Times New Roman"/>
          <w:b/>
          <w:bCs/>
          <w:sz w:val="24"/>
          <w:szCs w:val="24"/>
        </w:rPr>
        <w:t>at the time and in the</w:t>
      </w:r>
    </w:p>
    <w:p w14:paraId="71CAF8AD">
      <w:pPr>
        <w:autoSpaceDE w:val="0"/>
        <w:autoSpaceDN w:val="0"/>
        <w:adjustRightInd w:val="0"/>
        <w:spacing w:after="0" w:line="240" w:lineRule="auto"/>
        <w:ind w:firstLine="1800"/>
        <w:jc w:val="both"/>
        <w:rPr>
          <w:rFonts w:ascii="Times New Roman" w:hAnsi="Times New Roman" w:cs="Times New Roman"/>
          <w:b/>
          <w:bCs/>
          <w:sz w:val="24"/>
          <w:szCs w:val="24"/>
        </w:rPr>
      </w:pPr>
      <w:r>
        <w:rPr>
          <w:rFonts w:ascii="Times New Roman" w:hAnsi="Times New Roman" w:cs="Times New Roman"/>
          <w:b/>
          <w:bCs/>
          <w:sz w:val="24"/>
          <w:szCs w:val="24"/>
        </w:rPr>
        <w:t>circumstances in which it did. . .…………..</w:t>
      </w:r>
    </w:p>
    <w:p w14:paraId="5B7086C5">
      <w:pPr>
        <w:pStyle w:val="32"/>
        <w:shd w:val="clear" w:color="auto" w:fill="FFFFFF"/>
        <w:spacing w:before="144" w:beforeAutospacing="0" w:after="0" w:afterAutospacing="0"/>
        <w:ind w:left="1800" w:hanging="480"/>
        <w:jc w:val="both"/>
      </w:pPr>
      <w:r>
        <w:rPr>
          <w:color w:val="242121"/>
          <w:lang w:val="af-ZA"/>
        </w:rPr>
        <w:t>[18] The first respondent’s contention is that the failure to take immediate steps to bring proceedings against the second respondent amounts to a representation that the second respondent was the lawful and registered owner with a right to sell the property. The first respondent further argues that the said failure also carries with it the requisite negligence on the part of the appellant to found estoppel. The first respondent contends that, had the appellant acted timeously, the property would not have been transferred to the second respondent and the first respondent would, not have embarked on high scale development of the property, which it did. In order to demonstrate that the appellant acted negligently, Ms Cook testified that in January 2007 she did not know that the first respondent had purchased the property and she had not decided who was going to be her attorney to deal with the matter. On the contrary, by 18 December 2006 she knew that the property had been transferred and registered in the name of the second respondent. Webber Wentzel Bowens had already informed her of the first transaction. Relying on the appellants’ inaction the second respondent sold the property to the first respondent who consequently started developing it. Had the appellant acted swiftly the chain of events would have been avoided .....</w:t>
      </w:r>
    </w:p>
    <w:p w14:paraId="2F4BE8C8">
      <w:pPr>
        <w:autoSpaceDE w:val="0"/>
        <w:autoSpaceDN w:val="0"/>
        <w:adjustRightInd w:val="0"/>
        <w:spacing w:after="0" w:line="240" w:lineRule="auto"/>
        <w:ind w:left="1843" w:hanging="567"/>
        <w:jc w:val="both"/>
        <w:rPr>
          <w:rFonts w:ascii="Times New Roman" w:hAnsi="Times New Roman" w:cs="Times New Roman"/>
          <w:sz w:val="24"/>
          <w:szCs w:val="24"/>
        </w:rPr>
      </w:pPr>
      <w:r>
        <w:rPr>
          <w:rFonts w:ascii="Times New Roman" w:hAnsi="Times New Roman" w:cs="Times New Roman"/>
          <w:sz w:val="24"/>
          <w:szCs w:val="24"/>
        </w:rPr>
        <w:t xml:space="preserve">[21] The relevant period in this case is </w:t>
      </w:r>
      <w:r>
        <w:rPr>
          <w:rFonts w:ascii="Times New Roman" w:hAnsi="Times New Roman" w:cs="Times New Roman"/>
          <w:b/>
          <w:bCs/>
          <w:sz w:val="24"/>
          <w:szCs w:val="24"/>
        </w:rPr>
        <w:t>between 18 December 2006, when attorneys Webber Wentzel Bowens wrote a letter to Mr Kuk advising him that the property had been registered in the name of the second respondent and 8 February 2007 when the property was indeed transferred to the first respondent.</w:t>
      </w:r>
      <w:r>
        <w:rPr>
          <w:rFonts w:ascii="Times New Roman" w:hAnsi="Times New Roman" w:cs="Times New Roman"/>
          <w:sz w:val="24"/>
          <w:szCs w:val="24"/>
        </w:rPr>
        <w:t xml:space="preserve"> The directors of the appellant remained inactive for almost two months after learning that its property had been registered in the name of the second respondent. </w:t>
      </w:r>
      <w:r>
        <w:rPr>
          <w:rFonts w:ascii="Times New Roman" w:hAnsi="Times New Roman" w:cs="Times New Roman"/>
          <w:b/>
          <w:bCs/>
          <w:sz w:val="24"/>
          <w:szCs w:val="24"/>
        </w:rPr>
        <w:t>The inaction</w:t>
      </w:r>
      <w:r>
        <w:rPr>
          <w:rFonts w:ascii="Times New Roman" w:hAnsi="Times New Roman" w:cs="Times New Roman"/>
          <w:sz w:val="24"/>
          <w:szCs w:val="24"/>
        </w:rPr>
        <w:t xml:space="preserve"> </w:t>
      </w:r>
      <w:r>
        <w:rPr>
          <w:rFonts w:ascii="Times New Roman" w:hAnsi="Times New Roman" w:cs="Times New Roman"/>
          <w:b/>
          <w:bCs/>
          <w:sz w:val="24"/>
          <w:szCs w:val="24"/>
        </w:rPr>
        <w:t xml:space="preserve">for almost two months is sufficient to constitute negligence </w:t>
      </w:r>
      <w:r>
        <w:rPr>
          <w:rFonts w:ascii="Times New Roman" w:hAnsi="Times New Roman" w:cs="Times New Roman"/>
          <w:b/>
          <w:bCs/>
          <w:sz w:val="24"/>
          <w:szCs w:val="24"/>
          <w:u w:val="single"/>
        </w:rPr>
        <w:t>considering the</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surrounding circumstances as described above.</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One must bear in mind that we are</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dealing with immovable property which was the core business of the appellant</w:t>
      </w:r>
      <w:r>
        <w:rPr>
          <w:rFonts w:ascii="Times New Roman" w:hAnsi="Times New Roman" w:cs="Times New Roman"/>
          <w:b/>
          <w:bCs/>
          <w:sz w:val="24"/>
          <w:szCs w:val="24"/>
        </w:rPr>
        <w:t>.</w:t>
      </w:r>
      <w:r>
        <w:rPr>
          <w:rFonts w:ascii="Times New Roman" w:hAnsi="Times New Roman" w:cs="Times New Roman"/>
          <w:sz w:val="24"/>
          <w:szCs w:val="24"/>
        </w:rPr>
        <w:t xml:space="preserve"> It should have rung a bell and raised a red flag immediately to Mr Kuk and Ms Cook after they heard of the new developments in mid-December 2006. </w:t>
      </w:r>
      <w:r>
        <w:rPr>
          <w:rFonts w:ascii="Times New Roman" w:hAnsi="Times New Roman" w:cs="Times New Roman"/>
          <w:b/>
          <w:bCs/>
          <w:sz w:val="24"/>
          <w:szCs w:val="24"/>
        </w:rPr>
        <w:t>They only</w:t>
      </w:r>
      <w:r>
        <w:rPr>
          <w:rFonts w:ascii="Times New Roman" w:hAnsi="Times New Roman" w:cs="Times New Roman"/>
          <w:sz w:val="24"/>
          <w:szCs w:val="24"/>
        </w:rPr>
        <w:t xml:space="preserve"> </w:t>
      </w:r>
      <w:r>
        <w:rPr>
          <w:rFonts w:ascii="Times New Roman" w:hAnsi="Times New Roman" w:cs="Times New Roman"/>
          <w:b/>
          <w:bCs/>
          <w:sz w:val="24"/>
          <w:szCs w:val="24"/>
        </w:rPr>
        <w:t xml:space="preserve">launched the application for vindication on 7 May 2008, almost </w:t>
      </w:r>
      <w:r>
        <w:rPr>
          <w:rFonts w:ascii="Times New Roman" w:hAnsi="Times New Roman" w:cs="Times New Roman"/>
          <w:b/>
          <w:bCs/>
          <w:sz w:val="24"/>
          <w:szCs w:val="24"/>
          <w:u w:val="single"/>
        </w:rPr>
        <w:t>seventeen months</w:t>
      </w:r>
      <w:r>
        <w:rPr>
          <w:rFonts w:ascii="Times New Roman" w:hAnsi="Times New Roman" w:cs="Times New Roman"/>
          <w:sz w:val="24"/>
          <w:szCs w:val="24"/>
        </w:rPr>
        <w:t xml:space="preserve"> </w:t>
      </w:r>
      <w:r>
        <w:rPr>
          <w:rFonts w:ascii="Times New Roman" w:hAnsi="Times New Roman" w:cs="Times New Roman"/>
          <w:b/>
          <w:bCs/>
          <w:sz w:val="24"/>
          <w:szCs w:val="24"/>
        </w:rPr>
        <w:t>after knowing that the property had been fraudulently sold and transferred</w:t>
      </w:r>
      <w:r>
        <w:rPr>
          <w:rFonts w:ascii="Times New Roman" w:hAnsi="Times New Roman" w:cs="Times New Roman"/>
          <w:sz w:val="24"/>
          <w:szCs w:val="24"/>
        </w:rPr>
        <w:t>.</w:t>
      </w:r>
    </w:p>
    <w:p w14:paraId="203C370D">
      <w:pPr>
        <w:autoSpaceDE w:val="0"/>
        <w:autoSpaceDN w:val="0"/>
        <w:adjustRightInd w:val="0"/>
        <w:spacing w:after="0" w:line="240" w:lineRule="auto"/>
        <w:ind w:left="1560"/>
        <w:jc w:val="both"/>
        <w:rPr>
          <w:rFonts w:ascii="Times New Roman" w:hAnsi="Times New Roman" w:cs="Times New Roman"/>
          <w:sz w:val="24"/>
          <w:szCs w:val="24"/>
        </w:rPr>
      </w:pPr>
    </w:p>
    <w:p w14:paraId="096D503C">
      <w:pPr>
        <w:autoSpaceDE w:val="0"/>
        <w:autoSpaceDN w:val="0"/>
        <w:adjustRightInd w:val="0"/>
        <w:spacing w:after="0" w:line="240" w:lineRule="auto"/>
        <w:ind w:left="1843" w:hanging="567"/>
        <w:jc w:val="both"/>
        <w:rPr>
          <w:rFonts w:ascii="Times New Roman" w:hAnsi="Times New Roman" w:cs="Times New Roman"/>
          <w:sz w:val="24"/>
          <w:szCs w:val="24"/>
        </w:rPr>
      </w:pPr>
      <w:r>
        <w:rPr>
          <w:rFonts w:ascii="Times New Roman" w:hAnsi="Times New Roman" w:cs="Times New Roman"/>
          <w:sz w:val="24"/>
          <w:szCs w:val="24"/>
        </w:rPr>
        <w:t xml:space="preserve">[22] I am satisfied in concluding that </w:t>
      </w:r>
      <w:bookmarkStart w:id="1" w:name="_Hlk178947689"/>
      <w:r>
        <w:rPr>
          <w:rFonts w:ascii="Times New Roman" w:hAnsi="Times New Roman" w:cs="Times New Roman"/>
          <w:sz w:val="24"/>
          <w:szCs w:val="24"/>
        </w:rPr>
        <w:t>the appellant’s inaction was negligent representation which led the first respondent to rely on it to its detriment.</w:t>
      </w:r>
      <w:bookmarkEnd w:id="1"/>
      <w:r>
        <w:rPr>
          <w:rFonts w:ascii="Times New Roman" w:hAnsi="Times New Roman" w:cs="Times New Roman"/>
          <w:sz w:val="24"/>
          <w:szCs w:val="24"/>
        </w:rPr>
        <w:t xml:space="preserve"> S</w:t>
      </w:r>
      <w:r>
        <w:rPr>
          <w:rFonts w:ascii="Times New Roman" w:hAnsi="Times New Roman" w:cs="Times New Roman"/>
          <w:smallCaps/>
          <w:sz w:val="24"/>
          <w:szCs w:val="24"/>
        </w:rPr>
        <w:t>teyn</w:t>
      </w:r>
      <w:r>
        <w:rPr>
          <w:rFonts w:ascii="Times New Roman" w:hAnsi="Times New Roman" w:cs="Times New Roman"/>
          <w:sz w:val="24"/>
          <w:szCs w:val="24"/>
        </w:rPr>
        <w:t xml:space="preserve"> JA in </w:t>
      </w:r>
      <w:r>
        <w:rPr>
          <w:rFonts w:ascii="Times New Roman" w:hAnsi="Times New Roman" w:cs="Times New Roman"/>
          <w:b/>
          <w:bCs/>
          <w:i/>
          <w:iCs/>
          <w:sz w:val="24"/>
          <w:szCs w:val="24"/>
        </w:rPr>
        <w:t xml:space="preserve">Grosvenor Motors (Potchefstroom) Ltd v Douglas </w:t>
      </w:r>
      <w:r>
        <w:rPr>
          <w:rFonts w:ascii="Times New Roman" w:hAnsi="Times New Roman" w:cs="Times New Roman"/>
          <w:b/>
          <w:bCs/>
          <w:sz w:val="24"/>
          <w:szCs w:val="24"/>
        </w:rPr>
        <w:t>1956 (3) SA 420 (A)</w:t>
      </w:r>
      <w:r>
        <w:rPr>
          <w:rFonts w:ascii="Times New Roman" w:hAnsi="Times New Roman" w:cs="Times New Roman"/>
          <w:sz w:val="24"/>
          <w:szCs w:val="24"/>
        </w:rPr>
        <w:t xml:space="preserve"> </w:t>
      </w:r>
      <w:r>
        <w:rPr>
          <w:rFonts w:ascii="Times New Roman" w:hAnsi="Times New Roman" w:cs="Times New Roman"/>
          <w:b/>
          <w:bCs/>
          <w:sz w:val="24"/>
          <w:szCs w:val="24"/>
        </w:rPr>
        <w:t xml:space="preserve">at 427 </w:t>
      </w:r>
      <w:r>
        <w:rPr>
          <w:rFonts w:ascii="Times New Roman" w:hAnsi="Times New Roman" w:cs="Times New Roman"/>
          <w:sz w:val="24"/>
          <w:szCs w:val="24"/>
        </w:rPr>
        <w:t xml:space="preserve">defines estoppel as a principle in terms of which an owner ‘forfeits his right to vindicate where the person who acquires his property does so because, by the culpa of the owner he has been misled into the belief that the person from whom he acquired it, is entitled to dispose of it.’ (See </w:t>
      </w:r>
      <w:r>
        <w:rPr>
          <w:rFonts w:ascii="Times New Roman" w:hAnsi="Times New Roman" w:cs="Times New Roman"/>
          <w:b/>
          <w:bCs/>
          <w:sz w:val="24"/>
          <w:szCs w:val="24"/>
        </w:rPr>
        <w:t xml:space="preserve">Voet </w:t>
      </w:r>
      <w:r>
        <w:rPr>
          <w:rFonts w:ascii="Times New Roman" w:hAnsi="Times New Roman" w:cs="Times New Roman"/>
          <w:b/>
          <w:bCs/>
          <w:i/>
          <w:iCs/>
          <w:sz w:val="24"/>
          <w:szCs w:val="24"/>
        </w:rPr>
        <w:t>Commentarius ad</w:t>
      </w:r>
      <w:r>
        <w:rPr>
          <w:rFonts w:ascii="Times New Roman" w:hAnsi="Times New Roman" w:cs="Times New Roman"/>
          <w:sz w:val="24"/>
          <w:szCs w:val="24"/>
        </w:rPr>
        <w:t xml:space="preserve"> 6256/63456</w:t>
      </w:r>
    </w:p>
    <w:p w14:paraId="520BFA83">
      <w:pPr>
        <w:autoSpaceDE w:val="0"/>
        <w:autoSpaceDN w:val="0"/>
        <w:adjustRightInd w:val="0"/>
        <w:spacing w:after="0" w:line="240" w:lineRule="auto"/>
        <w:jc w:val="both"/>
        <w:rPr>
          <w:rFonts w:ascii="Times New Roman" w:hAnsi="Times New Roman" w:cs="Times New Roman"/>
          <w:sz w:val="24"/>
          <w:szCs w:val="24"/>
        </w:rPr>
      </w:pPr>
    </w:p>
    <w:p w14:paraId="339C65D2">
      <w:pPr>
        <w:autoSpaceDE w:val="0"/>
        <w:autoSpaceDN w:val="0"/>
        <w:adjustRightInd w:val="0"/>
        <w:spacing w:after="0" w:line="240" w:lineRule="auto"/>
        <w:ind w:left="1854"/>
        <w:jc w:val="both"/>
        <w:rPr>
          <w:rFonts w:ascii="Times New Roman" w:hAnsi="Times New Roman" w:cs="Times New Roman"/>
          <w:b/>
          <w:bCs/>
          <w:sz w:val="24"/>
          <w:szCs w:val="24"/>
        </w:rPr>
      </w:pPr>
      <w:r>
        <w:rPr>
          <w:rFonts w:ascii="Times New Roman" w:hAnsi="Times New Roman" w:cs="Times New Roman"/>
          <w:b/>
          <w:bCs/>
          <w:i/>
          <w:iCs/>
          <w:sz w:val="24"/>
          <w:szCs w:val="24"/>
        </w:rPr>
        <w:t xml:space="preserve">Pandectas, 6 1 13 </w:t>
      </w:r>
      <w:r>
        <w:rPr>
          <w:rFonts w:ascii="Times New Roman" w:hAnsi="Times New Roman" w:cs="Times New Roman"/>
          <w:b/>
          <w:bCs/>
          <w:sz w:val="24"/>
          <w:szCs w:val="24"/>
        </w:rPr>
        <w:t xml:space="preserve">&amp; 23; P J </w:t>
      </w:r>
      <w:r>
        <w:rPr>
          <w:rFonts w:ascii="Times New Roman" w:hAnsi="Times New Roman" w:cs="Times New Roman"/>
          <w:b/>
          <w:bCs/>
          <w:i/>
          <w:iCs/>
          <w:sz w:val="24"/>
          <w:szCs w:val="24"/>
        </w:rPr>
        <w:t xml:space="preserve">Rabie The Law of Estoppel in South Africa </w:t>
      </w:r>
      <w:r>
        <w:rPr>
          <w:rFonts w:ascii="Times New Roman" w:hAnsi="Times New Roman" w:cs="Times New Roman"/>
          <w:b/>
          <w:bCs/>
          <w:sz w:val="24"/>
          <w:szCs w:val="24"/>
        </w:rPr>
        <w:t xml:space="preserve">at (1992) 86 599; D L Carey Miller </w:t>
      </w:r>
      <w:r>
        <w:rPr>
          <w:rFonts w:ascii="Times New Roman" w:hAnsi="Times New Roman" w:cs="Times New Roman"/>
          <w:b/>
          <w:bCs/>
          <w:i/>
          <w:iCs/>
          <w:sz w:val="24"/>
          <w:szCs w:val="24"/>
        </w:rPr>
        <w:t xml:space="preserve">The Acquisition and Protection of Ownership </w:t>
      </w:r>
      <w:r>
        <w:rPr>
          <w:rFonts w:ascii="Times New Roman" w:hAnsi="Times New Roman" w:cs="Times New Roman"/>
          <w:b/>
          <w:bCs/>
          <w:sz w:val="24"/>
          <w:szCs w:val="24"/>
        </w:rPr>
        <w:t xml:space="preserve">(1986) at 263 and </w:t>
      </w:r>
      <w:r>
        <w:rPr>
          <w:rFonts w:ascii="Times New Roman" w:hAnsi="Times New Roman" w:cs="Times New Roman"/>
          <w:b/>
          <w:bCs/>
          <w:i/>
          <w:iCs/>
          <w:sz w:val="24"/>
          <w:szCs w:val="24"/>
        </w:rPr>
        <w:t xml:space="preserve">Johaadien </w:t>
      </w:r>
      <w:r>
        <w:rPr>
          <w:rFonts w:ascii="Times New Roman" w:hAnsi="Times New Roman" w:cs="Times New Roman"/>
          <w:b/>
          <w:bCs/>
          <w:iCs/>
          <w:sz w:val="24"/>
          <w:szCs w:val="24"/>
        </w:rPr>
        <w:t>v</w:t>
      </w:r>
      <w:r>
        <w:rPr>
          <w:rFonts w:ascii="Times New Roman" w:hAnsi="Times New Roman" w:cs="Times New Roman"/>
          <w:b/>
          <w:bCs/>
          <w:i/>
          <w:iCs/>
          <w:sz w:val="24"/>
          <w:szCs w:val="24"/>
        </w:rPr>
        <w:t xml:space="preserve"> Stanley Porter (Paarl) (Pty) Ltd </w:t>
      </w:r>
      <w:r>
        <w:rPr>
          <w:rFonts w:ascii="Times New Roman" w:hAnsi="Times New Roman" w:cs="Times New Roman"/>
          <w:b/>
          <w:bCs/>
          <w:sz w:val="24"/>
          <w:szCs w:val="24"/>
        </w:rPr>
        <w:t xml:space="preserve">1970 (1) SA 394 </w:t>
      </w:r>
      <w:r>
        <w:rPr>
          <w:rFonts w:ascii="Times New Roman" w:hAnsi="Times New Roman" w:cs="Times New Roman"/>
          <w:sz w:val="24"/>
          <w:szCs w:val="24"/>
        </w:rPr>
        <w:t>at (A) 406)……</w:t>
      </w:r>
    </w:p>
    <w:p w14:paraId="24B3B8F8">
      <w:pPr>
        <w:autoSpaceDE w:val="0"/>
        <w:autoSpaceDN w:val="0"/>
        <w:adjustRightInd w:val="0"/>
        <w:spacing w:after="0" w:line="240" w:lineRule="auto"/>
        <w:ind w:firstLine="1560"/>
        <w:jc w:val="both"/>
        <w:rPr>
          <w:rFonts w:ascii="Times New Roman" w:hAnsi="Times New Roman" w:cs="Times New Roman"/>
          <w:sz w:val="24"/>
          <w:szCs w:val="24"/>
        </w:rPr>
      </w:pPr>
    </w:p>
    <w:p w14:paraId="1ADD3288">
      <w:pPr>
        <w:autoSpaceDE w:val="0"/>
        <w:autoSpaceDN w:val="0"/>
        <w:adjustRightInd w:val="0"/>
        <w:spacing w:after="0"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[23] In the context of this case, the appellant is entitled to retransfer of the property but for the fact that it cannot assert its right of ownership because of estoppel. Hence the appellant loses its ownership of the property.” (The emphasis is mine)</w:t>
      </w:r>
    </w:p>
    <w:p w14:paraId="5A72F5E0">
      <w:pPr>
        <w:spacing w:line="480" w:lineRule="auto"/>
        <w:jc w:val="both"/>
        <w:rPr>
          <w:rFonts w:ascii="Times New Roman" w:hAnsi="Times New Roman" w:cs="Times New Roman"/>
          <w:sz w:val="24"/>
          <w:szCs w:val="24"/>
        </w:rPr>
      </w:pPr>
    </w:p>
    <w:p w14:paraId="300D109B">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[30] The appellant argued that the aforementioned case was critical in light of the first and second respondents’ failure to timeously stop the transfer of property to the appellant. </w:t>
      </w:r>
    </w:p>
    <w:p w14:paraId="0F315F05">
      <w:pPr>
        <w:spacing w:line="48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However, the circumstances in the </w:t>
      </w:r>
      <w:r>
        <w:rPr>
          <w:rFonts w:ascii="Times New Roman" w:hAnsi="Times New Roman" w:cs="Times New Roman"/>
          <w:i/>
          <w:iCs/>
          <w:sz w:val="24"/>
          <w:szCs w:val="24"/>
        </w:rPr>
        <w:t xml:space="preserve">Oriental </w:t>
      </w:r>
      <w:r>
        <w:rPr>
          <w:rFonts w:ascii="Times New Roman" w:hAnsi="Times New Roman" w:cs="Times New Roman"/>
          <w:sz w:val="24"/>
          <w:szCs w:val="24"/>
        </w:rPr>
        <w:t xml:space="preserve">case </w:t>
      </w:r>
      <w:r>
        <w:rPr>
          <w:rFonts w:ascii="Times New Roman" w:hAnsi="Times New Roman" w:cs="Times New Roman"/>
          <w:i/>
          <w:iCs/>
          <w:sz w:val="24"/>
          <w:szCs w:val="24"/>
        </w:rPr>
        <w:t xml:space="preserve">supra, </w:t>
      </w:r>
      <w:r>
        <w:rPr>
          <w:rFonts w:ascii="Times New Roman" w:hAnsi="Times New Roman" w:cs="Times New Roman"/>
          <w:sz w:val="24"/>
          <w:szCs w:val="24"/>
        </w:rPr>
        <w:t xml:space="preserve">are distinguishable from the case before this Court.   In the </w:t>
      </w:r>
      <w:r>
        <w:rPr>
          <w:rFonts w:ascii="Times New Roman" w:hAnsi="Times New Roman" w:cs="Times New Roman"/>
          <w:i/>
          <w:iCs/>
          <w:sz w:val="24"/>
          <w:szCs w:val="24"/>
        </w:rPr>
        <w:t xml:space="preserve">Oriental </w:t>
      </w:r>
      <w:r>
        <w:rPr>
          <w:rFonts w:ascii="Times New Roman" w:hAnsi="Times New Roman" w:cs="Times New Roman"/>
          <w:sz w:val="24"/>
          <w:szCs w:val="24"/>
        </w:rPr>
        <w:t xml:space="preserve">case, the property was fraudulently transferred from the appellant to the second respondent. The second respondent subsequently sold and transferred the property to the first respondent who commenced developments on the property. Both respondents were not aware that the person who purported to represent the appellant had forged the documents.  The appellant knew of the first transfer of the property to second respondent within two months of its happening and did nothing about it. It was only after two years that the appellant decided to act.  It was on that basis that the court held that the appellant was </w:t>
      </w:r>
      <w:r>
        <w:rPr>
          <w:rFonts w:ascii="Times New Roman" w:hAnsi="Times New Roman" w:cs="Times New Roman"/>
          <w:iCs/>
          <w:sz w:val="24"/>
          <w:szCs w:val="24"/>
        </w:rPr>
        <w:t>estopped</w:t>
      </w:r>
      <w:r>
        <w:rPr>
          <w:rFonts w:ascii="Times New Roman" w:hAnsi="Times New Roman" w:cs="Times New Roman"/>
          <w:i/>
          <w:iCs/>
          <w:sz w:val="24"/>
          <w:szCs w:val="24"/>
        </w:rPr>
        <w:t xml:space="preserve"> </w:t>
      </w:r>
      <w:r>
        <w:rPr>
          <w:rFonts w:ascii="Times New Roman" w:hAnsi="Times New Roman" w:cs="Times New Roman"/>
          <w:sz w:val="24"/>
          <w:szCs w:val="24"/>
        </w:rPr>
        <w:t xml:space="preserve">from vindicating the property from the first respondent.  The appellant’s inaction amounted to negligent misrepresentation which led the first respondent to rely on it to its detriment.  The court also found against the appellant on the further basis that dealing in immovable property was its core business. </w:t>
      </w:r>
    </w:p>
    <w:p w14:paraId="2B3E105F">
      <w:pPr>
        <w:spacing w:after="0" w:line="240" w:lineRule="auto"/>
        <w:ind w:left="567" w:hanging="141"/>
        <w:jc w:val="both"/>
        <w:rPr>
          <w:rFonts w:ascii="Times New Roman" w:hAnsi="Times New Roman" w:cs="Times New Roman"/>
          <w:sz w:val="24"/>
          <w:szCs w:val="24"/>
        </w:rPr>
      </w:pPr>
    </w:p>
    <w:p w14:paraId="6D7EB420">
      <w:pPr>
        <w:spacing w:line="480" w:lineRule="auto"/>
        <w:ind w:left="567" w:hanging="567"/>
        <w:jc w:val="both"/>
        <w:rPr>
          <w:rFonts w:ascii="Times New Roman" w:hAnsi="Times New Roman" w:cs="Times New Roman"/>
          <w:sz w:val="24"/>
          <w:szCs w:val="24"/>
        </w:rPr>
      </w:pPr>
      <w:bookmarkStart w:id="2" w:name="_Hlk176259060"/>
      <w:r>
        <w:rPr>
          <w:rFonts w:ascii="Times New Roman" w:hAnsi="Times New Roman" w:cs="Times New Roman"/>
          <w:sz w:val="24"/>
          <w:szCs w:val="24"/>
        </w:rPr>
        <w:t xml:space="preserve">[31]   </w:t>
      </w:r>
      <w:r>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i/>
          <w:iCs/>
          <w:sz w:val="24"/>
          <w:szCs w:val="24"/>
        </w:rPr>
        <w:t xml:space="preserve">casu </w:t>
      </w:r>
      <w:r>
        <w:rPr>
          <w:rFonts w:ascii="Times New Roman" w:hAnsi="Times New Roman" w:cs="Times New Roman"/>
          <w:sz w:val="24"/>
          <w:szCs w:val="24"/>
        </w:rPr>
        <w:t xml:space="preserve">the critical period is the time when the first and second respondents became aware of the transfer of the property from them to the third respondent which is 30 March 2020 and the time the appellant took transfer on 29 April 2020.  The transfer from the first and second respondents to the third respondent and subsequently to the appellant took place in a space of one month.  The first and second respondents could not have reasonably been expected to have acted in such a short period of time to prevent the transfer to the appellant.  The microwave speed with which the search for a property to buy, the viewing, of it, signing the agreement of sale, payment of the purchase price, the conveyancing processes including ZIMRA interviews and finally the transfer to the appellant happened raises red flags. This is compounded by the fact that the appellant’s representative viewed the property from outside only which viewing was facilitated by a gardener and not by the first or second respondents.  The gardener was familiar with the agent, who accompanied the appellant’s representative, as he had previously done an evaluation of the property.  No request was made by the appellant’s representative to view the inside of the property by arrangement with the first and second respondents.  It must, however, be noted that the court </w:t>
      </w:r>
      <w:r>
        <w:rPr>
          <w:rFonts w:ascii="Times New Roman" w:hAnsi="Times New Roman" w:cs="Times New Roman"/>
          <w:i/>
          <w:sz w:val="24"/>
          <w:szCs w:val="24"/>
        </w:rPr>
        <w:t>a quo</w:t>
      </w:r>
      <w:r>
        <w:rPr>
          <w:rFonts w:ascii="Times New Roman" w:hAnsi="Times New Roman" w:cs="Times New Roman"/>
          <w:sz w:val="24"/>
          <w:szCs w:val="24"/>
        </w:rPr>
        <w:t xml:space="preserve"> made a finding that there was no collusion between the appellant and the third respondent and there is no appeal against that finding.  The point however is that the first and second respondents were not afforded enough time to take action to prevent the transfer to the appellant. This is the critical period in the whole matrix of this matter and not the time when they finally instituted the vindication suit.  The horse had already bolted.  The other significant distinguishing feature is that in </w:t>
      </w:r>
      <w:r>
        <w:rPr>
          <w:rFonts w:ascii="Times New Roman" w:hAnsi="Times New Roman" w:cs="Times New Roman"/>
          <w:i/>
          <w:iCs/>
          <w:sz w:val="24"/>
          <w:szCs w:val="24"/>
        </w:rPr>
        <w:t>Oriental’s</w:t>
      </w:r>
      <w:r>
        <w:rPr>
          <w:rFonts w:ascii="Times New Roman" w:hAnsi="Times New Roman" w:cs="Times New Roman"/>
          <w:sz w:val="24"/>
          <w:szCs w:val="24"/>
        </w:rPr>
        <w:t xml:space="preserve"> case </w:t>
      </w:r>
      <w:r>
        <w:rPr>
          <w:rFonts w:ascii="Times New Roman" w:hAnsi="Times New Roman" w:cs="Times New Roman"/>
          <w:i/>
          <w:iCs/>
          <w:sz w:val="24"/>
          <w:szCs w:val="24"/>
        </w:rPr>
        <w:t>supra,</w:t>
      </w:r>
      <w:r>
        <w:rPr>
          <w:rFonts w:ascii="Times New Roman" w:hAnsi="Times New Roman" w:cs="Times New Roman"/>
          <w:sz w:val="24"/>
          <w:szCs w:val="24"/>
        </w:rPr>
        <w:t xml:space="preserve"> the appellant (in that case) was in the business of dealing in immovable property unlike the first and second respondents who were mere owners of the property.</w:t>
      </w:r>
    </w:p>
    <w:p w14:paraId="15CFACA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
    <w:bookmarkEnd w:id="2"/>
    <w:p w14:paraId="4032B829">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[32]   The appellant also relied on the Zimbabwean case of </w:t>
      </w:r>
      <w:r>
        <w:rPr>
          <w:rFonts w:ascii="Times New Roman" w:hAnsi="Times New Roman" w:cs="Times New Roman"/>
          <w:i/>
          <w:iCs/>
          <w:sz w:val="24"/>
          <w:szCs w:val="24"/>
        </w:rPr>
        <w:t xml:space="preserve">Peters </w:t>
      </w:r>
      <w:r>
        <w:rPr>
          <w:rFonts w:ascii="Times New Roman" w:hAnsi="Times New Roman" w:cs="Times New Roman"/>
          <w:sz w:val="24"/>
          <w:szCs w:val="24"/>
        </w:rPr>
        <w:t xml:space="preserve">v </w:t>
      </w:r>
      <w:r>
        <w:rPr>
          <w:rFonts w:ascii="Times New Roman" w:hAnsi="Times New Roman" w:cs="Times New Roman"/>
          <w:i/>
          <w:iCs/>
          <w:sz w:val="24"/>
          <w:szCs w:val="24"/>
        </w:rPr>
        <w:t xml:space="preserve">Janda NO </w:t>
      </w:r>
      <w:r>
        <w:rPr>
          <w:rFonts w:ascii="Times New Roman" w:hAnsi="Times New Roman" w:cs="Times New Roman"/>
          <w:sz w:val="24"/>
          <w:szCs w:val="24"/>
        </w:rPr>
        <w:t xml:space="preserve">1980 ZLR 553 (G) in pushing forward the argument on </w:t>
      </w:r>
      <w:r>
        <w:rPr>
          <w:rFonts w:ascii="Times New Roman" w:hAnsi="Times New Roman" w:cs="Times New Roman"/>
          <w:iCs/>
          <w:sz w:val="24"/>
          <w:szCs w:val="24"/>
        </w:rPr>
        <w:t>estoppel</w:t>
      </w:r>
      <w:r>
        <w:rPr>
          <w:rFonts w:ascii="Times New Roman" w:hAnsi="Times New Roman" w:cs="Times New Roman"/>
          <w:i/>
          <w:iCs/>
          <w:sz w:val="24"/>
          <w:szCs w:val="24"/>
        </w:rPr>
        <w:t xml:space="preserve">.  </w:t>
      </w:r>
      <w:r>
        <w:rPr>
          <w:rFonts w:ascii="Times New Roman" w:hAnsi="Times New Roman" w:cs="Times New Roman"/>
          <w:sz w:val="24"/>
          <w:szCs w:val="24"/>
        </w:rPr>
        <w:t xml:space="preserve">The application of the principle of </w:t>
      </w:r>
      <w:r>
        <w:rPr>
          <w:rFonts w:ascii="Times New Roman" w:hAnsi="Times New Roman" w:cs="Times New Roman"/>
          <w:iCs/>
          <w:sz w:val="24"/>
          <w:szCs w:val="24"/>
        </w:rPr>
        <w:t>estoppel</w:t>
      </w:r>
      <w:r>
        <w:rPr>
          <w:rFonts w:ascii="Times New Roman" w:hAnsi="Times New Roman" w:cs="Times New Roman"/>
          <w:sz w:val="24"/>
          <w:szCs w:val="24"/>
        </w:rPr>
        <w:t xml:space="preserve"> was explained in the </w:t>
      </w:r>
      <w:r>
        <w:rPr>
          <w:rFonts w:ascii="Times New Roman" w:hAnsi="Times New Roman" w:cs="Times New Roman"/>
          <w:i/>
          <w:iCs/>
          <w:sz w:val="24"/>
          <w:szCs w:val="24"/>
        </w:rPr>
        <w:t xml:space="preserve">Janda </w:t>
      </w:r>
      <w:r>
        <w:rPr>
          <w:rFonts w:ascii="Times New Roman" w:hAnsi="Times New Roman" w:cs="Times New Roman"/>
          <w:sz w:val="24"/>
          <w:szCs w:val="24"/>
        </w:rPr>
        <w:t>case at pp 556 – 557 as follows:</w:t>
      </w:r>
    </w:p>
    <w:p w14:paraId="6614C649">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“Mr de Bourbon also argued that Plaintiff's conduct, if not amounting to waiver, amounts to estoppel. It is quite true that neglect to enforce a right timeously may either have the same effect as a waiver of it or may come very near the line of estoppel. As pointed out by the Privy Council in Lindsay Petroleum Co. v Hurd (1874) LR 5 PC 221 at 240 where a man has by his conduct and neglect, " though perhaps not waiving the remedy, yet put the other party in a situation in which it would not be reasonable to place him if the remedy were afterwards to be asserted", then lapse of time becomes of great importance. When a person entitled to a right knows that it is being infringed and by his acquiescence leads the person infringing it to think that he has abandoned it, then he would under certain circumstances be debarred from asserting it. (New York Mutual v Ingle, 1910 TPD 540 at 551 per I</w:t>
      </w:r>
      <w:r>
        <w:rPr>
          <w:rFonts w:ascii="Times New Roman" w:hAnsi="Times New Roman" w:cs="Times New Roman"/>
          <w:smallCaps/>
          <w:sz w:val="24"/>
          <w:szCs w:val="24"/>
        </w:rPr>
        <w:t>nnes</w:t>
      </w:r>
      <w:r>
        <w:rPr>
          <w:rFonts w:ascii="Times New Roman" w:hAnsi="Times New Roman" w:cs="Times New Roman"/>
          <w:sz w:val="24"/>
          <w:szCs w:val="24"/>
        </w:rPr>
        <w:t xml:space="preserve"> CJ). </w:t>
      </w:r>
      <w:r>
        <w:rPr>
          <w:rFonts w:ascii="Times New Roman" w:hAnsi="Times New Roman" w:cs="Times New Roman"/>
          <w:b/>
          <w:bCs/>
          <w:sz w:val="24"/>
          <w:szCs w:val="24"/>
          <w:u w:val="single"/>
        </w:rPr>
        <w:t>In this case Plaintiff could not have had any reason to believe that any right he possessed was being infringed by the purchaser and therefore could not by his own conduct have led the purchaser to believe that he was abandoning any such right. I consider therefore that there is no substance in this defence either.</w:t>
      </w:r>
      <w:r>
        <w:rPr>
          <w:rFonts w:ascii="Times New Roman" w:hAnsi="Times New Roman" w:cs="Times New Roman"/>
          <w:sz w:val="24"/>
          <w:szCs w:val="24"/>
        </w:rPr>
        <w:t>” [</w:t>
      </w:r>
      <w:r>
        <w:rPr>
          <w:rFonts w:ascii="Times New Roman" w:hAnsi="Times New Roman" w:cs="Times New Roman"/>
          <w:iCs/>
          <w:sz w:val="24"/>
          <w:szCs w:val="24"/>
        </w:rPr>
        <w:t>Emphasis added</w:t>
      </w:r>
      <w:r>
        <w:rPr>
          <w:rFonts w:ascii="Times New Roman" w:hAnsi="Times New Roman" w:cs="Times New Roman"/>
          <w:sz w:val="24"/>
          <w:szCs w:val="24"/>
        </w:rPr>
        <w:t>]</w:t>
      </w:r>
    </w:p>
    <w:p w14:paraId="11E2DB60">
      <w:pPr>
        <w:spacing w:after="0" w:line="480" w:lineRule="auto"/>
        <w:jc w:val="both"/>
        <w:rPr>
          <w:rFonts w:ascii="Times New Roman" w:hAnsi="Times New Roman" w:cs="Times New Roman"/>
          <w:sz w:val="24"/>
          <w:szCs w:val="24"/>
        </w:rPr>
      </w:pPr>
    </w:p>
    <w:p w14:paraId="15F0DA75">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[33]   It is clear from the above authority that </w:t>
      </w:r>
      <w:r>
        <w:rPr>
          <w:rFonts w:ascii="Times New Roman" w:hAnsi="Times New Roman" w:cs="Times New Roman"/>
          <w:iCs/>
          <w:sz w:val="24"/>
          <w:szCs w:val="24"/>
        </w:rPr>
        <w:t>estoppel</w:t>
      </w:r>
      <w:r>
        <w:rPr>
          <w:rFonts w:ascii="Times New Roman" w:hAnsi="Times New Roman" w:cs="Times New Roman"/>
          <w:i/>
          <w:iCs/>
          <w:sz w:val="24"/>
          <w:szCs w:val="24"/>
        </w:rPr>
        <w:t xml:space="preserve"> </w:t>
      </w:r>
      <w:r>
        <w:rPr>
          <w:rFonts w:ascii="Times New Roman" w:hAnsi="Times New Roman" w:cs="Times New Roman"/>
          <w:sz w:val="24"/>
          <w:szCs w:val="24"/>
        </w:rPr>
        <w:t xml:space="preserve">can only be successfully relied on if the owner of the property knew that his property rights were being infringed by the purchaser and led the purchaser to believe that he was abandoning such rights. </w:t>
      </w:r>
    </w:p>
    <w:p w14:paraId="7410ADE8">
      <w:pPr>
        <w:tabs>
          <w:tab w:val="left" w:pos="567"/>
        </w:tabs>
        <w:spacing w:after="0" w:line="240" w:lineRule="auto"/>
        <w:ind w:left="567" w:hanging="567"/>
        <w:jc w:val="both"/>
        <w:rPr>
          <w:rFonts w:ascii="Times New Roman" w:hAnsi="Times New Roman" w:cs="Times New Roman"/>
          <w:sz w:val="24"/>
          <w:szCs w:val="24"/>
        </w:rPr>
      </w:pPr>
    </w:p>
    <w:p w14:paraId="7C4FBC76">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[34]   In the present case, the first and second respondents did not expect the third respondent to take transfer of the property.  The third respondent used fraudulent means to obtain such transfer.  The first and second respondents only became aware of the transfer after the property had already been transferred. </w:t>
      </w:r>
      <w:bookmarkStart w:id="3" w:name="_Hlk176258923"/>
      <w:r>
        <w:rPr>
          <w:rFonts w:ascii="Times New Roman" w:hAnsi="Times New Roman" w:cs="Times New Roman"/>
          <w:sz w:val="24"/>
          <w:szCs w:val="24"/>
        </w:rPr>
        <w:t xml:space="preserve"> If the legal conveyancing processes had been followed the first and second respondent would have become aware of the intended transfer at that stage.</w:t>
      </w:r>
      <w:bookmarkEnd w:id="3"/>
      <w:r>
        <w:rPr>
          <w:rFonts w:ascii="Times New Roman" w:hAnsi="Times New Roman" w:cs="Times New Roman"/>
          <w:sz w:val="24"/>
          <w:szCs w:val="24"/>
        </w:rPr>
        <w:t xml:space="preserve">  The appellant has not laid a basis for its belief that the first and second respondents were abandoning their rights over the property. </w:t>
      </w:r>
    </w:p>
    <w:p w14:paraId="28F7F9B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
    <w:p w14:paraId="2F9F9CF2">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[35]   In </w:t>
      </w:r>
      <w:r>
        <w:rPr>
          <w:rFonts w:ascii="Times New Roman" w:hAnsi="Times New Roman" w:cs="Times New Roman"/>
          <w:i/>
          <w:iCs/>
          <w:sz w:val="24"/>
          <w:szCs w:val="24"/>
        </w:rPr>
        <w:t xml:space="preserve">Beckett &amp; Co </w:t>
      </w:r>
      <w:r>
        <w:rPr>
          <w:rFonts w:ascii="Times New Roman" w:hAnsi="Times New Roman" w:cs="Times New Roman"/>
          <w:sz w:val="24"/>
          <w:szCs w:val="24"/>
        </w:rPr>
        <w:t xml:space="preserve">v </w:t>
      </w:r>
      <w:r>
        <w:rPr>
          <w:rFonts w:ascii="Times New Roman" w:hAnsi="Times New Roman" w:cs="Times New Roman"/>
          <w:i/>
          <w:iCs/>
          <w:sz w:val="24"/>
          <w:szCs w:val="24"/>
        </w:rPr>
        <w:t xml:space="preserve">Gundelfinger </w:t>
      </w:r>
      <w:r>
        <w:rPr>
          <w:rFonts w:ascii="Times New Roman" w:hAnsi="Times New Roman" w:cs="Times New Roman"/>
          <w:sz w:val="24"/>
          <w:szCs w:val="24"/>
        </w:rPr>
        <w:t xml:space="preserve">4 OR 77, which was also relied on by the appellant, the defendant refused to vacate a property that had been sold, on the basis that he had a lease agreement which had not yet expired. It was the court’s finding that he was </w:t>
      </w:r>
      <w:r>
        <w:rPr>
          <w:rFonts w:ascii="Times New Roman" w:hAnsi="Times New Roman" w:cs="Times New Roman"/>
          <w:iCs/>
          <w:sz w:val="24"/>
          <w:szCs w:val="24"/>
        </w:rPr>
        <w:t>estopped</w:t>
      </w:r>
      <w:r>
        <w:rPr>
          <w:rFonts w:ascii="Times New Roman" w:hAnsi="Times New Roman" w:cs="Times New Roman"/>
          <w:i/>
          <w:iCs/>
          <w:sz w:val="24"/>
          <w:szCs w:val="24"/>
        </w:rPr>
        <w:t xml:space="preserve"> </w:t>
      </w:r>
      <w:r>
        <w:rPr>
          <w:rFonts w:ascii="Times New Roman" w:hAnsi="Times New Roman" w:cs="Times New Roman"/>
          <w:sz w:val="24"/>
          <w:szCs w:val="24"/>
        </w:rPr>
        <w:t>from asserting his rights</w:t>
      </w:r>
      <w:r>
        <w:rPr>
          <w:rFonts w:ascii="Times New Roman" w:hAnsi="Times New Roman" w:cs="Times New Roman"/>
          <w:i/>
          <w:iCs/>
          <w:sz w:val="24"/>
          <w:szCs w:val="24"/>
        </w:rPr>
        <w:t xml:space="preserve"> </w:t>
      </w:r>
      <w:r>
        <w:rPr>
          <w:rFonts w:ascii="Times New Roman" w:hAnsi="Times New Roman" w:cs="Times New Roman"/>
          <w:sz w:val="24"/>
          <w:szCs w:val="24"/>
        </w:rPr>
        <w:t xml:space="preserve">because he was present when the property was sold through a public auction and had remained quiet when it was asked whether there was a lease on the property.  It was on that basis that </w:t>
      </w:r>
      <w:r>
        <w:rPr>
          <w:rFonts w:ascii="Times New Roman" w:hAnsi="Times New Roman" w:cs="Times New Roman"/>
          <w:iCs/>
          <w:sz w:val="24"/>
          <w:szCs w:val="24"/>
        </w:rPr>
        <w:t>estoppel</w:t>
      </w:r>
      <w:r>
        <w:rPr>
          <w:rFonts w:ascii="Times New Roman" w:hAnsi="Times New Roman" w:cs="Times New Roman"/>
          <w:i/>
          <w:iCs/>
          <w:sz w:val="24"/>
          <w:szCs w:val="24"/>
        </w:rPr>
        <w:t xml:space="preserve"> </w:t>
      </w:r>
      <w:r>
        <w:rPr>
          <w:rFonts w:ascii="Times New Roman" w:hAnsi="Times New Roman" w:cs="Times New Roman"/>
          <w:sz w:val="24"/>
          <w:szCs w:val="24"/>
        </w:rPr>
        <w:t xml:space="preserve">was established. </w:t>
      </w:r>
    </w:p>
    <w:p w14:paraId="3CB1F170">
      <w:pPr>
        <w:tabs>
          <w:tab w:val="left" w:pos="567"/>
        </w:tabs>
        <w:spacing w:after="0" w:line="240" w:lineRule="auto"/>
        <w:ind w:left="567" w:hanging="567"/>
        <w:jc w:val="both"/>
        <w:rPr>
          <w:rFonts w:ascii="Times New Roman" w:hAnsi="Times New Roman" w:cs="Times New Roman"/>
          <w:sz w:val="24"/>
          <w:szCs w:val="24"/>
        </w:rPr>
      </w:pPr>
    </w:p>
    <w:p w14:paraId="41477989">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[36]   The </w:t>
      </w:r>
      <w:r>
        <w:rPr>
          <w:rFonts w:ascii="Times New Roman" w:hAnsi="Times New Roman" w:cs="Times New Roman"/>
          <w:i/>
          <w:iCs/>
          <w:sz w:val="24"/>
          <w:szCs w:val="24"/>
        </w:rPr>
        <w:t xml:space="preserve">Becket </w:t>
      </w:r>
      <w:r>
        <w:rPr>
          <w:rFonts w:ascii="Times New Roman" w:hAnsi="Times New Roman" w:cs="Times New Roman"/>
          <w:sz w:val="24"/>
          <w:szCs w:val="24"/>
        </w:rPr>
        <w:t xml:space="preserve">case also cannot apply to the matter at hand.  The first and second respondents were not present when the property was sold to the appellant.  They could not have been expected to interdict the transfer of the property to the appellant, which they had no knowledge of.  </w:t>
      </w:r>
    </w:p>
    <w:p w14:paraId="66D6930C">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From the above analysis it becomes clear that the first and second respondents cannot be found guilty of having ‘furnished an opportunity for fraud ‘and’ made the representation of another person credible.</w:t>
      </w:r>
    </w:p>
    <w:p w14:paraId="40D1DC1E">
      <w:pPr>
        <w:spacing w:after="0" w:line="240" w:lineRule="auto"/>
        <w:ind w:left="567" w:hanging="567"/>
        <w:jc w:val="both"/>
        <w:rPr>
          <w:rFonts w:ascii="Times New Roman" w:hAnsi="Times New Roman" w:cs="Times New Roman"/>
          <w:sz w:val="24"/>
          <w:szCs w:val="24"/>
        </w:rPr>
      </w:pPr>
    </w:p>
    <w:p w14:paraId="5646131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[37]   In the </w:t>
      </w:r>
      <w:r>
        <w:rPr>
          <w:rFonts w:ascii="Times New Roman" w:hAnsi="Times New Roman" w:cs="Times New Roman"/>
          <w:i/>
          <w:iCs/>
          <w:sz w:val="24"/>
          <w:szCs w:val="24"/>
        </w:rPr>
        <w:t>Mzilikazi</w:t>
      </w:r>
      <w:r>
        <w:rPr>
          <w:rFonts w:ascii="Times New Roman" w:hAnsi="Times New Roman" w:cs="Times New Roman"/>
          <w:sz w:val="24"/>
          <w:szCs w:val="24"/>
        </w:rPr>
        <w:t xml:space="preserve"> case </w:t>
      </w:r>
      <w:r>
        <w:rPr>
          <w:rFonts w:ascii="Times New Roman" w:hAnsi="Times New Roman" w:cs="Times New Roman"/>
          <w:i/>
          <w:iCs/>
          <w:sz w:val="24"/>
          <w:szCs w:val="24"/>
        </w:rPr>
        <w:t xml:space="preserve">supra, </w:t>
      </w:r>
      <w:r>
        <w:rPr>
          <w:rFonts w:ascii="Times New Roman" w:hAnsi="Times New Roman" w:cs="Times New Roman"/>
          <w:sz w:val="24"/>
          <w:szCs w:val="24"/>
        </w:rPr>
        <w:t xml:space="preserve">the factual conspectus is almost on all fours with the facts of the matter </w:t>
      </w:r>
      <w:r>
        <w:rPr>
          <w:rFonts w:ascii="Times New Roman" w:hAnsi="Times New Roman" w:cs="Times New Roman"/>
          <w:i/>
          <w:sz w:val="24"/>
          <w:szCs w:val="24"/>
        </w:rPr>
        <w:t xml:space="preserve">in </w:t>
      </w:r>
      <w:r>
        <w:rPr>
          <w:rFonts w:ascii="Times New Roman" w:hAnsi="Times New Roman" w:cs="Times New Roman"/>
          <w:i/>
          <w:iCs/>
          <w:sz w:val="24"/>
          <w:szCs w:val="24"/>
        </w:rPr>
        <w:t>casu</w:t>
      </w:r>
      <w:r>
        <w:rPr>
          <w:rFonts w:ascii="Times New Roman" w:hAnsi="Times New Roman" w:cs="Times New Roman"/>
          <w:sz w:val="24"/>
          <w:szCs w:val="24"/>
        </w:rPr>
        <w:t>.  It is one of the</w:t>
      </w:r>
      <w:r>
        <w:rPr>
          <w:rFonts w:ascii="Times New Roman" w:hAnsi="Times New Roman" w:cs="Times New Roman"/>
          <w:i/>
          <w:sz w:val="24"/>
          <w:szCs w:val="24"/>
        </w:rPr>
        <w:t xml:space="preserve"> Buyanga</w:t>
      </w:r>
      <w:r>
        <w:rPr>
          <w:rFonts w:ascii="Times New Roman" w:hAnsi="Times New Roman" w:cs="Times New Roman"/>
          <w:sz w:val="24"/>
          <w:szCs w:val="24"/>
        </w:rPr>
        <w:t xml:space="preserve"> cases where there would be a simulated agreement of sale, a signed Declaration by Seller, a Power of Attorney to pass transfer and the surrender of title deeds.  There was a default in repayments of the loan and the property of the first respondent was fraudulently transferred to an entity owned by Buyanga. The property was subsequently transferred to the appellants. The first respondent successfully instituted vindicatory proceedings.</w:t>
      </w:r>
    </w:p>
    <w:p w14:paraId="17A1780E">
      <w:pPr>
        <w:spacing w:after="0" w:line="240" w:lineRule="auto"/>
        <w:ind w:left="567" w:hanging="567"/>
        <w:jc w:val="both"/>
        <w:rPr>
          <w:rFonts w:ascii="Times New Roman" w:hAnsi="Times New Roman" w:cs="Times New Roman"/>
          <w:sz w:val="24"/>
          <w:szCs w:val="24"/>
        </w:rPr>
      </w:pPr>
    </w:p>
    <w:p w14:paraId="515B3E41">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[38]   The court </w:t>
      </w:r>
      <w:r>
        <w:rPr>
          <w:rFonts w:ascii="Times New Roman" w:hAnsi="Times New Roman" w:cs="Times New Roman"/>
          <w:i/>
          <w:iCs/>
          <w:sz w:val="24"/>
          <w:szCs w:val="24"/>
        </w:rPr>
        <w:t xml:space="preserve">a quo, </w:t>
      </w:r>
      <w:r>
        <w:rPr>
          <w:rFonts w:ascii="Times New Roman" w:hAnsi="Times New Roman" w:cs="Times New Roman"/>
          <w:sz w:val="24"/>
          <w:szCs w:val="24"/>
        </w:rPr>
        <w:t>in that case</w:t>
      </w:r>
      <w:r>
        <w:rPr>
          <w:rFonts w:ascii="Times New Roman" w:hAnsi="Times New Roman" w:cs="Times New Roman"/>
          <w:i/>
          <w:iCs/>
          <w:sz w:val="24"/>
          <w:szCs w:val="24"/>
        </w:rPr>
        <w:t xml:space="preserve">, </w:t>
      </w:r>
      <w:r>
        <w:rPr>
          <w:rFonts w:ascii="Times New Roman" w:hAnsi="Times New Roman" w:cs="Times New Roman"/>
          <w:sz w:val="24"/>
          <w:szCs w:val="24"/>
        </w:rPr>
        <w:t>found that the first respondent had no intention to sell her property and that the transaction between her and the second respondent was a loan disguised as an agreement of sale.  The sale was also found to be illegal as it violated the Moneylending and Rates of Interest Act [</w:t>
      </w:r>
      <w:r>
        <w:rPr>
          <w:rFonts w:ascii="Times New Roman" w:hAnsi="Times New Roman" w:cs="Times New Roman"/>
          <w:i/>
          <w:iCs/>
          <w:sz w:val="24"/>
          <w:szCs w:val="24"/>
        </w:rPr>
        <w:t>Chapter 14:14</w:t>
      </w:r>
      <w:r>
        <w:rPr>
          <w:rFonts w:ascii="Times New Roman" w:hAnsi="Times New Roman" w:cs="Times New Roman"/>
          <w:sz w:val="24"/>
          <w:szCs w:val="24"/>
        </w:rPr>
        <w:t>] since neither Buyanga nor the second respondent was the holder of a valid moneylender's license.  The transfers were also held to be illegal because the second respondent and the appellants had not secured any tax clearance certificates in contravention of s 30A of the Capital Gains Tax [</w:t>
      </w:r>
      <w:r>
        <w:rPr>
          <w:rFonts w:ascii="Times New Roman" w:hAnsi="Times New Roman" w:cs="Times New Roman"/>
          <w:i/>
          <w:iCs/>
          <w:sz w:val="24"/>
          <w:szCs w:val="24"/>
        </w:rPr>
        <w:t>Chapter 23:01</w:t>
      </w:r>
      <w:r>
        <w:rPr>
          <w:rFonts w:ascii="Times New Roman" w:hAnsi="Times New Roman" w:cs="Times New Roman"/>
          <w:sz w:val="24"/>
          <w:szCs w:val="24"/>
        </w:rPr>
        <w:t xml:space="preserve">]. It was further held that it was not disputed that the power of attorney signed by the first respondent had been falsified as regards the conveyancer nominated by her to effect transfer to the second respondent. </w:t>
      </w:r>
    </w:p>
    <w:p w14:paraId="4A0F774B">
      <w:pPr>
        <w:tabs>
          <w:tab w:val="left" w:pos="567"/>
        </w:tabs>
        <w:spacing w:after="0" w:line="240" w:lineRule="auto"/>
        <w:ind w:left="567" w:hanging="567"/>
        <w:jc w:val="both"/>
        <w:rPr>
          <w:rFonts w:ascii="Times New Roman" w:hAnsi="Times New Roman" w:cs="Times New Roman"/>
          <w:sz w:val="24"/>
          <w:szCs w:val="24"/>
        </w:rPr>
      </w:pPr>
    </w:p>
    <w:p w14:paraId="3470119D">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[39]   Accordingly, the initial transfer was held to be a nullity and consequently, the subsequent transfer, having been based on a nullity, had collapsed.  The court </w:t>
      </w:r>
      <w:r>
        <w:rPr>
          <w:rFonts w:ascii="Times New Roman" w:hAnsi="Times New Roman" w:cs="Times New Roman"/>
          <w:i/>
          <w:iCs/>
          <w:sz w:val="24"/>
          <w:szCs w:val="24"/>
        </w:rPr>
        <w:t xml:space="preserve">a quo </w:t>
      </w:r>
      <w:r>
        <w:rPr>
          <w:rFonts w:ascii="Times New Roman" w:hAnsi="Times New Roman" w:cs="Times New Roman"/>
          <w:sz w:val="24"/>
          <w:szCs w:val="24"/>
        </w:rPr>
        <w:t xml:space="preserve">also held that it had been proved, on a balance of probabilities, that the appellants had colluded with the second respondent.  Accordingly, the appellants’ counterclaim fell away. </w:t>
      </w:r>
    </w:p>
    <w:p w14:paraId="213A05B8">
      <w:pPr>
        <w:tabs>
          <w:tab w:val="left" w:pos="567"/>
        </w:tabs>
        <w:spacing w:after="0" w:line="240" w:lineRule="auto"/>
        <w:ind w:left="567" w:hanging="567"/>
        <w:jc w:val="both"/>
        <w:rPr>
          <w:rFonts w:ascii="Times New Roman" w:hAnsi="Times New Roman" w:cs="Times New Roman"/>
          <w:sz w:val="24"/>
          <w:szCs w:val="24"/>
        </w:rPr>
      </w:pPr>
    </w:p>
    <w:p w14:paraId="75B0F639">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[40]   The appellants, aggrieved by the decision of the court </w:t>
      </w:r>
      <w:r>
        <w:rPr>
          <w:rFonts w:ascii="Times New Roman" w:hAnsi="Times New Roman" w:cs="Times New Roman"/>
          <w:i/>
          <w:iCs/>
          <w:sz w:val="24"/>
          <w:szCs w:val="24"/>
        </w:rPr>
        <w:t>a quo</w:t>
      </w:r>
      <w:r>
        <w:rPr>
          <w:rFonts w:ascii="Times New Roman" w:hAnsi="Times New Roman" w:cs="Times New Roman"/>
          <w:sz w:val="24"/>
          <w:szCs w:val="24"/>
        </w:rPr>
        <w:t xml:space="preserve">, appealed to this Court.  Their grounds were premised on the position that the first agreement of sale was not void but voidable.  They also argued that the first respondent was estopped from challenging title acquired by the appellants as </w:t>
      </w:r>
      <w:r>
        <w:rPr>
          <w:rFonts w:ascii="Times New Roman" w:hAnsi="Times New Roman" w:cs="Times New Roman"/>
          <w:i/>
          <w:iCs/>
          <w:sz w:val="24"/>
          <w:szCs w:val="24"/>
        </w:rPr>
        <w:t xml:space="preserve">bona fide </w:t>
      </w:r>
      <w:r>
        <w:rPr>
          <w:rFonts w:ascii="Times New Roman" w:hAnsi="Times New Roman" w:cs="Times New Roman"/>
          <w:sz w:val="24"/>
          <w:szCs w:val="24"/>
        </w:rPr>
        <w:t xml:space="preserve">purchasers. </w:t>
      </w:r>
    </w:p>
    <w:p w14:paraId="510456C9">
      <w:pPr>
        <w:tabs>
          <w:tab w:val="left" w:pos="567"/>
        </w:tabs>
        <w:spacing w:after="0" w:line="240" w:lineRule="auto"/>
        <w:ind w:left="567" w:hanging="567"/>
        <w:jc w:val="both"/>
        <w:rPr>
          <w:rFonts w:ascii="Times New Roman" w:hAnsi="Times New Roman" w:cs="Times New Roman"/>
          <w:sz w:val="24"/>
          <w:szCs w:val="24"/>
        </w:rPr>
      </w:pPr>
    </w:p>
    <w:p w14:paraId="20E2EED5">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[41] This Court upheld the decision of the court </w:t>
      </w:r>
      <w:r>
        <w:rPr>
          <w:rFonts w:ascii="Times New Roman" w:hAnsi="Times New Roman" w:cs="Times New Roman"/>
          <w:i/>
          <w:iCs/>
          <w:sz w:val="24"/>
          <w:szCs w:val="24"/>
        </w:rPr>
        <w:t xml:space="preserve">a quo </w:t>
      </w:r>
      <w:r>
        <w:rPr>
          <w:rFonts w:ascii="Times New Roman" w:hAnsi="Times New Roman" w:cs="Times New Roman"/>
          <w:sz w:val="24"/>
          <w:szCs w:val="24"/>
        </w:rPr>
        <w:t xml:space="preserve">that the first respondent had no intention to sell the property to the second respondent “for the unacceptably paltry sum of                      US $30,000”.  The court also held that the transaction between the parties was in essence a loan agreement.  The court further held that the appellants failed to demonstrate any misdirection by the court </w:t>
      </w:r>
      <w:r>
        <w:rPr>
          <w:rFonts w:ascii="Times New Roman" w:hAnsi="Times New Roman" w:cs="Times New Roman"/>
          <w:i/>
          <w:iCs/>
          <w:sz w:val="24"/>
          <w:szCs w:val="24"/>
        </w:rPr>
        <w:t xml:space="preserve">a quo </w:t>
      </w:r>
      <w:r>
        <w:rPr>
          <w:rFonts w:ascii="Times New Roman" w:hAnsi="Times New Roman" w:cs="Times New Roman"/>
          <w:sz w:val="24"/>
          <w:szCs w:val="24"/>
        </w:rPr>
        <w:t>in its factual findings as to the real intention underlying the transaction between the first and second respondents.  On the issue of estoppel, the court held that there were no direct dealings between the first respondent and the appellants and that the former made no representation to the later. It found that without that direct link between the first respondent and the appellants they could not raise any estoppel as against her.</w:t>
      </w:r>
    </w:p>
    <w:p w14:paraId="67B38738">
      <w:pPr>
        <w:spacing w:after="0" w:line="360" w:lineRule="auto"/>
        <w:ind w:left="567" w:hanging="567"/>
        <w:jc w:val="both"/>
        <w:rPr>
          <w:rFonts w:ascii="Times New Roman" w:hAnsi="Times New Roman" w:cs="Times New Roman"/>
          <w:sz w:val="24"/>
          <w:szCs w:val="24"/>
        </w:rPr>
      </w:pPr>
    </w:p>
    <w:p w14:paraId="0888DDEC">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[42]   Additionally, the court was of the position that the evidence before the court </w:t>
      </w:r>
      <w:r>
        <w:rPr>
          <w:rFonts w:ascii="Times New Roman" w:hAnsi="Times New Roman" w:cs="Times New Roman"/>
          <w:i/>
          <w:iCs/>
          <w:sz w:val="24"/>
          <w:szCs w:val="24"/>
        </w:rPr>
        <w:t xml:space="preserve">a quo, </w:t>
      </w:r>
      <w:r>
        <w:rPr>
          <w:rFonts w:ascii="Times New Roman" w:hAnsi="Times New Roman" w:cs="Times New Roman"/>
          <w:sz w:val="24"/>
          <w:szCs w:val="24"/>
        </w:rPr>
        <w:t xml:space="preserve">which was not challenged or rebutted, showed that several irregularities vitiated the original purported sale and transfer between the first and second respondents. Accordingly, this Court dismissed the appeal as it was devoid of merit. </w:t>
      </w:r>
    </w:p>
    <w:p w14:paraId="70E988F9">
      <w:pPr>
        <w:autoSpaceDE w:val="0"/>
        <w:autoSpaceDN w:val="0"/>
        <w:adjustRightInd w:val="0"/>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[43]  The appellant, </w:t>
      </w:r>
      <w:r>
        <w:rPr>
          <w:rFonts w:ascii="Times New Roman" w:hAnsi="Times New Roman" w:cs="Times New Roman"/>
          <w:i/>
          <w:sz w:val="24"/>
          <w:szCs w:val="24"/>
        </w:rPr>
        <w:t xml:space="preserve">in </w:t>
      </w:r>
      <w:r>
        <w:rPr>
          <w:rFonts w:ascii="Times New Roman" w:hAnsi="Times New Roman" w:cs="Times New Roman"/>
          <w:i/>
          <w:iCs/>
          <w:sz w:val="24"/>
          <w:szCs w:val="24"/>
        </w:rPr>
        <w:t>casu,</w:t>
      </w:r>
      <w:r>
        <w:rPr>
          <w:rFonts w:ascii="Times New Roman" w:hAnsi="Times New Roman" w:cs="Times New Roman"/>
          <w:sz w:val="24"/>
          <w:szCs w:val="24"/>
        </w:rPr>
        <w:t xml:space="preserve"> sought to distinguish the findings of that case on estoppel on the following basis–</w:t>
      </w:r>
    </w:p>
    <w:p w14:paraId="04085E9B">
      <w:pPr>
        <w:pStyle w:val="28"/>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case for the purchaser of the property was contested on multiple bases whereas the present case is contested solely on estoppel.</w:t>
      </w:r>
    </w:p>
    <w:p w14:paraId="50C54AF9">
      <w:pPr>
        <w:pStyle w:val="28"/>
        <w:autoSpaceDE w:val="0"/>
        <w:autoSpaceDN w:val="0"/>
        <w:adjustRightInd w:val="0"/>
        <w:spacing w:after="0" w:line="240" w:lineRule="auto"/>
        <w:ind w:left="1494"/>
        <w:jc w:val="both"/>
        <w:rPr>
          <w:rFonts w:ascii="Times New Roman" w:hAnsi="Times New Roman" w:cs="Times New Roman"/>
          <w:sz w:val="24"/>
          <w:szCs w:val="24"/>
        </w:rPr>
      </w:pPr>
    </w:p>
    <w:p w14:paraId="50221E93">
      <w:pPr>
        <w:pStyle w:val="28"/>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Estoppel was decided on the unique facts of that case.</w:t>
      </w:r>
    </w:p>
    <w:p w14:paraId="1360E33C">
      <w:pPr>
        <w:pStyle w:val="28"/>
        <w:spacing w:after="0" w:line="240" w:lineRule="auto"/>
        <w:rPr>
          <w:rFonts w:ascii="Times New Roman" w:hAnsi="Times New Roman" w:cs="Times New Roman"/>
          <w:sz w:val="24"/>
          <w:szCs w:val="24"/>
        </w:rPr>
      </w:pPr>
    </w:p>
    <w:p w14:paraId="20C40AF3">
      <w:pPr>
        <w:pStyle w:val="28"/>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court found that no representation was made but, in this case, representations were indeed made.</w:t>
      </w:r>
    </w:p>
    <w:p w14:paraId="27489B2B">
      <w:pPr>
        <w:pStyle w:val="28"/>
        <w:spacing w:after="0" w:line="240" w:lineRule="auto"/>
        <w:rPr>
          <w:rFonts w:ascii="Times New Roman" w:hAnsi="Times New Roman" w:cs="Times New Roman"/>
          <w:sz w:val="24"/>
          <w:szCs w:val="24"/>
        </w:rPr>
      </w:pPr>
    </w:p>
    <w:p w14:paraId="323579EF">
      <w:pPr>
        <w:pStyle w:val="28"/>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court found positive evidence of collusion between the estoppel asserter and the party which purchased the property.</w:t>
      </w:r>
    </w:p>
    <w:p w14:paraId="433BABAA">
      <w:pPr>
        <w:pStyle w:val="28"/>
        <w:spacing w:after="0" w:line="240" w:lineRule="auto"/>
        <w:rPr>
          <w:rFonts w:ascii="Times New Roman" w:hAnsi="Times New Roman" w:cs="Times New Roman"/>
          <w:sz w:val="24"/>
          <w:szCs w:val="24"/>
        </w:rPr>
      </w:pPr>
    </w:p>
    <w:p w14:paraId="0F06D67A">
      <w:pPr>
        <w:autoSpaceDE w:val="0"/>
        <w:autoSpaceDN w:val="0"/>
        <w:adjustRightInd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i/>
          <w:iCs/>
          <w:sz w:val="24"/>
          <w:szCs w:val="24"/>
        </w:rPr>
        <w:t>casu</w:t>
      </w:r>
      <w:r>
        <w:rPr>
          <w:rFonts w:ascii="Times New Roman" w:hAnsi="Times New Roman" w:cs="Times New Roman"/>
          <w:sz w:val="24"/>
          <w:szCs w:val="24"/>
        </w:rPr>
        <w:t xml:space="preserve"> the first and second respondents had a unique opportunity to prevent title from being transferred from them because they found out that the property had been transferred from them to third respondent. They could have prevented further transfers by seeking an urgent interdict.</w:t>
      </w:r>
    </w:p>
    <w:p w14:paraId="5D2ED129">
      <w:pPr>
        <w:autoSpaceDE w:val="0"/>
        <w:autoSpaceDN w:val="0"/>
        <w:adjustRightInd w:val="0"/>
        <w:spacing w:after="0" w:line="240" w:lineRule="auto"/>
        <w:ind w:left="1418" w:hanging="284"/>
        <w:jc w:val="both"/>
        <w:rPr>
          <w:rFonts w:ascii="Times New Roman" w:hAnsi="Times New Roman" w:cs="Times New Roman"/>
          <w:sz w:val="24"/>
          <w:szCs w:val="24"/>
        </w:rPr>
      </w:pPr>
    </w:p>
    <w:p w14:paraId="0D9E000D">
      <w:pPr>
        <w:autoSpaceDE w:val="0"/>
        <w:autoSpaceDN w:val="0"/>
        <w:adjustRightInd w:val="0"/>
        <w:spacing w:after="0" w:line="240" w:lineRule="auto"/>
        <w:rPr>
          <w:rFonts w:ascii="Times New Roman" w:hAnsi="Times New Roman" w:cs="Times New Roman"/>
          <w:sz w:val="24"/>
          <w:szCs w:val="24"/>
        </w:rPr>
      </w:pPr>
    </w:p>
    <w:p w14:paraId="4CE0E20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[44] Other than the factors of collusion and that there was a finding that there was a misrepresentation, all the other factors are neither here nor there.  Regarding the issue of collusion, I have already commented that despite the finding of the court </w:t>
      </w:r>
      <w:r>
        <w:rPr>
          <w:rFonts w:ascii="Times New Roman" w:hAnsi="Times New Roman" w:cs="Times New Roman"/>
          <w:i/>
          <w:iCs/>
          <w:sz w:val="24"/>
          <w:szCs w:val="24"/>
        </w:rPr>
        <w:t>a quo</w:t>
      </w:r>
      <w:r>
        <w:rPr>
          <w:rFonts w:ascii="Times New Roman" w:hAnsi="Times New Roman" w:cs="Times New Roman"/>
          <w:sz w:val="24"/>
          <w:szCs w:val="24"/>
        </w:rPr>
        <w:t xml:space="preserve"> that there was no collusion, the microwave speed with which the transfer from the third respondent to the appellant was done, did not give the first and second respondents an opportunity to prevent further transfers.  One must bear in mind that dealing in immovable property was not their core business.  Regarding misrepresentation, I have already found that the first and second respondents’ conduct did not amount to negligent misrepresentation in the circumstances of this matter.</w:t>
      </w:r>
    </w:p>
    <w:p w14:paraId="2783DBF6">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p>
    <w:p w14:paraId="5E14F0FE">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[45]   It is clear that, in the context of this matter,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arrived at the correct decision that the defence of estoppel was not available to the appellant, but for the wrong reasons. </w:t>
      </w:r>
    </w:p>
    <w:p w14:paraId="32184560">
      <w:pPr>
        <w:tabs>
          <w:tab w:val="left" w:pos="567"/>
        </w:tabs>
        <w:spacing w:after="0" w:line="240" w:lineRule="auto"/>
        <w:ind w:left="567" w:hanging="567"/>
        <w:jc w:val="both"/>
        <w:rPr>
          <w:rFonts w:ascii="Times New Roman" w:hAnsi="Times New Roman" w:cs="Times New Roman"/>
          <w:sz w:val="24"/>
          <w:szCs w:val="24"/>
        </w:rPr>
      </w:pPr>
    </w:p>
    <w:p w14:paraId="646E31F0">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[46] Having concluded that </w:t>
      </w:r>
      <w:r>
        <w:rPr>
          <w:rFonts w:ascii="Times New Roman" w:hAnsi="Times New Roman" w:cs="Times New Roman"/>
          <w:iCs/>
          <w:sz w:val="24"/>
          <w:szCs w:val="24"/>
        </w:rPr>
        <w:t>estoppel</w:t>
      </w:r>
      <w:r>
        <w:rPr>
          <w:rFonts w:ascii="Times New Roman" w:hAnsi="Times New Roman" w:cs="Times New Roman"/>
          <w:i/>
          <w:iCs/>
          <w:sz w:val="24"/>
          <w:szCs w:val="24"/>
        </w:rPr>
        <w:t xml:space="preserve"> </w:t>
      </w:r>
      <w:r>
        <w:rPr>
          <w:rFonts w:ascii="Times New Roman" w:hAnsi="Times New Roman" w:cs="Times New Roman"/>
          <w:sz w:val="24"/>
          <w:szCs w:val="24"/>
        </w:rPr>
        <w:t>was not successfully argued, the second issue for determination automatically falls away.  A finding on a dispositive issue marks the end of the enquiry of the Court.  See</w:t>
      </w:r>
      <w:r>
        <w:rPr>
          <w:rFonts w:ascii="Times New Roman" w:hAnsi="Times New Roman" w:cs="Times New Roman"/>
          <w:i/>
          <w:sz w:val="24"/>
          <w:szCs w:val="24"/>
        </w:rPr>
        <w:t xml:space="preserve"> Gospel of God Church International 1932 </w:t>
      </w:r>
      <w:r>
        <w:rPr>
          <w:rFonts w:ascii="Times New Roman" w:hAnsi="Times New Roman" w:cs="Times New Roman"/>
          <w:sz w:val="24"/>
          <w:szCs w:val="24"/>
        </w:rPr>
        <w:t xml:space="preserve">v </w:t>
      </w:r>
      <w:r>
        <w:rPr>
          <w:rFonts w:ascii="Times New Roman" w:hAnsi="Times New Roman" w:cs="Times New Roman"/>
          <w:i/>
          <w:sz w:val="24"/>
          <w:szCs w:val="24"/>
        </w:rPr>
        <w:t xml:space="preserve">Mungweru &amp; Ors </w:t>
      </w:r>
      <w:r>
        <w:rPr>
          <w:rFonts w:ascii="Times New Roman" w:hAnsi="Times New Roman" w:cs="Times New Roman"/>
          <w:sz w:val="24"/>
          <w:szCs w:val="24"/>
        </w:rPr>
        <w:t>SC 99/19.</w:t>
      </w:r>
    </w:p>
    <w:p w14:paraId="25CD3C5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
    <w:p w14:paraId="727EB31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DISPOSITION</w:t>
      </w:r>
    </w:p>
    <w:p w14:paraId="74342859">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[47] The appellant failed to establish that the first and second respondents’ inaction was negligent representation which led it to rely on it to its detriment. It further failed to lay a basis for its belief that it was led by the first and second respondents to believe that they were abandoning their rights in the property. On the basis of the a foregoing, the appeal has no merit and must be dismissed.  </w:t>
      </w:r>
    </w:p>
    <w:p w14:paraId="60D40A8C">
      <w:pPr>
        <w:tabs>
          <w:tab w:val="left" w:pos="567"/>
        </w:tabs>
        <w:spacing w:after="0" w:line="480" w:lineRule="auto"/>
        <w:ind w:left="567" w:hanging="567"/>
        <w:jc w:val="both"/>
        <w:rPr>
          <w:rFonts w:ascii="Times New Roman" w:hAnsi="Times New Roman" w:cs="Times New Roman"/>
          <w:sz w:val="24"/>
          <w:szCs w:val="24"/>
        </w:rPr>
      </w:pPr>
    </w:p>
    <w:p w14:paraId="2C413043">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[48] Regarding costs there is no reason why they should not follow the result. </w:t>
      </w:r>
    </w:p>
    <w:p w14:paraId="2FF5F71B">
      <w:pPr>
        <w:spacing w:after="0" w:line="240" w:lineRule="auto"/>
        <w:ind w:left="709"/>
        <w:jc w:val="both"/>
        <w:rPr>
          <w:rFonts w:ascii="Times New Roman" w:hAnsi="Times New Roman" w:cs="Times New Roman"/>
          <w:sz w:val="24"/>
          <w:szCs w:val="24"/>
        </w:rPr>
      </w:pPr>
    </w:p>
    <w:p w14:paraId="66F93EEB">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14:paraId="2C7AFF75">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14:paraId="35F31BB6">
      <w:pPr>
        <w:spacing w:line="480" w:lineRule="auto"/>
        <w:ind w:left="567" w:firstLine="567"/>
        <w:jc w:val="both"/>
        <w:rPr>
          <w:rFonts w:ascii="Times New Roman" w:hAnsi="Times New Roman" w:cs="Times New Roman"/>
          <w:sz w:val="24"/>
          <w:szCs w:val="24"/>
        </w:rPr>
      </w:pPr>
    </w:p>
    <w:p w14:paraId="4BDCC45F">
      <w:pPr>
        <w:spacing w:line="480" w:lineRule="auto"/>
        <w:ind w:left="567" w:firstLine="567"/>
        <w:jc w:val="both"/>
        <w:rPr>
          <w:rFonts w:ascii="Times New Roman" w:hAnsi="Times New Roman" w:cs="Times New Roman"/>
          <w:sz w:val="24"/>
          <w:szCs w:val="24"/>
        </w:rPr>
      </w:pPr>
    </w:p>
    <w:p w14:paraId="05A6F29D">
      <w:pPr>
        <w:spacing w:line="480" w:lineRule="auto"/>
        <w:ind w:left="981" w:firstLine="459"/>
        <w:jc w:val="both"/>
        <w:rPr>
          <w:rFonts w:ascii="Times New Roman" w:hAnsi="Times New Roman" w:cs="Times New Roman"/>
          <w:sz w:val="24"/>
          <w:szCs w:val="24"/>
        </w:rPr>
      </w:pPr>
      <w:r>
        <w:rPr>
          <w:rFonts w:ascii="Times New Roman" w:hAnsi="Times New Roman" w:cs="Times New Roman"/>
          <w:b/>
          <w:sz w:val="24"/>
          <w:szCs w:val="24"/>
        </w:rPr>
        <w:t>GUVAVA 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I agree</w:t>
      </w:r>
    </w:p>
    <w:p w14:paraId="70B632F8">
      <w:pPr>
        <w:spacing w:after="0" w:line="240" w:lineRule="auto"/>
        <w:jc w:val="both"/>
        <w:rPr>
          <w:rFonts w:ascii="Times New Roman" w:hAnsi="Times New Roman" w:cs="Times New Roman"/>
          <w:b/>
          <w:sz w:val="24"/>
          <w:szCs w:val="24"/>
        </w:rPr>
      </w:pPr>
    </w:p>
    <w:p w14:paraId="18CE4E4E">
      <w:pPr>
        <w:tabs>
          <w:tab w:val="left" w:pos="567"/>
        </w:tabs>
        <w:spacing w:after="0" w:line="240" w:lineRule="auto"/>
        <w:jc w:val="both"/>
        <w:rPr>
          <w:rFonts w:ascii="Times New Roman" w:hAnsi="Times New Roman" w:cs="Times New Roman"/>
          <w:b/>
          <w:sz w:val="24"/>
          <w:szCs w:val="24"/>
        </w:rPr>
      </w:pPr>
    </w:p>
    <w:p w14:paraId="3D9EC3B4">
      <w:pPr>
        <w:spacing w:line="480" w:lineRule="auto"/>
        <w:ind w:left="1276" w:firstLine="164"/>
        <w:jc w:val="both"/>
        <w:rPr>
          <w:rFonts w:ascii="Times New Roman" w:hAnsi="Times New Roman" w:cs="Times New Roman"/>
          <w:sz w:val="24"/>
          <w:szCs w:val="24"/>
        </w:rPr>
      </w:pPr>
      <w:r>
        <w:rPr>
          <w:rFonts w:ascii="Times New Roman" w:hAnsi="Times New Roman" w:cs="Times New Roman"/>
          <w:b/>
          <w:sz w:val="24"/>
          <w:szCs w:val="24"/>
        </w:rPr>
        <w:t>CHATUKUTA JA</w:t>
      </w:r>
      <w:r>
        <w:rPr>
          <w:rFonts w:ascii="Times New Roman" w:hAnsi="Times New Roman" w:cs="Times New Roman"/>
          <w:b/>
          <w:sz w:val="24"/>
          <w:szCs w:val="24"/>
        </w:rPr>
        <w:tab/>
      </w:r>
      <w:r>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I agree</w:t>
      </w:r>
    </w:p>
    <w:p w14:paraId="1D356F05">
      <w:pPr>
        <w:spacing w:after="0" w:line="480" w:lineRule="auto"/>
        <w:jc w:val="both"/>
        <w:rPr>
          <w:rFonts w:ascii="Times New Roman" w:hAnsi="Times New Roman" w:cs="Times New Roman"/>
          <w:i/>
          <w:sz w:val="24"/>
          <w:szCs w:val="24"/>
        </w:rPr>
      </w:pPr>
    </w:p>
    <w:p w14:paraId="22894AAF">
      <w:pPr>
        <w:spacing w:after="0" w:line="480" w:lineRule="auto"/>
        <w:jc w:val="both"/>
        <w:rPr>
          <w:rFonts w:ascii="Times New Roman" w:hAnsi="Times New Roman" w:cs="Times New Roman"/>
          <w:i/>
          <w:sz w:val="24"/>
          <w:szCs w:val="24"/>
        </w:rPr>
      </w:pPr>
    </w:p>
    <w:p w14:paraId="75219AC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Mushoriwa Pasi Corporate Attorneys, </w:t>
      </w:r>
      <w:r>
        <w:rPr>
          <w:rFonts w:ascii="Times New Roman" w:hAnsi="Times New Roman" w:cs="Times New Roman"/>
          <w:sz w:val="24"/>
          <w:szCs w:val="24"/>
        </w:rPr>
        <w:t>appellant’s legal practitioners.</w:t>
      </w:r>
    </w:p>
    <w:p w14:paraId="253AB76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Ferrao Law Chambers</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14:paraId="589BBE37">
      <w:pPr>
        <w:spacing w:line="480" w:lineRule="auto"/>
        <w:jc w:val="both"/>
        <w:rPr>
          <w:rFonts w:ascii="Times New Roman" w:hAnsi="Times New Roman" w:cs="Times New Roman"/>
          <w:sz w:val="24"/>
          <w:szCs w:val="24"/>
        </w:rPr>
      </w:pP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93E2">
    <w:pPr>
      <w:pStyle w:val="20"/>
    </w:pPr>
    <w:r>
      <w:rPr>
        <w:rFonts w:ascii="Times New Roman" w:hAnsi="Times New Roman" w:cs="Times New Roman"/>
        <w:b/>
        <w:sz w:val="24"/>
        <w:szCs w:val="24"/>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990"/>
              <wp:effectExtent l="0" t="0" r="0" b="635"/>
              <wp:wrapNone/>
              <wp:docPr id="220" name="Text Box 220"/>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wps:spPr>
                    <wps:txbx>
                      <w:txbxContent>
                        <w:p w14:paraId="32645553">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Judgment No. SC 92/24</w:t>
                          </w:r>
                        </w:p>
                        <w:p w14:paraId="35E99EE3">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Civil Appeal No. SC 494/23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_x0000_s1026" o:spid="_x0000_s1026" o:spt="202" type="#_x0000_t202" style="position:absolute;left:0pt;margin-left:72pt;margin-top:22.15pt;height:13.7pt;width:468pt;mso-position-horizontal-relative:page;mso-position-vertical-relative:page;z-index:251660288;v-text-anchor:middle;mso-width-relative:margin;mso-height-relative:page;mso-width-percent:1000;" filled="f" stroked="f" coordsize="21600,21600" o:allowincell="f" o:gfxdata="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YDvjNQAAAAEAQAADwAAAAAAAAABACAAAAAiAAAAZHJzL2Rv&#10;d25yZXYueG1sUEsBAhQAFAAAAAgAh07iQKBPR9oFAgAAEgQAAA4AAAAAAAAAAQAgAAAAIwEAAGRy&#10;cy9lMm9Eb2MueG1sUEsFBgAAAAAGAAYAWQEAAJoFAAAAAA==&#10;">
              <v:fill on="f" focussize="0,0"/>
              <v:stroke on="f"/>
              <v:imagedata o:title=""/>
              <o:lock v:ext="edit" aspectratio="f"/>
              <v:textbox inset="2.54mm,0mm,2.54mm,0mm" style="mso-fit-shape-to-text:t;">
                <w:txbxContent>
                  <w:p w14:paraId="32645553">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Judgment No. SC 92/24</w:t>
                    </w:r>
                  </w:p>
                  <w:p w14:paraId="35E99EE3">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Civil Appeal No. SC 494/23</w:t>
                    </w:r>
                  </w:p>
                </w:txbxContent>
              </v:textbox>
            </v:shape>
          </w:pict>
        </mc:Fallback>
      </mc:AlternateContent>
    </w:r>
    <w:r>
      <w:rPr>
        <w:rFonts w:ascii="Times New Roman" w:hAnsi="Times New Roman" w:cs="Times New Roman"/>
        <w:b/>
        <w:sz w:val="24"/>
        <w:szCs w:val="24"/>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116B716">
                          <w:pPr>
                            <w:spacing w:after="0" w:line="240" w:lineRule="auto"/>
                            <w:rPr>
                              <w:color w:val="FFFFFF" w:themeColor="background1"/>
                              <w14:textFill>
                                <w14:solidFill>
                                  <w14:schemeClr w14:val="bg1"/>
                                </w14:solidFill>
                              </w14:textFill>
                            </w:rPr>
                          </w:pPr>
                          <w:r>
                            <w:fldChar w:fldCharType="begin"/>
                          </w:r>
                          <w:r>
                            <w:instrText xml:space="preserve"> PAGE   \* MERGEFORMAT </w:instrText>
                          </w:r>
                          <w:r>
                            <w:fldChar w:fldCharType="separate"/>
                          </w:r>
                          <w:r>
                            <w:rPr>
                              <w:color w:val="FFFFFF" w:themeColor="background1"/>
                              <w14:textFill>
                                <w14:solidFill>
                                  <w14:schemeClr w14:val="bg1"/>
                                </w14:solidFill>
                              </w14:textFill>
                            </w:rPr>
                            <w:t>1</w:t>
                          </w:r>
                          <w:r>
                            <w:rPr>
                              <w:color w:val="FFFFFF" w:themeColor="background1"/>
                              <w14:textFill>
                                <w14:solidFill>
                                  <w14:schemeClr w14:val="bg1"/>
                                </w14:solidFill>
                              </w14:textFill>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_x0000_s1026" o:spid="_x0000_s1026" o:spt="202" type="#_x0000_t202" style="position:absolute;left:0pt;margin-left:523.35pt;margin-top:29.55pt;height:13.45pt;width:71.8pt;mso-position-horizontal-relative:page;mso-position-vertical-relative:page;z-index:251659264;v-text-anchor:middle;mso-width-relative:right-margin-area;mso-height-relative:page;mso-width-percent:1000;" fillcolor="#FAC090 [1945]" filled="t" stroked="f" coordsize="21600,21600" o:allowincell="f" o:gfxdata="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J9NRnUAAAABAEAAA8AAAAAAAAAAQAgAAAAIgAAAGRycy9kb3ducmV2LnhtbFBL&#10;AQIUABQAAAAIAIdO4kAmYgbBMwIAAHMEAAAOAAAAAAAAAAEAIAAAACMBAABkcnMvZTJvRG9jLnht&#10;bFBLBQYAAAAABgAGAFkBAADIBQAAAAA=&#10;">
              <v:fill on="t" focussize="0,0"/>
              <v:stroke on="f"/>
              <v:imagedata o:title=""/>
              <o:lock v:ext="edit" aspectratio="f"/>
              <v:textbox inset="2.54mm,0mm,2.54mm,0mm" style="mso-fit-shape-to-text:t;">
                <w:txbxContent>
                  <w:p w14:paraId="4116B716">
                    <w:pPr>
                      <w:spacing w:after="0" w:line="240" w:lineRule="auto"/>
                      <w:rPr>
                        <w:color w:val="FFFFFF" w:themeColor="background1"/>
                        <w14:textFill>
                          <w14:solidFill>
                            <w14:schemeClr w14:val="bg1"/>
                          </w14:solidFill>
                        </w14:textFill>
                      </w:rPr>
                    </w:pPr>
                    <w:r>
                      <w:fldChar w:fldCharType="begin"/>
                    </w:r>
                    <w:r>
                      <w:instrText xml:space="preserve"> PAGE   \* MERGEFORMAT </w:instrText>
                    </w:r>
                    <w:r>
                      <w:fldChar w:fldCharType="separate"/>
                    </w:r>
                    <w:r>
                      <w:rPr>
                        <w:color w:val="FFFFFF" w:themeColor="background1"/>
                        <w14:textFill>
                          <w14:solidFill>
                            <w14:schemeClr w14:val="bg1"/>
                          </w14:solidFill>
                        </w14:textFill>
                      </w:rPr>
                      <w:t>1</w:t>
                    </w:r>
                    <w:r>
                      <w:rPr>
                        <w:color w:val="FFFFFF" w:themeColor="background1"/>
                        <w14:textFill>
                          <w14:solidFill>
                            <w14:schemeClr w14:val="bg1"/>
                          </w14:solidFill>
                        </w14:textFill>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9613C"/>
    <w:multiLevelType w:val="multilevel"/>
    <w:tmpl w:val="090961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1F3A5F"/>
    <w:multiLevelType w:val="multilevel"/>
    <w:tmpl w:val="0F1F3A5F"/>
    <w:lvl w:ilvl="0" w:tentative="0">
      <w:start w:val="1"/>
      <w:numFmt w:val="decimal"/>
      <w:lvlText w:val="%1."/>
      <w:lvlJc w:val="left"/>
      <w:pPr>
        <w:ind w:left="1069"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61547B"/>
    <w:multiLevelType w:val="multilevel"/>
    <w:tmpl w:val="3661547B"/>
    <w:lvl w:ilvl="0" w:tentative="0">
      <w:start w:val="1"/>
      <w:numFmt w:val="lowerLetter"/>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3">
    <w:nsid w:val="4FB3485E"/>
    <w:multiLevelType w:val="multilevel"/>
    <w:tmpl w:val="4FB3485E"/>
    <w:lvl w:ilvl="0" w:tentative="0">
      <w:start w:val="1"/>
      <w:numFmt w:val="decimal"/>
      <w:lvlText w:val="%1"/>
      <w:lvlJc w:val="left"/>
      <w:pPr>
        <w:ind w:left="1080" w:hanging="360"/>
      </w:pPr>
      <w:rPr>
        <w:rFonts w:ascii="Times New Roman" w:hAnsi="Times New Roman" w:cs="Times New Roman" w:eastAsiaTheme="minorHAnsi"/>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6DA92B9A"/>
    <w:multiLevelType w:val="multilevel"/>
    <w:tmpl w:val="6DA92B9A"/>
    <w:lvl w:ilvl="0" w:tentative="0">
      <w:start w:val="1"/>
      <w:numFmt w:val="decimal"/>
      <w:lvlText w:val="%1."/>
      <w:lvlJc w:val="left"/>
      <w:pPr>
        <w:ind w:left="720" w:hanging="360"/>
      </w:pPr>
    </w:lvl>
    <w:lvl w:ilvl="1" w:tentative="0">
      <w:start w:val="1"/>
      <w:numFmt w:val="decimal"/>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79"/>
    <w:rsid w:val="00000C3E"/>
    <w:rsid w:val="00007ACB"/>
    <w:rsid w:val="000104D9"/>
    <w:rsid w:val="00026BB5"/>
    <w:rsid w:val="00035D00"/>
    <w:rsid w:val="000366D2"/>
    <w:rsid w:val="000435E3"/>
    <w:rsid w:val="00045A14"/>
    <w:rsid w:val="00046D95"/>
    <w:rsid w:val="00046EDF"/>
    <w:rsid w:val="00065621"/>
    <w:rsid w:val="0008104A"/>
    <w:rsid w:val="0009423A"/>
    <w:rsid w:val="00095534"/>
    <w:rsid w:val="000A1DBF"/>
    <w:rsid w:val="000B2AD2"/>
    <w:rsid w:val="000B5EB0"/>
    <w:rsid w:val="000C2023"/>
    <w:rsid w:val="000D045A"/>
    <w:rsid w:val="000D0D54"/>
    <w:rsid w:val="000E23ED"/>
    <w:rsid w:val="000E4B6D"/>
    <w:rsid w:val="000E4BAA"/>
    <w:rsid w:val="00102B88"/>
    <w:rsid w:val="00121ED0"/>
    <w:rsid w:val="00124F97"/>
    <w:rsid w:val="00130808"/>
    <w:rsid w:val="00131BDB"/>
    <w:rsid w:val="00132F61"/>
    <w:rsid w:val="0013433C"/>
    <w:rsid w:val="001516DF"/>
    <w:rsid w:val="00155DF8"/>
    <w:rsid w:val="00161FDB"/>
    <w:rsid w:val="00173032"/>
    <w:rsid w:val="001741A4"/>
    <w:rsid w:val="00182E04"/>
    <w:rsid w:val="001830B3"/>
    <w:rsid w:val="00185586"/>
    <w:rsid w:val="00186942"/>
    <w:rsid w:val="00193434"/>
    <w:rsid w:val="00195782"/>
    <w:rsid w:val="001A3A9E"/>
    <w:rsid w:val="001A509A"/>
    <w:rsid w:val="001B5F09"/>
    <w:rsid w:val="001C27E1"/>
    <w:rsid w:val="001C5545"/>
    <w:rsid w:val="001D56EE"/>
    <w:rsid w:val="001E1051"/>
    <w:rsid w:val="001F4FC9"/>
    <w:rsid w:val="002003AB"/>
    <w:rsid w:val="00201F21"/>
    <w:rsid w:val="00216323"/>
    <w:rsid w:val="00221841"/>
    <w:rsid w:val="002218B8"/>
    <w:rsid w:val="0022347B"/>
    <w:rsid w:val="002373FE"/>
    <w:rsid w:val="0024408E"/>
    <w:rsid w:val="00250190"/>
    <w:rsid w:val="00261DCB"/>
    <w:rsid w:val="00265B9F"/>
    <w:rsid w:val="00266C25"/>
    <w:rsid w:val="00277C32"/>
    <w:rsid w:val="00283F2A"/>
    <w:rsid w:val="002A3240"/>
    <w:rsid w:val="002A4185"/>
    <w:rsid w:val="002A7CD1"/>
    <w:rsid w:val="002C3802"/>
    <w:rsid w:val="002C4C05"/>
    <w:rsid w:val="002C5A7C"/>
    <w:rsid w:val="002D2B53"/>
    <w:rsid w:val="002E5A12"/>
    <w:rsid w:val="002E5EBC"/>
    <w:rsid w:val="002F13F8"/>
    <w:rsid w:val="002F4FF5"/>
    <w:rsid w:val="002F539F"/>
    <w:rsid w:val="00300597"/>
    <w:rsid w:val="003031A3"/>
    <w:rsid w:val="00307782"/>
    <w:rsid w:val="0031456E"/>
    <w:rsid w:val="00320EB3"/>
    <w:rsid w:val="00324B31"/>
    <w:rsid w:val="003311CA"/>
    <w:rsid w:val="00335420"/>
    <w:rsid w:val="00345CFB"/>
    <w:rsid w:val="003521BD"/>
    <w:rsid w:val="00355154"/>
    <w:rsid w:val="00364634"/>
    <w:rsid w:val="003655F7"/>
    <w:rsid w:val="00365F9A"/>
    <w:rsid w:val="003706C5"/>
    <w:rsid w:val="00375F8F"/>
    <w:rsid w:val="00385847"/>
    <w:rsid w:val="0039008F"/>
    <w:rsid w:val="00390856"/>
    <w:rsid w:val="00394926"/>
    <w:rsid w:val="003963CE"/>
    <w:rsid w:val="003A4579"/>
    <w:rsid w:val="003B02EC"/>
    <w:rsid w:val="003C0C9E"/>
    <w:rsid w:val="003C32E6"/>
    <w:rsid w:val="003D33E6"/>
    <w:rsid w:val="003D55EA"/>
    <w:rsid w:val="003E120F"/>
    <w:rsid w:val="003E4453"/>
    <w:rsid w:val="003F44F8"/>
    <w:rsid w:val="00400592"/>
    <w:rsid w:val="00400FDF"/>
    <w:rsid w:val="004019BD"/>
    <w:rsid w:val="00411547"/>
    <w:rsid w:val="00416A6C"/>
    <w:rsid w:val="00416E2D"/>
    <w:rsid w:val="00417EE8"/>
    <w:rsid w:val="00421BB0"/>
    <w:rsid w:val="00423EB1"/>
    <w:rsid w:val="00426414"/>
    <w:rsid w:val="00431E1E"/>
    <w:rsid w:val="004338C1"/>
    <w:rsid w:val="0044157D"/>
    <w:rsid w:val="004442CF"/>
    <w:rsid w:val="00447FC6"/>
    <w:rsid w:val="00450F0A"/>
    <w:rsid w:val="004612CA"/>
    <w:rsid w:val="00462438"/>
    <w:rsid w:val="00470130"/>
    <w:rsid w:val="004702A8"/>
    <w:rsid w:val="00470349"/>
    <w:rsid w:val="004704AD"/>
    <w:rsid w:val="0047350A"/>
    <w:rsid w:val="00481B28"/>
    <w:rsid w:val="0048454B"/>
    <w:rsid w:val="004870BF"/>
    <w:rsid w:val="00492604"/>
    <w:rsid w:val="004B2869"/>
    <w:rsid w:val="004B7AE6"/>
    <w:rsid w:val="004D2C72"/>
    <w:rsid w:val="004D4691"/>
    <w:rsid w:val="004D6CE1"/>
    <w:rsid w:val="004E1168"/>
    <w:rsid w:val="004E12AC"/>
    <w:rsid w:val="004E18CB"/>
    <w:rsid w:val="004E5A88"/>
    <w:rsid w:val="004F7EE9"/>
    <w:rsid w:val="005023B8"/>
    <w:rsid w:val="00506C83"/>
    <w:rsid w:val="005331F7"/>
    <w:rsid w:val="00535921"/>
    <w:rsid w:val="00540770"/>
    <w:rsid w:val="00543978"/>
    <w:rsid w:val="00543F77"/>
    <w:rsid w:val="00544361"/>
    <w:rsid w:val="00553BF6"/>
    <w:rsid w:val="00553D4B"/>
    <w:rsid w:val="00555A1B"/>
    <w:rsid w:val="00561242"/>
    <w:rsid w:val="005621C8"/>
    <w:rsid w:val="0057549E"/>
    <w:rsid w:val="005765A8"/>
    <w:rsid w:val="00586AE4"/>
    <w:rsid w:val="00597568"/>
    <w:rsid w:val="005A5B18"/>
    <w:rsid w:val="005B01AE"/>
    <w:rsid w:val="005B2AEC"/>
    <w:rsid w:val="005B5F79"/>
    <w:rsid w:val="005B67A4"/>
    <w:rsid w:val="005C6043"/>
    <w:rsid w:val="005C6FDE"/>
    <w:rsid w:val="005D2359"/>
    <w:rsid w:val="005E0622"/>
    <w:rsid w:val="005E2451"/>
    <w:rsid w:val="005E52D7"/>
    <w:rsid w:val="00607F3C"/>
    <w:rsid w:val="006105FB"/>
    <w:rsid w:val="00615745"/>
    <w:rsid w:val="0061782A"/>
    <w:rsid w:val="00622279"/>
    <w:rsid w:val="00624676"/>
    <w:rsid w:val="00633118"/>
    <w:rsid w:val="006419A4"/>
    <w:rsid w:val="00650D96"/>
    <w:rsid w:val="00655D88"/>
    <w:rsid w:val="0066217C"/>
    <w:rsid w:val="00665944"/>
    <w:rsid w:val="00667FD9"/>
    <w:rsid w:val="00670F0C"/>
    <w:rsid w:val="00674A20"/>
    <w:rsid w:val="00687DF7"/>
    <w:rsid w:val="00692AB5"/>
    <w:rsid w:val="00695AE0"/>
    <w:rsid w:val="006967E9"/>
    <w:rsid w:val="00697B25"/>
    <w:rsid w:val="006A3DFF"/>
    <w:rsid w:val="006B109A"/>
    <w:rsid w:val="006B441F"/>
    <w:rsid w:val="006B65CE"/>
    <w:rsid w:val="006C48F9"/>
    <w:rsid w:val="006C7704"/>
    <w:rsid w:val="006D08AB"/>
    <w:rsid w:val="006D1093"/>
    <w:rsid w:val="006D6CD5"/>
    <w:rsid w:val="006F527F"/>
    <w:rsid w:val="007007E9"/>
    <w:rsid w:val="00702455"/>
    <w:rsid w:val="0070765E"/>
    <w:rsid w:val="007077A8"/>
    <w:rsid w:val="00713006"/>
    <w:rsid w:val="007207D1"/>
    <w:rsid w:val="00720C03"/>
    <w:rsid w:val="00725599"/>
    <w:rsid w:val="00732681"/>
    <w:rsid w:val="007366F6"/>
    <w:rsid w:val="00736789"/>
    <w:rsid w:val="00746064"/>
    <w:rsid w:val="0074650D"/>
    <w:rsid w:val="00751F77"/>
    <w:rsid w:val="007526A5"/>
    <w:rsid w:val="0075303C"/>
    <w:rsid w:val="00757009"/>
    <w:rsid w:val="007702F2"/>
    <w:rsid w:val="0078379F"/>
    <w:rsid w:val="00784DD9"/>
    <w:rsid w:val="00786BFE"/>
    <w:rsid w:val="007929D4"/>
    <w:rsid w:val="00795424"/>
    <w:rsid w:val="00795C6F"/>
    <w:rsid w:val="007A240E"/>
    <w:rsid w:val="007A6F0C"/>
    <w:rsid w:val="007A7394"/>
    <w:rsid w:val="007A7670"/>
    <w:rsid w:val="007B0B6C"/>
    <w:rsid w:val="007B3AC0"/>
    <w:rsid w:val="007B69C7"/>
    <w:rsid w:val="007C19F4"/>
    <w:rsid w:val="007C288B"/>
    <w:rsid w:val="007C2B06"/>
    <w:rsid w:val="007C6296"/>
    <w:rsid w:val="007C653B"/>
    <w:rsid w:val="007C6CDF"/>
    <w:rsid w:val="007D1815"/>
    <w:rsid w:val="007D4C57"/>
    <w:rsid w:val="007D4FDA"/>
    <w:rsid w:val="007E02EA"/>
    <w:rsid w:val="007E2406"/>
    <w:rsid w:val="007E4623"/>
    <w:rsid w:val="007E50B9"/>
    <w:rsid w:val="007F040B"/>
    <w:rsid w:val="007F1F6B"/>
    <w:rsid w:val="007F33B1"/>
    <w:rsid w:val="007F4544"/>
    <w:rsid w:val="007F5666"/>
    <w:rsid w:val="008146D0"/>
    <w:rsid w:val="008148BA"/>
    <w:rsid w:val="00827B4B"/>
    <w:rsid w:val="00832EA5"/>
    <w:rsid w:val="0083559B"/>
    <w:rsid w:val="008373E5"/>
    <w:rsid w:val="0084064F"/>
    <w:rsid w:val="0084124C"/>
    <w:rsid w:val="00843992"/>
    <w:rsid w:val="00855EFF"/>
    <w:rsid w:val="008572C6"/>
    <w:rsid w:val="00871D48"/>
    <w:rsid w:val="00871F8D"/>
    <w:rsid w:val="008743D2"/>
    <w:rsid w:val="00875992"/>
    <w:rsid w:val="00875DFA"/>
    <w:rsid w:val="00877CFC"/>
    <w:rsid w:val="008836A4"/>
    <w:rsid w:val="008A3F48"/>
    <w:rsid w:val="008A423C"/>
    <w:rsid w:val="008A7A8B"/>
    <w:rsid w:val="008B41DA"/>
    <w:rsid w:val="008B7FDE"/>
    <w:rsid w:val="008C27C3"/>
    <w:rsid w:val="008C4BEF"/>
    <w:rsid w:val="008D102F"/>
    <w:rsid w:val="008D1B1B"/>
    <w:rsid w:val="008D1BD8"/>
    <w:rsid w:val="008D1F79"/>
    <w:rsid w:val="008E5C9E"/>
    <w:rsid w:val="008F05F2"/>
    <w:rsid w:val="008F385B"/>
    <w:rsid w:val="0090074E"/>
    <w:rsid w:val="00901FC2"/>
    <w:rsid w:val="00905EF2"/>
    <w:rsid w:val="0091689C"/>
    <w:rsid w:val="009219C7"/>
    <w:rsid w:val="00927998"/>
    <w:rsid w:val="00933C22"/>
    <w:rsid w:val="00935DEC"/>
    <w:rsid w:val="00936090"/>
    <w:rsid w:val="009434FF"/>
    <w:rsid w:val="009507D7"/>
    <w:rsid w:val="009533EA"/>
    <w:rsid w:val="00955EED"/>
    <w:rsid w:val="0095795A"/>
    <w:rsid w:val="00980D51"/>
    <w:rsid w:val="0098342B"/>
    <w:rsid w:val="00985027"/>
    <w:rsid w:val="009976CC"/>
    <w:rsid w:val="009A1C96"/>
    <w:rsid w:val="009C125E"/>
    <w:rsid w:val="009C161F"/>
    <w:rsid w:val="009E001B"/>
    <w:rsid w:val="009E058F"/>
    <w:rsid w:val="009E29DE"/>
    <w:rsid w:val="009F1527"/>
    <w:rsid w:val="009F6F84"/>
    <w:rsid w:val="00A01170"/>
    <w:rsid w:val="00A049A7"/>
    <w:rsid w:val="00A10964"/>
    <w:rsid w:val="00A31B53"/>
    <w:rsid w:val="00A33900"/>
    <w:rsid w:val="00A33B1E"/>
    <w:rsid w:val="00A33D78"/>
    <w:rsid w:val="00A34C79"/>
    <w:rsid w:val="00A44009"/>
    <w:rsid w:val="00A47FD7"/>
    <w:rsid w:val="00A54611"/>
    <w:rsid w:val="00A62842"/>
    <w:rsid w:val="00A629BB"/>
    <w:rsid w:val="00A65BD6"/>
    <w:rsid w:val="00A662B0"/>
    <w:rsid w:val="00A745E8"/>
    <w:rsid w:val="00A823C3"/>
    <w:rsid w:val="00A8660E"/>
    <w:rsid w:val="00A87B02"/>
    <w:rsid w:val="00A90145"/>
    <w:rsid w:val="00A94E56"/>
    <w:rsid w:val="00AA00CD"/>
    <w:rsid w:val="00AA11CB"/>
    <w:rsid w:val="00AA5B8F"/>
    <w:rsid w:val="00AB19B5"/>
    <w:rsid w:val="00AB7FBF"/>
    <w:rsid w:val="00AC5928"/>
    <w:rsid w:val="00AC5E1D"/>
    <w:rsid w:val="00AC71DC"/>
    <w:rsid w:val="00AC7B2F"/>
    <w:rsid w:val="00AD26A0"/>
    <w:rsid w:val="00AD2AD6"/>
    <w:rsid w:val="00AD7C82"/>
    <w:rsid w:val="00AE274B"/>
    <w:rsid w:val="00AF5BBF"/>
    <w:rsid w:val="00AF6C3A"/>
    <w:rsid w:val="00AF7EB6"/>
    <w:rsid w:val="00B04A42"/>
    <w:rsid w:val="00B0509E"/>
    <w:rsid w:val="00B053F0"/>
    <w:rsid w:val="00B16219"/>
    <w:rsid w:val="00B17AEA"/>
    <w:rsid w:val="00B17E8D"/>
    <w:rsid w:val="00B20FEC"/>
    <w:rsid w:val="00B400B2"/>
    <w:rsid w:val="00B40C9E"/>
    <w:rsid w:val="00B47BBB"/>
    <w:rsid w:val="00B5096E"/>
    <w:rsid w:val="00B531C5"/>
    <w:rsid w:val="00B57B82"/>
    <w:rsid w:val="00B62329"/>
    <w:rsid w:val="00B74EA7"/>
    <w:rsid w:val="00B82603"/>
    <w:rsid w:val="00B95649"/>
    <w:rsid w:val="00BA5D9B"/>
    <w:rsid w:val="00BA61CE"/>
    <w:rsid w:val="00BA76ED"/>
    <w:rsid w:val="00BB5492"/>
    <w:rsid w:val="00BC59BC"/>
    <w:rsid w:val="00BD32E0"/>
    <w:rsid w:val="00BE0C62"/>
    <w:rsid w:val="00BE0DA8"/>
    <w:rsid w:val="00BE1711"/>
    <w:rsid w:val="00BE45DF"/>
    <w:rsid w:val="00BE4D65"/>
    <w:rsid w:val="00BE64B2"/>
    <w:rsid w:val="00C00400"/>
    <w:rsid w:val="00C014A7"/>
    <w:rsid w:val="00C12D95"/>
    <w:rsid w:val="00C1356F"/>
    <w:rsid w:val="00C13BE5"/>
    <w:rsid w:val="00C155F3"/>
    <w:rsid w:val="00C1761E"/>
    <w:rsid w:val="00C22DC5"/>
    <w:rsid w:val="00C2412C"/>
    <w:rsid w:val="00C2575A"/>
    <w:rsid w:val="00C27AD5"/>
    <w:rsid w:val="00C31E76"/>
    <w:rsid w:val="00C334F6"/>
    <w:rsid w:val="00C41FDA"/>
    <w:rsid w:val="00C45587"/>
    <w:rsid w:val="00C507F8"/>
    <w:rsid w:val="00C57C6E"/>
    <w:rsid w:val="00C7156F"/>
    <w:rsid w:val="00C76288"/>
    <w:rsid w:val="00C76F30"/>
    <w:rsid w:val="00CA6071"/>
    <w:rsid w:val="00CB61A1"/>
    <w:rsid w:val="00CC23CF"/>
    <w:rsid w:val="00CD20BF"/>
    <w:rsid w:val="00CD31A1"/>
    <w:rsid w:val="00CD57E2"/>
    <w:rsid w:val="00CD6B0D"/>
    <w:rsid w:val="00CE254D"/>
    <w:rsid w:val="00CF4974"/>
    <w:rsid w:val="00D0452A"/>
    <w:rsid w:val="00D06E04"/>
    <w:rsid w:val="00D126DB"/>
    <w:rsid w:val="00D147A3"/>
    <w:rsid w:val="00D17A2E"/>
    <w:rsid w:val="00D2239E"/>
    <w:rsid w:val="00D258F7"/>
    <w:rsid w:val="00D30A59"/>
    <w:rsid w:val="00D30C2F"/>
    <w:rsid w:val="00D32CAF"/>
    <w:rsid w:val="00D4484A"/>
    <w:rsid w:val="00D4710E"/>
    <w:rsid w:val="00D54A75"/>
    <w:rsid w:val="00D56383"/>
    <w:rsid w:val="00D627EA"/>
    <w:rsid w:val="00D743BC"/>
    <w:rsid w:val="00D7466F"/>
    <w:rsid w:val="00D941E6"/>
    <w:rsid w:val="00DA0B0C"/>
    <w:rsid w:val="00DB7241"/>
    <w:rsid w:val="00DC2228"/>
    <w:rsid w:val="00DD3296"/>
    <w:rsid w:val="00DD5E4B"/>
    <w:rsid w:val="00DE61EB"/>
    <w:rsid w:val="00DF4E73"/>
    <w:rsid w:val="00DF7B57"/>
    <w:rsid w:val="00E02294"/>
    <w:rsid w:val="00E04A76"/>
    <w:rsid w:val="00E106D1"/>
    <w:rsid w:val="00E11048"/>
    <w:rsid w:val="00E20860"/>
    <w:rsid w:val="00E20B39"/>
    <w:rsid w:val="00E20CF1"/>
    <w:rsid w:val="00E26490"/>
    <w:rsid w:val="00E32F99"/>
    <w:rsid w:val="00E36C12"/>
    <w:rsid w:val="00E41C7B"/>
    <w:rsid w:val="00E50EB0"/>
    <w:rsid w:val="00E60574"/>
    <w:rsid w:val="00E6742F"/>
    <w:rsid w:val="00E7148A"/>
    <w:rsid w:val="00E74749"/>
    <w:rsid w:val="00E76CDE"/>
    <w:rsid w:val="00E87232"/>
    <w:rsid w:val="00E9282D"/>
    <w:rsid w:val="00E9653B"/>
    <w:rsid w:val="00E972BD"/>
    <w:rsid w:val="00EA0DD5"/>
    <w:rsid w:val="00EA15FA"/>
    <w:rsid w:val="00EA2DD5"/>
    <w:rsid w:val="00EA6F07"/>
    <w:rsid w:val="00EB0B3B"/>
    <w:rsid w:val="00EB1033"/>
    <w:rsid w:val="00EB4A2C"/>
    <w:rsid w:val="00EC1E4F"/>
    <w:rsid w:val="00EC388E"/>
    <w:rsid w:val="00EC4436"/>
    <w:rsid w:val="00EC6EBB"/>
    <w:rsid w:val="00ED1432"/>
    <w:rsid w:val="00ED1E78"/>
    <w:rsid w:val="00ED70B4"/>
    <w:rsid w:val="00EE3A73"/>
    <w:rsid w:val="00EF1990"/>
    <w:rsid w:val="00EF278F"/>
    <w:rsid w:val="00EF78E6"/>
    <w:rsid w:val="00F0618B"/>
    <w:rsid w:val="00F13537"/>
    <w:rsid w:val="00F2260C"/>
    <w:rsid w:val="00F236B8"/>
    <w:rsid w:val="00F25E91"/>
    <w:rsid w:val="00F272BE"/>
    <w:rsid w:val="00F31AF1"/>
    <w:rsid w:val="00F31E75"/>
    <w:rsid w:val="00F35143"/>
    <w:rsid w:val="00F5153F"/>
    <w:rsid w:val="00F61C17"/>
    <w:rsid w:val="00F7308C"/>
    <w:rsid w:val="00F732D2"/>
    <w:rsid w:val="00F75665"/>
    <w:rsid w:val="00F763CA"/>
    <w:rsid w:val="00F86A74"/>
    <w:rsid w:val="00F97984"/>
    <w:rsid w:val="00FA665F"/>
    <w:rsid w:val="00FA74FC"/>
    <w:rsid w:val="00FB1475"/>
    <w:rsid w:val="00FB4652"/>
    <w:rsid w:val="00FC0996"/>
    <w:rsid w:val="00FC1683"/>
    <w:rsid w:val="00FF223E"/>
    <w:rsid w:val="00FF3BCA"/>
    <w:rsid w:val="00FF575C"/>
    <w:rsid w:val="79EB55A6"/>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ZW" w:eastAsia="en-US" w:bidi="ar-SA"/>
    </w:rPr>
  </w:style>
  <w:style w:type="paragraph" w:styleId="2">
    <w:name w:val="heading 1"/>
    <w:basedOn w:val="1"/>
    <w:next w:val="1"/>
    <w:link w:val="33"/>
    <w:qFormat/>
    <w:uiPriority w:val="9"/>
    <w:pPr>
      <w:keepNext/>
      <w:keepLines/>
      <w:pBdr>
        <w:bottom w:val="single" w:color="C0504D"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34"/>
    <w:semiHidden/>
    <w:unhideWhenUsed/>
    <w:qFormat/>
    <w:uiPriority w:val="9"/>
    <w:pPr>
      <w:keepNext/>
      <w:keepLines/>
      <w:spacing w:before="120" w:after="0" w:line="240" w:lineRule="auto"/>
      <w:outlineLvl w:val="1"/>
    </w:pPr>
    <w:rPr>
      <w:rFonts w:asciiTheme="majorHAnsi" w:hAnsiTheme="majorHAnsi" w:eastAsiaTheme="majorEastAsia" w:cstheme="majorBidi"/>
      <w:color w:val="C0504D" w:themeColor="accent2"/>
      <w:sz w:val="36"/>
      <w:szCs w:val="36"/>
      <w14:textFill>
        <w14:solidFill>
          <w14:schemeClr w14:val="accent2"/>
        </w14:solidFill>
      </w14:textFill>
    </w:rPr>
  </w:style>
  <w:style w:type="paragraph" w:styleId="4">
    <w:name w:val="heading 3"/>
    <w:basedOn w:val="1"/>
    <w:next w:val="1"/>
    <w:link w:val="35"/>
    <w:semiHidden/>
    <w:unhideWhenUsed/>
    <w:qFormat/>
    <w:uiPriority w:val="9"/>
    <w:pPr>
      <w:keepNext/>
      <w:keepLines/>
      <w:spacing w:before="80" w:after="0" w:line="240" w:lineRule="auto"/>
      <w:outlineLvl w:val="2"/>
    </w:pPr>
    <w:rPr>
      <w:rFonts w:asciiTheme="majorHAnsi" w:hAnsiTheme="majorHAnsi" w:eastAsiaTheme="majorEastAsia" w:cstheme="majorBidi"/>
      <w:color w:val="953735" w:themeColor="accent2" w:themeShade="BF"/>
      <w:sz w:val="32"/>
      <w:szCs w:val="32"/>
    </w:rPr>
  </w:style>
  <w:style w:type="paragraph" w:styleId="5">
    <w:name w:val="heading 4"/>
    <w:basedOn w:val="1"/>
    <w:next w:val="1"/>
    <w:link w:val="36"/>
    <w:semiHidden/>
    <w:unhideWhenUsed/>
    <w:qFormat/>
    <w:uiPriority w:val="9"/>
    <w:pPr>
      <w:keepNext/>
      <w:keepLines/>
      <w:spacing w:before="80" w:after="0" w:line="240" w:lineRule="auto"/>
      <w:outlineLvl w:val="3"/>
    </w:pPr>
    <w:rPr>
      <w:rFonts w:asciiTheme="majorHAnsi" w:hAnsiTheme="majorHAnsi" w:eastAsiaTheme="majorEastAsia" w:cstheme="majorBidi"/>
      <w:i/>
      <w:iCs/>
      <w:color w:val="632523" w:themeColor="accent2" w:themeShade="80"/>
      <w:sz w:val="28"/>
      <w:szCs w:val="28"/>
    </w:rPr>
  </w:style>
  <w:style w:type="paragraph" w:styleId="6">
    <w:name w:val="heading 5"/>
    <w:basedOn w:val="1"/>
    <w:next w:val="1"/>
    <w:link w:val="37"/>
    <w:semiHidden/>
    <w:unhideWhenUsed/>
    <w:qFormat/>
    <w:uiPriority w:val="9"/>
    <w:pPr>
      <w:keepNext/>
      <w:keepLines/>
      <w:spacing w:before="80" w:after="0" w:line="240" w:lineRule="auto"/>
      <w:outlineLvl w:val="4"/>
    </w:pPr>
    <w:rPr>
      <w:rFonts w:asciiTheme="majorHAnsi" w:hAnsiTheme="majorHAnsi" w:eastAsiaTheme="majorEastAsia" w:cstheme="majorBidi"/>
      <w:color w:val="953735" w:themeColor="accent2" w:themeShade="BF"/>
      <w:sz w:val="24"/>
      <w:szCs w:val="24"/>
    </w:rPr>
  </w:style>
  <w:style w:type="paragraph" w:styleId="7">
    <w:name w:val="heading 6"/>
    <w:basedOn w:val="1"/>
    <w:next w:val="1"/>
    <w:link w:val="38"/>
    <w:semiHidden/>
    <w:unhideWhenUsed/>
    <w:qFormat/>
    <w:uiPriority w:val="9"/>
    <w:pPr>
      <w:keepNext/>
      <w:keepLines/>
      <w:spacing w:before="80" w:after="0" w:line="240" w:lineRule="auto"/>
      <w:outlineLvl w:val="5"/>
    </w:pPr>
    <w:rPr>
      <w:rFonts w:asciiTheme="majorHAnsi" w:hAnsiTheme="majorHAnsi" w:eastAsiaTheme="majorEastAsia" w:cstheme="majorBidi"/>
      <w:i/>
      <w:iCs/>
      <w:color w:val="632523" w:themeColor="accent2" w:themeShade="80"/>
      <w:sz w:val="24"/>
      <w:szCs w:val="24"/>
    </w:rPr>
  </w:style>
  <w:style w:type="paragraph" w:styleId="8">
    <w:name w:val="heading 7"/>
    <w:basedOn w:val="1"/>
    <w:next w:val="1"/>
    <w:link w:val="39"/>
    <w:semiHidden/>
    <w:unhideWhenUsed/>
    <w:qFormat/>
    <w:uiPriority w:val="9"/>
    <w:pPr>
      <w:keepNext/>
      <w:keepLines/>
      <w:spacing w:before="80" w:after="0" w:line="240" w:lineRule="auto"/>
      <w:outlineLvl w:val="6"/>
    </w:pPr>
    <w:rPr>
      <w:rFonts w:asciiTheme="majorHAnsi" w:hAnsiTheme="majorHAnsi" w:eastAsiaTheme="majorEastAsia" w:cstheme="majorBidi"/>
      <w:b/>
      <w:bCs/>
      <w:color w:val="632523" w:themeColor="accent2" w:themeShade="80"/>
      <w:sz w:val="22"/>
      <w:szCs w:val="22"/>
    </w:rPr>
  </w:style>
  <w:style w:type="paragraph" w:styleId="9">
    <w:name w:val="heading 8"/>
    <w:basedOn w:val="1"/>
    <w:next w:val="1"/>
    <w:link w:val="40"/>
    <w:semiHidden/>
    <w:unhideWhenUsed/>
    <w:qFormat/>
    <w:uiPriority w:val="9"/>
    <w:pPr>
      <w:keepNext/>
      <w:keepLines/>
      <w:spacing w:before="80" w:after="0" w:line="240" w:lineRule="auto"/>
      <w:outlineLvl w:val="7"/>
    </w:pPr>
    <w:rPr>
      <w:rFonts w:asciiTheme="majorHAnsi" w:hAnsiTheme="majorHAnsi" w:eastAsiaTheme="majorEastAsia" w:cstheme="majorBidi"/>
      <w:color w:val="632523" w:themeColor="accent2" w:themeShade="80"/>
      <w:sz w:val="22"/>
      <w:szCs w:val="22"/>
    </w:rPr>
  </w:style>
  <w:style w:type="paragraph" w:styleId="10">
    <w:name w:val="heading 9"/>
    <w:basedOn w:val="1"/>
    <w:next w:val="1"/>
    <w:link w:val="41"/>
    <w:semiHidden/>
    <w:unhideWhenUsed/>
    <w:qFormat/>
    <w:uiPriority w:val="9"/>
    <w:pPr>
      <w:keepNext/>
      <w:keepLines/>
      <w:spacing w:before="80" w:after="0" w:line="240" w:lineRule="auto"/>
      <w:outlineLvl w:val="8"/>
    </w:pPr>
    <w:rPr>
      <w:rFonts w:asciiTheme="majorHAnsi" w:hAnsiTheme="majorHAnsi" w:eastAsiaTheme="majorEastAsia" w:cstheme="majorBidi"/>
      <w:i/>
      <w:iCs/>
      <w:color w:val="632523" w:themeColor="accent2" w:themeShade="80"/>
      <w:sz w:val="22"/>
      <w:szCs w:val="22"/>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7"/>
    <w:semiHidden/>
    <w:unhideWhenUsed/>
    <w:qFormat/>
    <w:uiPriority w:val="99"/>
    <w:pPr>
      <w:spacing w:after="0" w:line="240" w:lineRule="auto"/>
    </w:pPr>
    <w:rPr>
      <w:rFonts w:ascii="Tahoma" w:hAnsi="Tahoma" w:cs="Tahoma"/>
      <w:sz w:val="16"/>
      <w:szCs w:val="16"/>
    </w:rPr>
  </w:style>
  <w:style w:type="paragraph" w:styleId="14">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character" w:styleId="15">
    <w:name w:val="annotation reference"/>
    <w:basedOn w:val="11"/>
    <w:semiHidden/>
    <w:unhideWhenUsed/>
    <w:uiPriority w:val="99"/>
    <w:rPr>
      <w:sz w:val="16"/>
      <w:szCs w:val="16"/>
    </w:rPr>
  </w:style>
  <w:style w:type="paragraph" w:styleId="16">
    <w:name w:val="annotation text"/>
    <w:basedOn w:val="1"/>
    <w:link w:val="29"/>
    <w:semiHidden/>
    <w:unhideWhenUsed/>
    <w:uiPriority w:val="99"/>
    <w:pPr>
      <w:spacing w:line="240" w:lineRule="auto"/>
    </w:pPr>
    <w:rPr>
      <w:sz w:val="20"/>
      <w:szCs w:val="20"/>
    </w:rPr>
  </w:style>
  <w:style w:type="paragraph" w:styleId="17">
    <w:name w:val="annotation subject"/>
    <w:basedOn w:val="16"/>
    <w:next w:val="16"/>
    <w:link w:val="30"/>
    <w:semiHidden/>
    <w:unhideWhenUsed/>
    <w:qFormat/>
    <w:uiPriority w:val="99"/>
    <w:rPr>
      <w:b/>
      <w:bCs/>
    </w:rPr>
  </w:style>
  <w:style w:type="character" w:styleId="18">
    <w:name w:val="Emphasis"/>
    <w:basedOn w:val="11"/>
    <w:qFormat/>
    <w:uiPriority w:val="20"/>
    <w:rPr>
      <w:i/>
      <w:iCs/>
      <w:color w:val="000000" w:themeColor="text1"/>
      <w14:textFill>
        <w14:solidFill>
          <w14:schemeClr w14:val="tx1"/>
        </w14:solidFill>
      </w14:textFill>
    </w:rPr>
  </w:style>
  <w:style w:type="paragraph" w:styleId="19">
    <w:name w:val="footer"/>
    <w:basedOn w:val="1"/>
    <w:link w:val="26"/>
    <w:unhideWhenUsed/>
    <w:uiPriority w:val="99"/>
    <w:pPr>
      <w:tabs>
        <w:tab w:val="center" w:pos="4513"/>
        <w:tab w:val="right" w:pos="9026"/>
      </w:tabs>
      <w:spacing w:after="0" w:line="240" w:lineRule="auto"/>
    </w:pPr>
  </w:style>
  <w:style w:type="paragraph" w:styleId="20">
    <w:name w:val="header"/>
    <w:basedOn w:val="1"/>
    <w:link w:val="25"/>
    <w:unhideWhenUsed/>
    <w:uiPriority w:val="99"/>
    <w:pPr>
      <w:tabs>
        <w:tab w:val="center" w:pos="4513"/>
        <w:tab w:val="right" w:pos="9026"/>
      </w:tabs>
      <w:spacing w:after="0" w:line="240" w:lineRule="auto"/>
    </w:pPr>
  </w:style>
  <w:style w:type="character" w:styleId="21">
    <w:name w:val="Strong"/>
    <w:basedOn w:val="11"/>
    <w:qFormat/>
    <w:uiPriority w:val="22"/>
    <w:rPr>
      <w:b/>
      <w:bCs/>
    </w:rPr>
  </w:style>
  <w:style w:type="paragraph" w:styleId="22">
    <w:name w:val="Subtitle"/>
    <w:basedOn w:val="1"/>
    <w:next w:val="1"/>
    <w:link w:val="43"/>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table" w:styleId="23">
    <w:name w:val="Table Grid"/>
    <w:basedOn w:val="12"/>
    <w:qFormat/>
    <w:uiPriority w:val="1"/>
    <w:pPr>
      <w:spacing w:after="0" w:line="240" w:lineRule="auto"/>
    </w:pPr>
    <w:rPr>
      <w:lang w:val="en-US" w:bidi="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24">
    <w:name w:val="Title"/>
    <w:basedOn w:val="1"/>
    <w:next w:val="1"/>
    <w:link w:val="42"/>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25">
    <w:name w:val="Header Char"/>
    <w:basedOn w:val="11"/>
    <w:link w:val="20"/>
    <w:qFormat/>
    <w:uiPriority w:val="99"/>
  </w:style>
  <w:style w:type="character" w:customStyle="1" w:styleId="26">
    <w:name w:val="Footer Char"/>
    <w:basedOn w:val="11"/>
    <w:link w:val="19"/>
    <w:uiPriority w:val="99"/>
  </w:style>
  <w:style w:type="character" w:customStyle="1" w:styleId="27">
    <w:name w:val="Balloon Text Char"/>
    <w:basedOn w:val="11"/>
    <w:link w:val="13"/>
    <w:semiHidden/>
    <w:uiPriority w:val="99"/>
    <w:rPr>
      <w:rFonts w:ascii="Tahoma" w:hAnsi="Tahoma" w:cs="Tahoma"/>
      <w:sz w:val="16"/>
      <w:szCs w:val="16"/>
    </w:rPr>
  </w:style>
  <w:style w:type="paragraph" w:styleId="28">
    <w:name w:val="List Paragraph"/>
    <w:basedOn w:val="1"/>
    <w:qFormat/>
    <w:uiPriority w:val="34"/>
    <w:pPr>
      <w:ind w:left="720"/>
      <w:contextualSpacing/>
    </w:pPr>
  </w:style>
  <w:style w:type="character" w:customStyle="1" w:styleId="29">
    <w:name w:val="Comment Text Char"/>
    <w:basedOn w:val="11"/>
    <w:link w:val="16"/>
    <w:semiHidden/>
    <w:qFormat/>
    <w:uiPriority w:val="99"/>
    <w:rPr>
      <w:sz w:val="20"/>
      <w:szCs w:val="20"/>
    </w:rPr>
  </w:style>
  <w:style w:type="character" w:customStyle="1" w:styleId="30">
    <w:name w:val="Comment Subject Char"/>
    <w:basedOn w:val="29"/>
    <w:link w:val="17"/>
    <w:semiHidden/>
    <w:uiPriority w:val="99"/>
    <w:rPr>
      <w:b/>
      <w:bCs/>
      <w:sz w:val="20"/>
      <w:szCs w:val="20"/>
    </w:rPr>
  </w:style>
  <w:style w:type="paragraph" w:customStyle="1" w:styleId="31">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ZW" w:eastAsia="en-US" w:bidi="ar-SA"/>
    </w:rPr>
  </w:style>
  <w:style w:type="paragraph" w:customStyle="1" w:styleId="32">
    <w:name w:val="western"/>
    <w:basedOn w:val="1"/>
    <w:uiPriority w:val="0"/>
    <w:pPr>
      <w:spacing w:before="100" w:beforeAutospacing="1" w:after="100" w:afterAutospacing="1" w:line="240" w:lineRule="auto"/>
    </w:pPr>
    <w:rPr>
      <w:rFonts w:ascii="Times New Roman" w:hAnsi="Times New Roman" w:eastAsia="Times New Roman" w:cs="Times New Roman"/>
      <w:sz w:val="24"/>
      <w:szCs w:val="24"/>
      <w:lang w:eastAsia="en-ZW"/>
    </w:rPr>
  </w:style>
  <w:style w:type="character" w:customStyle="1" w:styleId="33">
    <w:name w:val="Heading 1 Char"/>
    <w:basedOn w:val="11"/>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34">
    <w:name w:val="Heading 2 Char"/>
    <w:basedOn w:val="11"/>
    <w:link w:val="3"/>
    <w:semiHidden/>
    <w:qFormat/>
    <w:uiPriority w:val="9"/>
    <w:rPr>
      <w:rFonts w:asciiTheme="majorHAnsi" w:hAnsiTheme="majorHAnsi" w:eastAsiaTheme="majorEastAsia" w:cstheme="majorBidi"/>
      <w:color w:val="C0504D" w:themeColor="accent2"/>
      <w:sz w:val="36"/>
      <w:szCs w:val="36"/>
      <w14:textFill>
        <w14:solidFill>
          <w14:schemeClr w14:val="accent2"/>
        </w14:solidFill>
      </w14:textFill>
    </w:rPr>
  </w:style>
  <w:style w:type="character" w:customStyle="1" w:styleId="35">
    <w:name w:val="Heading 3 Char"/>
    <w:basedOn w:val="11"/>
    <w:link w:val="4"/>
    <w:semiHidden/>
    <w:uiPriority w:val="9"/>
    <w:rPr>
      <w:rFonts w:asciiTheme="majorHAnsi" w:hAnsiTheme="majorHAnsi" w:eastAsiaTheme="majorEastAsia" w:cstheme="majorBidi"/>
      <w:color w:val="953735" w:themeColor="accent2" w:themeShade="BF"/>
      <w:sz w:val="32"/>
      <w:szCs w:val="32"/>
    </w:rPr>
  </w:style>
  <w:style w:type="character" w:customStyle="1" w:styleId="36">
    <w:name w:val="Heading 4 Char"/>
    <w:basedOn w:val="11"/>
    <w:link w:val="5"/>
    <w:semiHidden/>
    <w:qFormat/>
    <w:uiPriority w:val="9"/>
    <w:rPr>
      <w:rFonts w:asciiTheme="majorHAnsi" w:hAnsiTheme="majorHAnsi" w:eastAsiaTheme="majorEastAsia" w:cstheme="majorBidi"/>
      <w:i/>
      <w:iCs/>
      <w:color w:val="632523" w:themeColor="accent2" w:themeShade="80"/>
      <w:sz w:val="28"/>
      <w:szCs w:val="28"/>
    </w:rPr>
  </w:style>
  <w:style w:type="character" w:customStyle="1" w:styleId="37">
    <w:name w:val="Heading 5 Char"/>
    <w:basedOn w:val="11"/>
    <w:link w:val="6"/>
    <w:semiHidden/>
    <w:uiPriority w:val="9"/>
    <w:rPr>
      <w:rFonts w:asciiTheme="majorHAnsi" w:hAnsiTheme="majorHAnsi" w:eastAsiaTheme="majorEastAsia" w:cstheme="majorBidi"/>
      <w:color w:val="953735" w:themeColor="accent2" w:themeShade="BF"/>
      <w:sz w:val="24"/>
      <w:szCs w:val="24"/>
    </w:rPr>
  </w:style>
  <w:style w:type="character" w:customStyle="1" w:styleId="38">
    <w:name w:val="Heading 6 Char"/>
    <w:basedOn w:val="11"/>
    <w:link w:val="7"/>
    <w:semiHidden/>
    <w:qFormat/>
    <w:uiPriority w:val="9"/>
    <w:rPr>
      <w:rFonts w:asciiTheme="majorHAnsi" w:hAnsiTheme="majorHAnsi" w:eastAsiaTheme="majorEastAsia" w:cstheme="majorBidi"/>
      <w:i/>
      <w:iCs/>
      <w:color w:val="632523" w:themeColor="accent2" w:themeShade="80"/>
      <w:sz w:val="24"/>
      <w:szCs w:val="24"/>
    </w:rPr>
  </w:style>
  <w:style w:type="character" w:customStyle="1" w:styleId="39">
    <w:name w:val="Heading 7 Char"/>
    <w:basedOn w:val="11"/>
    <w:link w:val="8"/>
    <w:semiHidden/>
    <w:qFormat/>
    <w:uiPriority w:val="9"/>
    <w:rPr>
      <w:rFonts w:asciiTheme="majorHAnsi" w:hAnsiTheme="majorHAnsi" w:eastAsiaTheme="majorEastAsia" w:cstheme="majorBidi"/>
      <w:b/>
      <w:bCs/>
      <w:color w:val="632523" w:themeColor="accent2" w:themeShade="80"/>
      <w:sz w:val="22"/>
      <w:szCs w:val="22"/>
    </w:rPr>
  </w:style>
  <w:style w:type="character" w:customStyle="1" w:styleId="40">
    <w:name w:val="Heading 8 Char"/>
    <w:basedOn w:val="11"/>
    <w:link w:val="9"/>
    <w:semiHidden/>
    <w:uiPriority w:val="9"/>
    <w:rPr>
      <w:rFonts w:asciiTheme="majorHAnsi" w:hAnsiTheme="majorHAnsi" w:eastAsiaTheme="majorEastAsia" w:cstheme="majorBidi"/>
      <w:color w:val="632523" w:themeColor="accent2" w:themeShade="80"/>
      <w:sz w:val="22"/>
      <w:szCs w:val="22"/>
    </w:rPr>
  </w:style>
  <w:style w:type="character" w:customStyle="1" w:styleId="41">
    <w:name w:val="Heading 9 Char"/>
    <w:basedOn w:val="11"/>
    <w:link w:val="10"/>
    <w:semiHidden/>
    <w:uiPriority w:val="9"/>
    <w:rPr>
      <w:rFonts w:asciiTheme="majorHAnsi" w:hAnsiTheme="majorHAnsi" w:eastAsiaTheme="majorEastAsia" w:cstheme="majorBidi"/>
      <w:i/>
      <w:iCs/>
      <w:color w:val="632523" w:themeColor="accent2" w:themeShade="80"/>
      <w:sz w:val="22"/>
      <w:szCs w:val="22"/>
    </w:rPr>
  </w:style>
  <w:style w:type="character" w:customStyle="1" w:styleId="42">
    <w:name w:val="Title Char"/>
    <w:basedOn w:val="11"/>
    <w:link w:val="24"/>
    <w:qFormat/>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43">
    <w:name w:val="Subtitle Char"/>
    <w:basedOn w:val="11"/>
    <w:link w:val="22"/>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44">
    <w:name w:val="No Spacing"/>
    <w:qFormat/>
    <w:uiPriority w:val="1"/>
    <w:pPr>
      <w:spacing w:after="0" w:line="240" w:lineRule="auto"/>
    </w:pPr>
    <w:rPr>
      <w:rFonts w:asciiTheme="minorHAnsi" w:hAnsiTheme="minorHAnsi" w:eastAsiaTheme="minorEastAsia" w:cstheme="minorBidi"/>
      <w:sz w:val="21"/>
      <w:szCs w:val="21"/>
      <w:lang w:val="en-ZW" w:eastAsia="en-US" w:bidi="ar-SA"/>
    </w:rPr>
  </w:style>
  <w:style w:type="paragraph" w:styleId="45">
    <w:name w:val="Quote"/>
    <w:basedOn w:val="1"/>
    <w:next w:val="1"/>
    <w:link w:val="46"/>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46">
    <w:name w:val="Quote Char"/>
    <w:basedOn w:val="11"/>
    <w:link w:val="45"/>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7">
    <w:name w:val="Intense Quote"/>
    <w:basedOn w:val="1"/>
    <w:next w:val="1"/>
    <w:link w:val="48"/>
    <w:qFormat/>
    <w:uiPriority w:val="30"/>
    <w:pPr>
      <w:pBdr>
        <w:top w:val="single" w:color="C0504D"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8">
    <w:name w:val="Intense Quote Char"/>
    <w:basedOn w:val="11"/>
    <w:link w:val="47"/>
    <w:uiPriority w:val="30"/>
    <w:rPr>
      <w:rFonts w:asciiTheme="majorHAnsi" w:hAnsiTheme="majorHAnsi" w:eastAsiaTheme="majorEastAsia" w:cstheme="majorBidi"/>
      <w:sz w:val="24"/>
      <w:szCs w:val="24"/>
    </w:rPr>
  </w:style>
  <w:style w:type="character" w:customStyle="1" w:styleId="49">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50">
    <w:name w:val="Intense Emphasis"/>
    <w:basedOn w:val="11"/>
    <w:qFormat/>
    <w:uiPriority w:val="21"/>
    <w:rPr>
      <w:b/>
      <w:bCs/>
      <w:i/>
      <w:iCs/>
      <w:color w:val="C0504D" w:themeColor="accent2"/>
      <w14:textFill>
        <w14:solidFill>
          <w14:schemeClr w14:val="accent2"/>
        </w14:solidFill>
      </w14:textFill>
    </w:rPr>
  </w:style>
  <w:style w:type="character" w:customStyle="1" w:styleId="51">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52">
    <w:name w:val="Intense Reference"/>
    <w:basedOn w:val="11"/>
    <w:qFormat/>
    <w:uiPriority w:val="32"/>
    <w:rPr>
      <w:b/>
      <w:bCs/>
      <w:smallCaps/>
      <w:color w:val="auto"/>
      <w:spacing w:val="0"/>
      <w:u w:val="single"/>
    </w:rPr>
  </w:style>
  <w:style w:type="character" w:customStyle="1" w:styleId="53">
    <w:name w:val="Book Title"/>
    <w:basedOn w:val="11"/>
    <w:qFormat/>
    <w:uiPriority w:val="33"/>
    <w:rPr>
      <w:b/>
      <w:bCs/>
      <w:smallCaps/>
      <w:spacing w:val="0"/>
    </w:rPr>
  </w:style>
  <w:style w:type="paragraph" w:customStyle="1" w:styleId="5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7CF83-C2BE-4D46-9D1E-9A3AC71D84FC}">
  <ds:schemaRefs/>
</ds:datastoreItem>
</file>

<file path=docProps/app.xml><?xml version="1.0" encoding="utf-8"?>
<Properties xmlns="http://schemas.openxmlformats.org/officeDocument/2006/extended-properties" xmlns:vt="http://schemas.openxmlformats.org/officeDocument/2006/docPropsVTypes">
  <Template>Normal</Template>
  <Company>Judgment No. SC …../24</Company>
  <Pages>20</Pages>
  <Words>5487</Words>
  <Characters>31280</Characters>
  <Lines>260</Lines>
  <Paragraphs>73</Paragraphs>
  <TotalTime>1</TotalTime>
  <ScaleCrop>false</ScaleCrop>
  <LinksUpToDate>false</LinksUpToDate>
  <CharactersWithSpaces>36694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2024-10-22T09:20:00Z</dcterms:created>
  <dc:creator>Windows User</dc:creator>
  <cp:lastModifiedBy>Law</cp:lastModifiedBy>
  <dcterms:modified xsi:type="dcterms:W3CDTF">2024-10-31T08:38:32Z</dcterms:modified>
  <dc:title>Civil Appeal No. SC 494/23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41c760df30f25a0d192795e075382f38bfde19396b2a49fd22dba813b0003874</vt:lpwstr>
  </property>
  <property fmtid="{D5CDD505-2E9C-101B-9397-08002B2CF9AE}" pid="3" name="KSOProductBuildVer">
    <vt:lpwstr>1033-12.2.0.18607</vt:lpwstr>
  </property>
  <property fmtid="{D5CDD505-2E9C-101B-9397-08002B2CF9AE}" pid="4" name="ICV">
    <vt:lpwstr>050973D8C0064DD8BAA26D0608DF01DE_13</vt:lpwstr>
  </property>
</Properties>
</file>