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79B" w:rsidRPr="00E34880" w:rsidRDefault="0079079B" w:rsidP="00E34880">
      <w:pPr>
        <w:spacing w:after="0" w:line="240" w:lineRule="auto"/>
        <w:rPr>
          <w:rFonts w:ascii="Times New Roman" w:hAnsi="Times New Roman" w:cs="Times New Roman"/>
          <w:sz w:val="24"/>
          <w:szCs w:val="24"/>
        </w:rPr>
      </w:pPr>
      <w:bookmarkStart w:id="0" w:name="_GoBack"/>
      <w:bookmarkEnd w:id="0"/>
      <w:r w:rsidRPr="00E34880">
        <w:rPr>
          <w:rFonts w:ascii="Times New Roman" w:hAnsi="Times New Roman" w:cs="Times New Roman"/>
        </w:rPr>
        <w:t xml:space="preserve">                                                                                                                                           </w:t>
      </w:r>
    </w:p>
    <w:p w:rsidR="0079079B" w:rsidRPr="00E34880" w:rsidRDefault="0079079B" w:rsidP="00E34880">
      <w:pPr>
        <w:spacing w:after="0" w:line="240" w:lineRule="auto"/>
        <w:rPr>
          <w:rFonts w:ascii="Times New Roman" w:hAnsi="Times New Roman" w:cs="Times New Roman"/>
          <w:sz w:val="24"/>
          <w:szCs w:val="24"/>
        </w:rPr>
      </w:pPr>
      <w:r w:rsidRPr="00E34880">
        <w:rPr>
          <w:rFonts w:ascii="Times New Roman" w:hAnsi="Times New Roman" w:cs="Times New Roman"/>
          <w:sz w:val="24"/>
          <w:szCs w:val="24"/>
        </w:rPr>
        <w:t>CLARKPAYNE INVESTMENTS (PVT) LTD</w:t>
      </w:r>
    </w:p>
    <w:p w:rsidR="0079079B" w:rsidRPr="00E34880" w:rsidRDefault="00C93593" w:rsidP="00E34880">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79079B" w:rsidRPr="00E34880" w:rsidRDefault="0079079B" w:rsidP="00E34880">
      <w:pPr>
        <w:spacing w:after="0" w:line="240" w:lineRule="auto"/>
        <w:rPr>
          <w:rFonts w:ascii="Times New Roman" w:hAnsi="Times New Roman" w:cs="Times New Roman"/>
          <w:sz w:val="24"/>
          <w:szCs w:val="24"/>
        </w:rPr>
      </w:pPr>
      <w:r w:rsidRPr="00E34880">
        <w:rPr>
          <w:rFonts w:ascii="Times New Roman" w:hAnsi="Times New Roman" w:cs="Times New Roman"/>
          <w:sz w:val="24"/>
          <w:szCs w:val="24"/>
        </w:rPr>
        <w:t>TANAKA POWER (PVT) LTD</w:t>
      </w:r>
    </w:p>
    <w:p w:rsidR="0079079B" w:rsidRDefault="0079079B" w:rsidP="00E34880">
      <w:pPr>
        <w:spacing w:after="0" w:line="240" w:lineRule="auto"/>
        <w:rPr>
          <w:rFonts w:ascii="Times New Roman" w:hAnsi="Times New Roman" w:cs="Times New Roman"/>
          <w:sz w:val="24"/>
          <w:szCs w:val="24"/>
        </w:rPr>
      </w:pPr>
    </w:p>
    <w:p w:rsidR="00E34880" w:rsidRDefault="00E34880" w:rsidP="00E34880">
      <w:pPr>
        <w:spacing w:after="0" w:line="240" w:lineRule="auto"/>
        <w:rPr>
          <w:rFonts w:ascii="Times New Roman" w:hAnsi="Times New Roman" w:cs="Times New Roman"/>
          <w:sz w:val="24"/>
          <w:szCs w:val="24"/>
        </w:rPr>
      </w:pPr>
    </w:p>
    <w:p w:rsidR="00E34880" w:rsidRPr="00E34880" w:rsidRDefault="00E34880" w:rsidP="00E34880">
      <w:pPr>
        <w:spacing w:after="0" w:line="240" w:lineRule="auto"/>
        <w:rPr>
          <w:rFonts w:ascii="Times New Roman" w:hAnsi="Times New Roman" w:cs="Times New Roman"/>
          <w:sz w:val="24"/>
          <w:szCs w:val="24"/>
        </w:rPr>
      </w:pPr>
    </w:p>
    <w:p w:rsidR="0079079B" w:rsidRPr="00E34880" w:rsidRDefault="0079079B" w:rsidP="00E34880">
      <w:pPr>
        <w:spacing w:after="0" w:line="240" w:lineRule="auto"/>
        <w:rPr>
          <w:rFonts w:ascii="Times New Roman" w:hAnsi="Times New Roman" w:cs="Times New Roman"/>
          <w:sz w:val="24"/>
          <w:szCs w:val="24"/>
        </w:rPr>
      </w:pPr>
      <w:r w:rsidRPr="00E34880">
        <w:rPr>
          <w:rFonts w:ascii="Times New Roman" w:hAnsi="Times New Roman" w:cs="Times New Roman"/>
          <w:sz w:val="24"/>
          <w:szCs w:val="24"/>
        </w:rPr>
        <w:t>HIGH COURT OF ZIMBABWE</w:t>
      </w:r>
    </w:p>
    <w:p w:rsidR="0079079B" w:rsidRPr="00E34880" w:rsidRDefault="0079079B" w:rsidP="00E34880">
      <w:pPr>
        <w:spacing w:after="0" w:line="240" w:lineRule="auto"/>
        <w:rPr>
          <w:rFonts w:ascii="Times New Roman" w:hAnsi="Times New Roman" w:cs="Times New Roman"/>
          <w:sz w:val="24"/>
          <w:szCs w:val="24"/>
        </w:rPr>
      </w:pPr>
      <w:r w:rsidRPr="00E34880">
        <w:rPr>
          <w:rFonts w:ascii="Times New Roman" w:hAnsi="Times New Roman" w:cs="Times New Roman"/>
          <w:sz w:val="24"/>
          <w:szCs w:val="24"/>
        </w:rPr>
        <w:t>ZHOU J</w:t>
      </w:r>
    </w:p>
    <w:p w:rsidR="0079079B" w:rsidRPr="00E34880" w:rsidRDefault="0079079B" w:rsidP="00E34880">
      <w:pPr>
        <w:spacing w:after="0" w:line="240" w:lineRule="auto"/>
        <w:rPr>
          <w:rFonts w:ascii="Times New Roman" w:hAnsi="Times New Roman" w:cs="Times New Roman"/>
          <w:sz w:val="24"/>
          <w:szCs w:val="24"/>
        </w:rPr>
      </w:pPr>
      <w:r w:rsidRPr="00E34880">
        <w:rPr>
          <w:rFonts w:ascii="Times New Roman" w:hAnsi="Times New Roman" w:cs="Times New Roman"/>
          <w:sz w:val="24"/>
          <w:szCs w:val="24"/>
        </w:rPr>
        <w:t>HARARE, 24 May 2018</w:t>
      </w:r>
    </w:p>
    <w:p w:rsidR="0079079B" w:rsidRPr="00E34880" w:rsidRDefault="0079079B" w:rsidP="00E34880">
      <w:pPr>
        <w:spacing w:after="0" w:line="240" w:lineRule="auto"/>
        <w:rPr>
          <w:rFonts w:ascii="Times New Roman" w:hAnsi="Times New Roman" w:cs="Times New Roman"/>
          <w:sz w:val="24"/>
          <w:szCs w:val="24"/>
        </w:rPr>
      </w:pPr>
    </w:p>
    <w:p w:rsidR="00E34880" w:rsidRDefault="00E34880" w:rsidP="00E34880">
      <w:pPr>
        <w:spacing w:after="0" w:line="240" w:lineRule="auto"/>
        <w:rPr>
          <w:rFonts w:ascii="Times New Roman" w:hAnsi="Times New Roman" w:cs="Times New Roman"/>
          <w:b/>
          <w:sz w:val="24"/>
          <w:szCs w:val="24"/>
        </w:rPr>
      </w:pPr>
    </w:p>
    <w:p w:rsidR="00E34880" w:rsidRDefault="00E34880" w:rsidP="00E34880">
      <w:pPr>
        <w:spacing w:after="0" w:line="240" w:lineRule="auto"/>
        <w:rPr>
          <w:rFonts w:ascii="Times New Roman" w:hAnsi="Times New Roman" w:cs="Times New Roman"/>
          <w:b/>
          <w:sz w:val="24"/>
          <w:szCs w:val="24"/>
        </w:rPr>
      </w:pPr>
    </w:p>
    <w:p w:rsidR="0079079B" w:rsidRPr="00E34880" w:rsidRDefault="0079079B" w:rsidP="00E34880">
      <w:pPr>
        <w:spacing w:after="0" w:line="240" w:lineRule="auto"/>
        <w:rPr>
          <w:rFonts w:ascii="Times New Roman" w:hAnsi="Times New Roman" w:cs="Times New Roman"/>
          <w:b/>
          <w:sz w:val="24"/>
          <w:szCs w:val="24"/>
        </w:rPr>
      </w:pPr>
      <w:r w:rsidRPr="00E34880">
        <w:rPr>
          <w:rFonts w:ascii="Times New Roman" w:hAnsi="Times New Roman" w:cs="Times New Roman"/>
          <w:b/>
          <w:sz w:val="24"/>
          <w:szCs w:val="24"/>
        </w:rPr>
        <w:t>Opposed Application</w:t>
      </w:r>
    </w:p>
    <w:p w:rsidR="0079079B" w:rsidRPr="00E34880" w:rsidRDefault="0079079B" w:rsidP="00E34880">
      <w:pPr>
        <w:spacing w:after="0" w:line="240" w:lineRule="auto"/>
        <w:rPr>
          <w:rFonts w:ascii="Times New Roman" w:hAnsi="Times New Roman" w:cs="Times New Roman"/>
          <w:b/>
          <w:sz w:val="24"/>
          <w:szCs w:val="24"/>
        </w:rPr>
      </w:pPr>
    </w:p>
    <w:p w:rsidR="00E34880" w:rsidRDefault="00E34880" w:rsidP="00E34880">
      <w:pPr>
        <w:spacing w:after="0" w:line="240" w:lineRule="auto"/>
        <w:rPr>
          <w:rFonts w:ascii="Times New Roman" w:hAnsi="Times New Roman" w:cs="Times New Roman"/>
          <w:i/>
          <w:sz w:val="24"/>
          <w:szCs w:val="24"/>
        </w:rPr>
      </w:pPr>
    </w:p>
    <w:p w:rsidR="0079079B" w:rsidRPr="00E34880" w:rsidRDefault="0079079B" w:rsidP="00E34880">
      <w:pPr>
        <w:spacing w:after="0" w:line="240" w:lineRule="auto"/>
        <w:rPr>
          <w:rFonts w:ascii="Times New Roman" w:hAnsi="Times New Roman" w:cs="Times New Roman"/>
          <w:sz w:val="24"/>
          <w:szCs w:val="24"/>
        </w:rPr>
      </w:pPr>
      <w:r w:rsidRPr="00E34880">
        <w:rPr>
          <w:rFonts w:ascii="Times New Roman" w:hAnsi="Times New Roman" w:cs="Times New Roman"/>
          <w:i/>
          <w:sz w:val="24"/>
          <w:szCs w:val="24"/>
        </w:rPr>
        <w:t>I.A. Ahmed</w:t>
      </w:r>
      <w:r w:rsidR="00E34880">
        <w:rPr>
          <w:rFonts w:ascii="Times New Roman" w:hAnsi="Times New Roman" w:cs="Times New Roman"/>
          <w:i/>
          <w:sz w:val="24"/>
          <w:szCs w:val="24"/>
        </w:rPr>
        <w:t>,</w:t>
      </w:r>
      <w:r w:rsidRPr="00E34880">
        <w:rPr>
          <w:rFonts w:ascii="Times New Roman" w:hAnsi="Times New Roman" w:cs="Times New Roman"/>
          <w:i/>
          <w:sz w:val="24"/>
          <w:szCs w:val="24"/>
        </w:rPr>
        <w:t xml:space="preserve"> </w:t>
      </w:r>
      <w:r w:rsidRPr="00E34880">
        <w:rPr>
          <w:rFonts w:ascii="Times New Roman" w:hAnsi="Times New Roman" w:cs="Times New Roman"/>
          <w:sz w:val="24"/>
          <w:szCs w:val="24"/>
        </w:rPr>
        <w:t>for the applicant</w:t>
      </w:r>
    </w:p>
    <w:p w:rsidR="0079079B" w:rsidRPr="00E34880" w:rsidRDefault="0079079B" w:rsidP="00E34880">
      <w:pPr>
        <w:spacing w:after="0" w:line="240" w:lineRule="auto"/>
        <w:rPr>
          <w:rFonts w:ascii="Times New Roman" w:hAnsi="Times New Roman" w:cs="Times New Roman"/>
          <w:sz w:val="24"/>
          <w:szCs w:val="24"/>
        </w:rPr>
      </w:pPr>
      <w:r w:rsidRPr="00E34880">
        <w:rPr>
          <w:rFonts w:ascii="Times New Roman" w:hAnsi="Times New Roman" w:cs="Times New Roman"/>
          <w:sz w:val="24"/>
          <w:szCs w:val="24"/>
        </w:rPr>
        <w:t>No appearance for the respondent</w:t>
      </w:r>
    </w:p>
    <w:p w:rsidR="0079079B" w:rsidRPr="00E34880" w:rsidRDefault="0079079B" w:rsidP="00E34880">
      <w:pPr>
        <w:spacing w:after="0" w:line="240" w:lineRule="auto"/>
        <w:rPr>
          <w:rFonts w:ascii="Times New Roman" w:hAnsi="Times New Roman" w:cs="Times New Roman"/>
          <w:sz w:val="24"/>
          <w:szCs w:val="24"/>
        </w:rPr>
      </w:pPr>
    </w:p>
    <w:p w:rsidR="0079079B" w:rsidRPr="00E34880" w:rsidRDefault="00E34880" w:rsidP="00E348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9079B" w:rsidRPr="00E34880">
        <w:rPr>
          <w:rFonts w:ascii="Times New Roman" w:hAnsi="Times New Roman" w:cs="Times New Roman"/>
          <w:sz w:val="24"/>
          <w:szCs w:val="24"/>
        </w:rPr>
        <w:t>ZHOU J: At the hearing of this matter on 24 May 2018 there was no appearance for the respondent.  The applicant through its legal practit</w:t>
      </w:r>
      <w:r w:rsidR="00051717" w:rsidRPr="00E34880">
        <w:rPr>
          <w:rFonts w:ascii="Times New Roman" w:hAnsi="Times New Roman" w:cs="Times New Roman"/>
          <w:sz w:val="24"/>
          <w:szCs w:val="24"/>
        </w:rPr>
        <w:t>ioner, moved,</w:t>
      </w:r>
      <w:r w:rsidR="0079079B" w:rsidRPr="00E34880">
        <w:rPr>
          <w:rFonts w:ascii="Times New Roman" w:hAnsi="Times New Roman" w:cs="Times New Roman"/>
          <w:sz w:val="24"/>
          <w:szCs w:val="24"/>
        </w:rPr>
        <w:t xml:space="preserve"> that notwithstanding the default of the respondent the matter mus</w:t>
      </w:r>
      <w:r w:rsidR="00051717" w:rsidRPr="00E34880">
        <w:rPr>
          <w:rFonts w:ascii="Times New Roman" w:hAnsi="Times New Roman" w:cs="Times New Roman"/>
          <w:sz w:val="24"/>
          <w:szCs w:val="24"/>
        </w:rPr>
        <w:t xml:space="preserve">t be considered on its merits. Mr </w:t>
      </w:r>
      <w:r w:rsidR="00051717" w:rsidRPr="00E34880">
        <w:rPr>
          <w:rFonts w:ascii="Times New Roman" w:hAnsi="Times New Roman" w:cs="Times New Roman"/>
          <w:i/>
          <w:sz w:val="24"/>
          <w:szCs w:val="24"/>
        </w:rPr>
        <w:t xml:space="preserve">Ahmed </w:t>
      </w:r>
      <w:r w:rsidR="00051717" w:rsidRPr="00E34880">
        <w:rPr>
          <w:rFonts w:ascii="Times New Roman" w:hAnsi="Times New Roman" w:cs="Times New Roman"/>
          <w:sz w:val="24"/>
          <w:szCs w:val="24"/>
        </w:rPr>
        <w:t>who appeared for the applicant also submitted that the respondent was in any event barred for failing to file heads of argument timeously in terms of the rules. The certificate of service which was filed on 28 March 2018 shows that the applicant’s heads of argument were served upon the respondent on 28 March 2018 at 1159 hours. The respondent’s heads of argument were filed on 11 April 2018. On that account the respondent was no</w:t>
      </w:r>
      <w:r w:rsidR="00F6678D">
        <w:rPr>
          <w:rFonts w:ascii="Times New Roman" w:hAnsi="Times New Roman" w:cs="Times New Roman"/>
          <w:sz w:val="24"/>
          <w:szCs w:val="24"/>
        </w:rPr>
        <w:t>t</w:t>
      </w:r>
      <w:r w:rsidR="00051717" w:rsidRPr="00E34880">
        <w:rPr>
          <w:rFonts w:ascii="Times New Roman" w:hAnsi="Times New Roman" w:cs="Times New Roman"/>
          <w:sz w:val="24"/>
          <w:szCs w:val="24"/>
        </w:rPr>
        <w:t xml:space="preserve"> barred because the heads of argument were filed within a period less than the ten days required by the rules when regard is had to the fact that Friday 30 March and Monday 2 April 2018 were public holi</w:t>
      </w:r>
      <w:r w:rsidR="009C7020" w:rsidRPr="00E34880">
        <w:rPr>
          <w:rFonts w:ascii="Times New Roman" w:hAnsi="Times New Roman" w:cs="Times New Roman"/>
          <w:sz w:val="24"/>
          <w:szCs w:val="24"/>
        </w:rPr>
        <w:t>days, being Good Friday and E</w:t>
      </w:r>
      <w:r w:rsidR="00051717" w:rsidRPr="00E34880">
        <w:rPr>
          <w:rFonts w:ascii="Times New Roman" w:hAnsi="Times New Roman" w:cs="Times New Roman"/>
          <w:sz w:val="24"/>
          <w:szCs w:val="24"/>
        </w:rPr>
        <w:t>aster Monday</w:t>
      </w:r>
      <w:r w:rsidR="009C7020" w:rsidRPr="00E34880">
        <w:rPr>
          <w:rFonts w:ascii="Times New Roman" w:hAnsi="Times New Roman" w:cs="Times New Roman"/>
          <w:sz w:val="24"/>
          <w:szCs w:val="24"/>
        </w:rPr>
        <w:t>,</w:t>
      </w:r>
      <w:r w:rsidR="00051717" w:rsidRPr="00E34880">
        <w:rPr>
          <w:rFonts w:ascii="Times New Roman" w:hAnsi="Times New Roman" w:cs="Times New Roman"/>
          <w:sz w:val="24"/>
          <w:szCs w:val="24"/>
        </w:rPr>
        <w:t xml:space="preserve"> respectively. Also</w:t>
      </w:r>
      <w:r w:rsidR="009C7020" w:rsidRPr="00E34880">
        <w:rPr>
          <w:rFonts w:ascii="Times New Roman" w:hAnsi="Times New Roman" w:cs="Times New Roman"/>
          <w:sz w:val="24"/>
          <w:szCs w:val="24"/>
        </w:rPr>
        <w:t xml:space="preserve">, the term ended on 6 </w:t>
      </w:r>
      <w:r w:rsidR="00F6678D">
        <w:rPr>
          <w:rFonts w:ascii="Times New Roman" w:hAnsi="Times New Roman" w:cs="Times New Roman"/>
          <w:sz w:val="24"/>
          <w:szCs w:val="24"/>
        </w:rPr>
        <w:t>April</w:t>
      </w:r>
      <w:r w:rsidR="009C7020" w:rsidRPr="00E34880">
        <w:rPr>
          <w:rFonts w:ascii="Times New Roman" w:hAnsi="Times New Roman" w:cs="Times New Roman"/>
          <w:sz w:val="24"/>
          <w:szCs w:val="24"/>
        </w:rPr>
        <w:t xml:space="preserve"> 2018. This means that the 11</w:t>
      </w:r>
      <w:r w:rsidR="009C7020" w:rsidRPr="00E34880">
        <w:rPr>
          <w:rFonts w:ascii="Times New Roman" w:hAnsi="Times New Roman" w:cs="Times New Roman"/>
          <w:sz w:val="24"/>
          <w:szCs w:val="24"/>
          <w:vertAlign w:val="superscript"/>
        </w:rPr>
        <w:t>th</w:t>
      </w:r>
      <w:r w:rsidR="009C7020" w:rsidRPr="00E34880">
        <w:rPr>
          <w:rFonts w:ascii="Times New Roman" w:hAnsi="Times New Roman" w:cs="Times New Roman"/>
          <w:sz w:val="24"/>
          <w:szCs w:val="24"/>
        </w:rPr>
        <w:t xml:space="preserve"> April when the respondent’s heads of argument were served was during the vacation.  In terms of r 238(2a)</w:t>
      </w:r>
      <w:r>
        <w:rPr>
          <w:rFonts w:ascii="Times New Roman" w:hAnsi="Times New Roman" w:cs="Times New Roman"/>
          <w:sz w:val="24"/>
          <w:szCs w:val="24"/>
        </w:rPr>
        <w:t xml:space="preserve"> </w:t>
      </w:r>
      <w:r w:rsidR="009C7020" w:rsidRPr="00E34880">
        <w:rPr>
          <w:rFonts w:ascii="Times New Roman" w:hAnsi="Times New Roman" w:cs="Times New Roman"/>
          <w:sz w:val="24"/>
          <w:szCs w:val="24"/>
        </w:rPr>
        <w:t>(i) a period during which the court is on vacation is not counted as part of the ten</w:t>
      </w:r>
      <w:r>
        <w:rPr>
          <w:rFonts w:ascii="Times New Roman" w:hAnsi="Times New Roman" w:cs="Times New Roman"/>
          <w:sz w:val="24"/>
          <w:szCs w:val="24"/>
        </w:rPr>
        <w:t xml:space="preserve"> </w:t>
      </w:r>
      <w:r w:rsidR="009C7020" w:rsidRPr="00E34880">
        <w:rPr>
          <w:rFonts w:ascii="Times New Roman" w:hAnsi="Times New Roman" w:cs="Times New Roman"/>
          <w:sz w:val="24"/>
          <w:szCs w:val="24"/>
        </w:rPr>
        <w:t>-</w:t>
      </w:r>
      <w:r>
        <w:rPr>
          <w:rFonts w:ascii="Times New Roman" w:hAnsi="Times New Roman" w:cs="Times New Roman"/>
          <w:sz w:val="24"/>
          <w:szCs w:val="24"/>
        </w:rPr>
        <w:t xml:space="preserve"> </w:t>
      </w:r>
      <w:r w:rsidR="009C7020" w:rsidRPr="00E34880">
        <w:rPr>
          <w:rFonts w:ascii="Times New Roman" w:hAnsi="Times New Roman" w:cs="Times New Roman"/>
          <w:sz w:val="24"/>
          <w:szCs w:val="24"/>
        </w:rPr>
        <w:t>day period for the filing of heads of argument.</w:t>
      </w:r>
      <w:r w:rsidR="001952C8" w:rsidRPr="00E34880">
        <w:rPr>
          <w:rFonts w:ascii="Times New Roman" w:hAnsi="Times New Roman" w:cs="Times New Roman"/>
          <w:sz w:val="24"/>
          <w:szCs w:val="24"/>
        </w:rPr>
        <w:t xml:space="preserve"> Accordingly, the respondent </w:t>
      </w:r>
      <w:r w:rsidR="001952C8" w:rsidRPr="00E34880">
        <w:rPr>
          <w:rFonts w:ascii="Times New Roman" w:hAnsi="Times New Roman" w:cs="Times New Roman"/>
          <w:i/>
          <w:sz w:val="24"/>
          <w:szCs w:val="24"/>
        </w:rPr>
        <w:t xml:space="preserve">in casu </w:t>
      </w:r>
      <w:r w:rsidR="001952C8" w:rsidRPr="00E34880">
        <w:rPr>
          <w:rFonts w:ascii="Times New Roman" w:hAnsi="Times New Roman" w:cs="Times New Roman"/>
          <w:sz w:val="24"/>
          <w:szCs w:val="24"/>
        </w:rPr>
        <w:t>is not barred.</w:t>
      </w:r>
    </w:p>
    <w:p w:rsidR="001952C8" w:rsidRPr="00E34880" w:rsidRDefault="00E34880" w:rsidP="00E348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952C8" w:rsidRPr="00E34880">
        <w:rPr>
          <w:rFonts w:ascii="Times New Roman" w:hAnsi="Times New Roman" w:cs="Times New Roman"/>
          <w:sz w:val="24"/>
          <w:szCs w:val="24"/>
        </w:rPr>
        <w:t>I, however, proceeded to deal with the matter on the merits as requested by the applicant given that both parties have filed heads of argument. Having heard argument from the applicant’s legal practitioner I granted the relief sought in terms of the draft order.  The applicant has asked for the written reasons for the judgment. These are they.</w:t>
      </w:r>
    </w:p>
    <w:p w:rsidR="00567B42" w:rsidRPr="00E34880" w:rsidRDefault="00E34880" w:rsidP="00E348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4040C4" w:rsidRPr="00E34880">
        <w:rPr>
          <w:rFonts w:ascii="Times New Roman" w:hAnsi="Times New Roman" w:cs="Times New Roman"/>
          <w:sz w:val="24"/>
          <w:szCs w:val="24"/>
        </w:rPr>
        <w:t xml:space="preserve">This is an application </w:t>
      </w:r>
      <w:r w:rsidR="001952C8" w:rsidRPr="00E34880">
        <w:rPr>
          <w:rFonts w:ascii="Times New Roman" w:hAnsi="Times New Roman" w:cs="Times New Roman"/>
          <w:sz w:val="24"/>
          <w:szCs w:val="24"/>
        </w:rPr>
        <w:t>for summary judgment. The facts upon which the application is founded are as follows. The applicant is the registered owner of an immovable property known as</w:t>
      </w:r>
      <w:r w:rsidR="005866C6" w:rsidRPr="00E34880">
        <w:rPr>
          <w:rFonts w:ascii="Times New Roman" w:hAnsi="Times New Roman" w:cs="Times New Roman"/>
          <w:sz w:val="24"/>
          <w:szCs w:val="24"/>
        </w:rPr>
        <w:t xml:space="preserve"> Certain Piece of Land Situate in the District of Salisbury Called</w:t>
      </w:r>
      <w:r w:rsidR="001952C8" w:rsidRPr="00E34880">
        <w:rPr>
          <w:rFonts w:ascii="Times New Roman" w:hAnsi="Times New Roman" w:cs="Times New Roman"/>
          <w:sz w:val="24"/>
          <w:szCs w:val="24"/>
        </w:rPr>
        <w:t xml:space="preserve"> Stand 7775 Salisbury Township</w:t>
      </w:r>
      <w:r w:rsidR="005866C6" w:rsidRPr="00E34880">
        <w:rPr>
          <w:rFonts w:ascii="Times New Roman" w:hAnsi="Times New Roman" w:cs="Times New Roman"/>
          <w:sz w:val="24"/>
          <w:szCs w:val="24"/>
        </w:rPr>
        <w:t xml:space="preserve"> measuring 3993 square metres. The property was purchased by the applicant at a sale in execution which was conducted by the Sheriff.  The property was duly registered in the name of the applicant as per the Deed of Transfer Number 0003858/2017. Following the transfer of the property into its name the applicant instituted proceedings </w:t>
      </w:r>
      <w:r w:rsidR="004040C4" w:rsidRPr="00E34880">
        <w:rPr>
          <w:rFonts w:ascii="Times New Roman" w:hAnsi="Times New Roman" w:cs="Times New Roman"/>
          <w:sz w:val="24"/>
          <w:szCs w:val="24"/>
        </w:rPr>
        <w:t>by way of summons for the ejectment of the respondent and all persons claiming occupation through it from the property and costs of suit on the basis that the respondent was in occupation of the property without the consent of the applicant. The respondent entered appearance to defend and filed a plea. The applicant in turn filed an application for summary judgment which the respondent opposed. Both parties filed heads of argument hence the court was able to consider the matter on its merits notwithstanding the default of the</w:t>
      </w:r>
      <w:r w:rsidR="00567B42" w:rsidRPr="00E34880">
        <w:rPr>
          <w:rFonts w:ascii="Times New Roman" w:hAnsi="Times New Roman" w:cs="Times New Roman"/>
          <w:sz w:val="24"/>
          <w:szCs w:val="24"/>
        </w:rPr>
        <w:t xml:space="preserve"> respondent.</w:t>
      </w:r>
    </w:p>
    <w:p w:rsidR="00C53C12" w:rsidRPr="00E34880" w:rsidRDefault="00E34880" w:rsidP="00E348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67B42" w:rsidRPr="00E34880">
        <w:rPr>
          <w:rFonts w:ascii="Times New Roman" w:hAnsi="Times New Roman" w:cs="Times New Roman"/>
          <w:sz w:val="24"/>
          <w:szCs w:val="24"/>
        </w:rPr>
        <w:t>Summary judgment is allowed where the plaintiff’s case is unanswerable and there is no justification for putting the plaintiff to the unnecessary expense of a trial.</w:t>
      </w:r>
      <w:r w:rsidR="002B3812" w:rsidRPr="00E34880">
        <w:rPr>
          <w:rFonts w:ascii="Times New Roman" w:hAnsi="Times New Roman" w:cs="Times New Roman"/>
          <w:sz w:val="24"/>
          <w:szCs w:val="24"/>
        </w:rPr>
        <w:t xml:space="preserve"> </w:t>
      </w:r>
      <w:r w:rsidR="007927E2" w:rsidRPr="00E34880">
        <w:rPr>
          <w:rFonts w:ascii="Times New Roman" w:hAnsi="Times New Roman" w:cs="Times New Roman"/>
          <w:sz w:val="24"/>
          <w:szCs w:val="24"/>
        </w:rPr>
        <w:t xml:space="preserve">The defendant must establish a legal defence which is </w:t>
      </w:r>
      <w:r w:rsidR="007927E2" w:rsidRPr="00E34880">
        <w:rPr>
          <w:rFonts w:ascii="Times New Roman" w:hAnsi="Times New Roman" w:cs="Times New Roman"/>
          <w:i/>
          <w:sz w:val="24"/>
          <w:szCs w:val="24"/>
        </w:rPr>
        <w:t>bona fide</w:t>
      </w:r>
      <w:r w:rsidR="00DC1747" w:rsidRPr="00E34880">
        <w:rPr>
          <w:rFonts w:ascii="Times New Roman" w:hAnsi="Times New Roman" w:cs="Times New Roman"/>
          <w:i/>
          <w:sz w:val="24"/>
          <w:szCs w:val="24"/>
        </w:rPr>
        <w:t xml:space="preserve"> </w:t>
      </w:r>
      <w:r w:rsidR="00DC1747" w:rsidRPr="00E34880">
        <w:rPr>
          <w:rFonts w:ascii="Times New Roman" w:hAnsi="Times New Roman" w:cs="Times New Roman"/>
          <w:sz w:val="24"/>
          <w:szCs w:val="24"/>
        </w:rPr>
        <w:t xml:space="preserve">in order to successfully oppose an application for summary judgment, </w:t>
      </w:r>
      <w:r w:rsidR="00DC1747" w:rsidRPr="00E34880">
        <w:rPr>
          <w:rFonts w:ascii="Times New Roman" w:hAnsi="Times New Roman" w:cs="Times New Roman"/>
          <w:i/>
          <w:sz w:val="24"/>
          <w:szCs w:val="24"/>
        </w:rPr>
        <w:t xml:space="preserve">Niri </w:t>
      </w:r>
      <w:r w:rsidR="00DC1747" w:rsidRPr="00E34880">
        <w:rPr>
          <w:rFonts w:ascii="Times New Roman" w:hAnsi="Times New Roman" w:cs="Times New Roman"/>
          <w:sz w:val="24"/>
          <w:szCs w:val="24"/>
        </w:rPr>
        <w:t>v</w:t>
      </w:r>
      <w:r w:rsidR="00DC1747" w:rsidRPr="00E34880">
        <w:rPr>
          <w:rFonts w:ascii="Times New Roman" w:hAnsi="Times New Roman" w:cs="Times New Roman"/>
          <w:i/>
          <w:sz w:val="24"/>
          <w:szCs w:val="24"/>
        </w:rPr>
        <w:t xml:space="preserve"> Coleman &amp; Ors </w:t>
      </w:r>
      <w:r w:rsidR="00DC1747" w:rsidRPr="00E34880">
        <w:rPr>
          <w:rFonts w:ascii="Times New Roman" w:hAnsi="Times New Roman" w:cs="Times New Roman"/>
          <w:sz w:val="24"/>
          <w:szCs w:val="24"/>
        </w:rPr>
        <w:t>2002 (2) ZLR 580(H)</w:t>
      </w:r>
      <w:r w:rsidR="007927E2" w:rsidRPr="00E34880">
        <w:rPr>
          <w:rFonts w:ascii="Times New Roman" w:hAnsi="Times New Roman" w:cs="Times New Roman"/>
          <w:sz w:val="24"/>
          <w:szCs w:val="24"/>
        </w:rPr>
        <w:t>.</w:t>
      </w:r>
      <w:r w:rsidR="007927E2" w:rsidRPr="00E34880">
        <w:rPr>
          <w:rFonts w:ascii="Times New Roman" w:hAnsi="Times New Roman" w:cs="Times New Roman"/>
          <w:i/>
          <w:sz w:val="24"/>
          <w:szCs w:val="24"/>
        </w:rPr>
        <w:t xml:space="preserve"> </w:t>
      </w:r>
      <w:r w:rsidR="00DC1747" w:rsidRPr="00E34880">
        <w:rPr>
          <w:rFonts w:ascii="Times New Roman" w:hAnsi="Times New Roman" w:cs="Times New Roman"/>
          <w:sz w:val="24"/>
          <w:szCs w:val="24"/>
        </w:rPr>
        <w:t>A</w:t>
      </w:r>
      <w:r w:rsidR="002B3812" w:rsidRPr="00E34880">
        <w:rPr>
          <w:rFonts w:ascii="Times New Roman" w:hAnsi="Times New Roman" w:cs="Times New Roman"/>
          <w:sz w:val="24"/>
          <w:szCs w:val="24"/>
        </w:rPr>
        <w:t xml:space="preserve">uthorities acknowledge the drastic and extraordinary nature of this remedy hence the requirement for the plaintiff’s case to be unassailable before summary judgment may be granted.  </w:t>
      </w:r>
      <w:r w:rsidR="007927E2" w:rsidRPr="00E34880">
        <w:rPr>
          <w:rFonts w:ascii="Times New Roman" w:hAnsi="Times New Roman" w:cs="Times New Roman"/>
          <w:sz w:val="24"/>
          <w:szCs w:val="24"/>
        </w:rPr>
        <w:t xml:space="preserve">In the case of </w:t>
      </w:r>
      <w:r w:rsidR="007927E2" w:rsidRPr="00E34880">
        <w:rPr>
          <w:rFonts w:ascii="Times New Roman" w:hAnsi="Times New Roman" w:cs="Times New Roman"/>
          <w:i/>
          <w:sz w:val="24"/>
          <w:szCs w:val="24"/>
        </w:rPr>
        <w:t xml:space="preserve">Jena </w:t>
      </w:r>
      <w:r w:rsidR="007927E2" w:rsidRPr="00E34880">
        <w:rPr>
          <w:rFonts w:ascii="Times New Roman" w:hAnsi="Times New Roman" w:cs="Times New Roman"/>
          <w:sz w:val="24"/>
          <w:szCs w:val="24"/>
        </w:rPr>
        <w:t>v</w:t>
      </w:r>
      <w:r w:rsidR="007927E2" w:rsidRPr="00E34880">
        <w:rPr>
          <w:rFonts w:ascii="Times New Roman" w:hAnsi="Times New Roman" w:cs="Times New Roman"/>
          <w:i/>
          <w:sz w:val="24"/>
          <w:szCs w:val="24"/>
        </w:rPr>
        <w:t xml:space="preserve"> Nechipote </w:t>
      </w:r>
      <w:r w:rsidR="007927E2" w:rsidRPr="00E34880">
        <w:rPr>
          <w:rFonts w:ascii="Times New Roman" w:hAnsi="Times New Roman" w:cs="Times New Roman"/>
          <w:sz w:val="24"/>
          <w:szCs w:val="24"/>
        </w:rPr>
        <w:t>1986 (1) ZLR 29(SC), it was held that all that a defendant must show in order forestall the granting of summary judgment is that “there is a mere possibility of his success”, “he has a plausible case”, there is a triable issue, or “there is a reasonable possibility that an injustice may be done if summary judgment is granted”.</w:t>
      </w:r>
      <w:r w:rsidR="00C53C12" w:rsidRPr="00E34880">
        <w:rPr>
          <w:rFonts w:ascii="Times New Roman" w:hAnsi="Times New Roman" w:cs="Times New Roman"/>
          <w:sz w:val="24"/>
          <w:szCs w:val="24"/>
        </w:rPr>
        <w:t xml:space="preserve"> It is trite that the defence raised must be valid at law and not inherently unconvincing.</w:t>
      </w:r>
    </w:p>
    <w:p w:rsidR="008577BB" w:rsidRPr="00E34880" w:rsidRDefault="00E34880" w:rsidP="00E348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53C12" w:rsidRPr="00E34880">
        <w:rPr>
          <w:rFonts w:ascii="Times New Roman" w:hAnsi="Times New Roman" w:cs="Times New Roman"/>
          <w:sz w:val="24"/>
          <w:szCs w:val="24"/>
        </w:rPr>
        <w:t xml:space="preserve">In its plea the respondent takes a “point </w:t>
      </w:r>
      <w:r w:rsidR="00C53C12" w:rsidRPr="00E34880">
        <w:rPr>
          <w:rFonts w:ascii="Times New Roman" w:hAnsi="Times New Roman" w:cs="Times New Roman"/>
          <w:i/>
          <w:sz w:val="24"/>
          <w:szCs w:val="24"/>
        </w:rPr>
        <w:t>in limine</w:t>
      </w:r>
      <w:r w:rsidR="00C53C12" w:rsidRPr="00E34880">
        <w:rPr>
          <w:rFonts w:ascii="Times New Roman" w:hAnsi="Times New Roman" w:cs="Times New Roman"/>
          <w:sz w:val="24"/>
          <w:szCs w:val="24"/>
        </w:rPr>
        <w:t xml:space="preserve">” that the Sheriff of the High Court ought to have been cited.  Clearly that point is without merit as the Sheriff has no interest in the eviction proceedings.  His mandate ended when he transferred the property into the name of the applicant. There is no relief which is being sought against the Sheriff in the summons.  In paragraph 2 of the plea the respondent makes the startling claim that he “is the rightful owner” of the property from which his eviction is being sought. Ownership in immovable property is constituted by </w:t>
      </w:r>
      <w:r w:rsidR="00F6678D">
        <w:rPr>
          <w:rFonts w:ascii="Times New Roman" w:hAnsi="Times New Roman" w:cs="Times New Roman"/>
          <w:sz w:val="24"/>
          <w:szCs w:val="24"/>
        </w:rPr>
        <w:t xml:space="preserve">a </w:t>
      </w:r>
      <w:r w:rsidR="00C53C12" w:rsidRPr="00E34880">
        <w:rPr>
          <w:rFonts w:ascii="Times New Roman" w:hAnsi="Times New Roman" w:cs="Times New Roman"/>
          <w:sz w:val="24"/>
          <w:szCs w:val="24"/>
        </w:rPr>
        <w:t xml:space="preserve">Deed of </w:t>
      </w:r>
      <w:r w:rsidR="00C53C12" w:rsidRPr="00E34880">
        <w:rPr>
          <w:rFonts w:ascii="Times New Roman" w:hAnsi="Times New Roman" w:cs="Times New Roman"/>
          <w:sz w:val="24"/>
          <w:szCs w:val="24"/>
        </w:rPr>
        <w:lastRenderedPageBreak/>
        <w:t>Transfer.</w:t>
      </w:r>
      <w:r w:rsidR="008577BB" w:rsidRPr="00E34880">
        <w:rPr>
          <w:rFonts w:ascii="Times New Roman" w:hAnsi="Times New Roman" w:cs="Times New Roman"/>
          <w:sz w:val="24"/>
          <w:szCs w:val="24"/>
        </w:rPr>
        <w:t xml:space="preserve"> The same claim is repeated in paragraphs 7, 8.1, 11.</w:t>
      </w:r>
      <w:r w:rsidR="00C53C12" w:rsidRPr="00E34880">
        <w:rPr>
          <w:rFonts w:ascii="Times New Roman" w:hAnsi="Times New Roman" w:cs="Times New Roman"/>
          <w:sz w:val="24"/>
          <w:szCs w:val="24"/>
        </w:rPr>
        <w:t xml:space="preserve"> The</w:t>
      </w:r>
      <w:r w:rsidR="008577BB" w:rsidRPr="00E34880">
        <w:rPr>
          <w:rFonts w:ascii="Times New Roman" w:hAnsi="Times New Roman" w:cs="Times New Roman"/>
          <w:sz w:val="24"/>
          <w:szCs w:val="24"/>
        </w:rPr>
        <w:t xml:space="preserve"> deed of transfer produced records the applicant as the owner of the property. That deed has not been set aside.  Clearly, therefore, the respondent’s defence which is predicated upon a claim to ownership of the property is bad at law.</w:t>
      </w:r>
    </w:p>
    <w:p w:rsidR="00436D8A" w:rsidRPr="00E34880" w:rsidRDefault="00E34880" w:rsidP="00E348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577BB" w:rsidRPr="00E34880">
        <w:rPr>
          <w:rFonts w:ascii="Times New Roman" w:hAnsi="Times New Roman" w:cs="Times New Roman"/>
          <w:sz w:val="24"/>
          <w:szCs w:val="24"/>
        </w:rPr>
        <w:t xml:space="preserve">Costs in this case were awarded on the attorney-client scale against the respondent and its legal practitioners </w:t>
      </w:r>
      <w:r w:rsidR="008577BB" w:rsidRPr="00E34880">
        <w:rPr>
          <w:rFonts w:ascii="Times New Roman" w:hAnsi="Times New Roman" w:cs="Times New Roman"/>
          <w:i/>
          <w:sz w:val="24"/>
          <w:szCs w:val="24"/>
        </w:rPr>
        <w:t>de bonis propriis</w:t>
      </w:r>
      <w:r w:rsidR="008577BB" w:rsidRPr="00E34880">
        <w:rPr>
          <w:rFonts w:ascii="Times New Roman" w:hAnsi="Times New Roman" w:cs="Times New Roman"/>
          <w:sz w:val="24"/>
          <w:szCs w:val="24"/>
        </w:rPr>
        <w:t>. The special order of costs and the award of costs against the legal practitioners are justified by the vexatiousness of the defences raised by the respondent.  The defence is an unacceptable abuse of the procedures of this court</w:t>
      </w:r>
      <w:r w:rsidR="00223224" w:rsidRPr="00E34880">
        <w:rPr>
          <w:rFonts w:ascii="Times New Roman" w:hAnsi="Times New Roman" w:cs="Times New Roman"/>
          <w:sz w:val="24"/>
          <w:szCs w:val="24"/>
        </w:rPr>
        <w:t xml:space="preserve">, see </w:t>
      </w:r>
      <w:r w:rsidR="00223224" w:rsidRPr="00E34880">
        <w:rPr>
          <w:rFonts w:ascii="Times New Roman" w:hAnsi="Times New Roman" w:cs="Times New Roman"/>
          <w:i/>
          <w:sz w:val="24"/>
          <w:szCs w:val="24"/>
        </w:rPr>
        <w:t xml:space="preserve">Nyandoro </w:t>
      </w:r>
      <w:r w:rsidR="00223224" w:rsidRPr="00E34880">
        <w:rPr>
          <w:rFonts w:ascii="Times New Roman" w:hAnsi="Times New Roman" w:cs="Times New Roman"/>
          <w:sz w:val="24"/>
          <w:szCs w:val="24"/>
        </w:rPr>
        <w:t>v</w:t>
      </w:r>
      <w:r w:rsidR="00223224" w:rsidRPr="00E34880">
        <w:rPr>
          <w:rFonts w:ascii="Times New Roman" w:hAnsi="Times New Roman" w:cs="Times New Roman"/>
          <w:i/>
          <w:sz w:val="24"/>
          <w:szCs w:val="24"/>
        </w:rPr>
        <w:t xml:space="preserve"> Sithole &amp; Ors </w:t>
      </w:r>
      <w:r w:rsidR="00223224" w:rsidRPr="00E34880">
        <w:rPr>
          <w:rFonts w:ascii="Times New Roman" w:hAnsi="Times New Roman" w:cs="Times New Roman"/>
          <w:sz w:val="24"/>
          <w:szCs w:val="24"/>
        </w:rPr>
        <w:t>1999 (2) ZLR 353(H) at 357</w:t>
      </w:r>
      <w:r w:rsidR="00DC2112" w:rsidRPr="00E34880">
        <w:rPr>
          <w:rFonts w:ascii="Times New Roman" w:hAnsi="Times New Roman" w:cs="Times New Roman"/>
          <w:sz w:val="24"/>
          <w:szCs w:val="24"/>
        </w:rPr>
        <w:t xml:space="preserve">; </w:t>
      </w:r>
      <w:r w:rsidR="00DC2112" w:rsidRPr="00E34880">
        <w:rPr>
          <w:rFonts w:ascii="Times New Roman" w:hAnsi="Times New Roman" w:cs="Times New Roman"/>
          <w:i/>
          <w:sz w:val="24"/>
          <w:szCs w:val="24"/>
        </w:rPr>
        <w:t xml:space="preserve">Matamisa </w:t>
      </w:r>
      <w:r w:rsidR="00DC2112" w:rsidRPr="00E34880">
        <w:rPr>
          <w:rFonts w:ascii="Times New Roman" w:hAnsi="Times New Roman" w:cs="Times New Roman"/>
          <w:sz w:val="24"/>
          <w:szCs w:val="24"/>
        </w:rPr>
        <w:t>v</w:t>
      </w:r>
      <w:r w:rsidR="00DC2112" w:rsidRPr="00E34880">
        <w:rPr>
          <w:rFonts w:ascii="Times New Roman" w:hAnsi="Times New Roman" w:cs="Times New Roman"/>
          <w:i/>
          <w:sz w:val="24"/>
          <w:szCs w:val="24"/>
        </w:rPr>
        <w:t xml:space="preserve"> Mutare City Council &amp; Anor </w:t>
      </w:r>
      <w:r w:rsidR="00DC2112" w:rsidRPr="00E34880">
        <w:rPr>
          <w:rFonts w:ascii="Times New Roman" w:hAnsi="Times New Roman" w:cs="Times New Roman"/>
          <w:sz w:val="24"/>
          <w:szCs w:val="24"/>
        </w:rPr>
        <w:t xml:space="preserve">1998 (2) ZLR zlr 439(S); </w:t>
      </w:r>
      <w:r w:rsidR="00DC2112" w:rsidRPr="00E34880">
        <w:rPr>
          <w:rFonts w:ascii="Times New Roman" w:hAnsi="Times New Roman" w:cs="Times New Roman"/>
          <w:i/>
          <w:sz w:val="24"/>
          <w:szCs w:val="24"/>
        </w:rPr>
        <w:t xml:space="preserve">Doelcam (Pvt) Ltd </w:t>
      </w:r>
      <w:r w:rsidR="00DC2112" w:rsidRPr="00E34880">
        <w:rPr>
          <w:rFonts w:ascii="Times New Roman" w:hAnsi="Times New Roman" w:cs="Times New Roman"/>
          <w:sz w:val="24"/>
          <w:szCs w:val="24"/>
        </w:rPr>
        <w:t>v</w:t>
      </w:r>
      <w:r w:rsidR="00DC2112" w:rsidRPr="00E34880">
        <w:rPr>
          <w:rFonts w:ascii="Times New Roman" w:hAnsi="Times New Roman" w:cs="Times New Roman"/>
          <w:i/>
          <w:sz w:val="24"/>
          <w:szCs w:val="24"/>
        </w:rPr>
        <w:t xml:space="preserve"> Pichanick &amp; Ors </w:t>
      </w:r>
      <w:r w:rsidR="00DC2112" w:rsidRPr="00E34880">
        <w:rPr>
          <w:rFonts w:ascii="Times New Roman" w:hAnsi="Times New Roman" w:cs="Times New Roman"/>
          <w:sz w:val="24"/>
          <w:szCs w:val="24"/>
        </w:rPr>
        <w:t>1999 (1) ZLR 390(H)</w:t>
      </w:r>
      <w:r w:rsidR="008577BB" w:rsidRPr="00E34880">
        <w:rPr>
          <w:rFonts w:ascii="Times New Roman" w:hAnsi="Times New Roman" w:cs="Times New Roman"/>
          <w:sz w:val="24"/>
          <w:szCs w:val="24"/>
        </w:rPr>
        <w:t>. It is unacceptable for a legal practitioner to advance on behalf of a client a defence which is groundless at law. In this case the repeated claim that the respondent “is the owner of the property” made in the face of a deed of transfer which shows who the owner of the property is clearly amounts to abuse of procedures of court. If the respondent is challenging the passing of title to the applicant</w:t>
      </w:r>
      <w:r w:rsidR="002106D4">
        <w:rPr>
          <w:rFonts w:ascii="Times New Roman" w:hAnsi="Times New Roman" w:cs="Times New Roman"/>
          <w:sz w:val="24"/>
          <w:szCs w:val="24"/>
        </w:rPr>
        <w:t>,</w:t>
      </w:r>
      <w:r w:rsidR="008577BB" w:rsidRPr="00E34880">
        <w:rPr>
          <w:rFonts w:ascii="Times New Roman" w:hAnsi="Times New Roman" w:cs="Times New Roman"/>
          <w:sz w:val="24"/>
          <w:szCs w:val="24"/>
        </w:rPr>
        <w:t xml:space="preserve"> that is clearly a separate matter which should be pursued separately.</w:t>
      </w:r>
      <w:r w:rsidR="00436D8A" w:rsidRPr="00E34880">
        <w:rPr>
          <w:rFonts w:ascii="Times New Roman" w:hAnsi="Times New Roman" w:cs="Times New Roman"/>
          <w:sz w:val="24"/>
          <w:szCs w:val="24"/>
        </w:rPr>
        <w:t xml:space="preserve"> The separate proceedings do not create real right which would entitle the respondent to remain in occupation of the property without the authority of the applicant. Any lawyer would readily understand this position of the law.</w:t>
      </w:r>
    </w:p>
    <w:p w:rsidR="00436D8A" w:rsidRPr="00E34880" w:rsidRDefault="00E34880" w:rsidP="00E348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36D8A" w:rsidRPr="00E34880">
        <w:rPr>
          <w:rFonts w:ascii="Times New Roman" w:hAnsi="Times New Roman" w:cs="Times New Roman"/>
          <w:sz w:val="24"/>
          <w:szCs w:val="24"/>
        </w:rPr>
        <w:t>It is for the above reasons that relief was granted in terms of the draft order.</w:t>
      </w:r>
    </w:p>
    <w:p w:rsidR="00436D8A" w:rsidRPr="00E34880" w:rsidRDefault="00436D8A" w:rsidP="00E34880">
      <w:pPr>
        <w:spacing w:after="0" w:line="240" w:lineRule="auto"/>
        <w:jc w:val="both"/>
        <w:rPr>
          <w:rFonts w:ascii="Times New Roman" w:hAnsi="Times New Roman" w:cs="Times New Roman"/>
          <w:sz w:val="24"/>
          <w:szCs w:val="24"/>
        </w:rPr>
      </w:pPr>
    </w:p>
    <w:p w:rsidR="00E34880" w:rsidRDefault="00E34880" w:rsidP="00E34880">
      <w:pPr>
        <w:spacing w:after="0" w:line="240" w:lineRule="auto"/>
        <w:jc w:val="both"/>
        <w:rPr>
          <w:rFonts w:ascii="Times New Roman" w:hAnsi="Times New Roman" w:cs="Times New Roman"/>
          <w:i/>
          <w:sz w:val="24"/>
          <w:szCs w:val="24"/>
        </w:rPr>
      </w:pPr>
    </w:p>
    <w:p w:rsidR="00E34880" w:rsidRDefault="00E34880" w:rsidP="00E34880">
      <w:pPr>
        <w:spacing w:after="0" w:line="240" w:lineRule="auto"/>
        <w:jc w:val="both"/>
        <w:rPr>
          <w:rFonts w:ascii="Times New Roman" w:hAnsi="Times New Roman" w:cs="Times New Roman"/>
          <w:i/>
          <w:sz w:val="24"/>
          <w:szCs w:val="24"/>
        </w:rPr>
      </w:pPr>
    </w:p>
    <w:p w:rsidR="00E34880" w:rsidRDefault="00E34880" w:rsidP="00E34880">
      <w:pPr>
        <w:spacing w:after="0" w:line="240" w:lineRule="auto"/>
        <w:jc w:val="both"/>
        <w:rPr>
          <w:rFonts w:ascii="Times New Roman" w:hAnsi="Times New Roman" w:cs="Times New Roman"/>
          <w:i/>
          <w:sz w:val="24"/>
          <w:szCs w:val="24"/>
        </w:rPr>
      </w:pPr>
    </w:p>
    <w:p w:rsidR="00E34880" w:rsidRDefault="00E34880" w:rsidP="00E34880">
      <w:pPr>
        <w:spacing w:after="0" w:line="240" w:lineRule="auto"/>
        <w:jc w:val="both"/>
        <w:rPr>
          <w:rFonts w:ascii="Times New Roman" w:hAnsi="Times New Roman" w:cs="Times New Roman"/>
          <w:i/>
          <w:sz w:val="24"/>
          <w:szCs w:val="24"/>
        </w:rPr>
      </w:pPr>
    </w:p>
    <w:p w:rsidR="00223224" w:rsidRPr="00E34880" w:rsidRDefault="00223224" w:rsidP="00E34880">
      <w:pPr>
        <w:spacing w:after="0" w:line="240" w:lineRule="auto"/>
        <w:jc w:val="both"/>
        <w:rPr>
          <w:rFonts w:ascii="Times New Roman" w:hAnsi="Times New Roman" w:cs="Times New Roman"/>
          <w:sz w:val="24"/>
          <w:szCs w:val="24"/>
        </w:rPr>
      </w:pPr>
      <w:r w:rsidRPr="00E34880">
        <w:rPr>
          <w:rFonts w:ascii="Times New Roman" w:hAnsi="Times New Roman" w:cs="Times New Roman"/>
          <w:i/>
          <w:sz w:val="24"/>
          <w:szCs w:val="24"/>
        </w:rPr>
        <w:t>Ahmed &amp; Ziyambi</w:t>
      </w:r>
      <w:r w:rsidRPr="00E34880">
        <w:rPr>
          <w:rFonts w:ascii="Times New Roman" w:hAnsi="Times New Roman" w:cs="Times New Roman"/>
          <w:sz w:val="24"/>
          <w:szCs w:val="24"/>
        </w:rPr>
        <w:t>, applicant’s legal practitioners</w:t>
      </w:r>
    </w:p>
    <w:p w:rsidR="001952C8" w:rsidRPr="00E34880" w:rsidRDefault="00223224" w:rsidP="00E34880">
      <w:pPr>
        <w:spacing w:after="0" w:line="240" w:lineRule="auto"/>
        <w:jc w:val="both"/>
        <w:rPr>
          <w:rFonts w:ascii="Times New Roman" w:hAnsi="Times New Roman" w:cs="Times New Roman"/>
          <w:sz w:val="24"/>
          <w:szCs w:val="24"/>
        </w:rPr>
      </w:pPr>
      <w:r w:rsidRPr="00E34880">
        <w:rPr>
          <w:rFonts w:ascii="Times New Roman" w:hAnsi="Times New Roman" w:cs="Times New Roman"/>
          <w:i/>
          <w:sz w:val="24"/>
          <w:szCs w:val="24"/>
        </w:rPr>
        <w:t>Donsa-Nkomo &amp; Mutangi Legal Practice</w:t>
      </w:r>
      <w:r w:rsidRPr="00E34880">
        <w:rPr>
          <w:rFonts w:ascii="Times New Roman" w:hAnsi="Times New Roman" w:cs="Times New Roman"/>
          <w:sz w:val="24"/>
          <w:szCs w:val="24"/>
        </w:rPr>
        <w:t>, respondent’s legal practitioners</w:t>
      </w:r>
      <w:r w:rsidR="008577BB" w:rsidRPr="00E34880">
        <w:rPr>
          <w:rFonts w:ascii="Times New Roman" w:hAnsi="Times New Roman" w:cs="Times New Roman"/>
          <w:sz w:val="24"/>
          <w:szCs w:val="24"/>
        </w:rPr>
        <w:t xml:space="preserve"> </w:t>
      </w:r>
      <w:r w:rsidR="00C53C12" w:rsidRPr="00E34880">
        <w:rPr>
          <w:rFonts w:ascii="Times New Roman" w:hAnsi="Times New Roman" w:cs="Times New Roman"/>
          <w:sz w:val="24"/>
          <w:szCs w:val="24"/>
        </w:rPr>
        <w:t xml:space="preserve">  </w:t>
      </w:r>
      <w:r w:rsidR="002B3812" w:rsidRPr="00E34880">
        <w:rPr>
          <w:rFonts w:ascii="Times New Roman" w:hAnsi="Times New Roman" w:cs="Times New Roman"/>
          <w:sz w:val="24"/>
          <w:szCs w:val="24"/>
        </w:rPr>
        <w:t xml:space="preserve"> </w:t>
      </w:r>
      <w:r w:rsidR="004040C4" w:rsidRPr="00E34880">
        <w:rPr>
          <w:rFonts w:ascii="Times New Roman" w:hAnsi="Times New Roman" w:cs="Times New Roman"/>
          <w:sz w:val="24"/>
          <w:szCs w:val="24"/>
        </w:rPr>
        <w:t xml:space="preserve"> </w:t>
      </w:r>
      <w:r w:rsidR="005866C6" w:rsidRPr="00E34880">
        <w:rPr>
          <w:rFonts w:ascii="Times New Roman" w:hAnsi="Times New Roman" w:cs="Times New Roman"/>
          <w:sz w:val="24"/>
          <w:szCs w:val="24"/>
        </w:rPr>
        <w:t xml:space="preserve"> </w:t>
      </w:r>
    </w:p>
    <w:sectPr w:rsidR="001952C8" w:rsidRPr="00E3488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161" w:rsidRDefault="00F86161" w:rsidP="00E34880">
      <w:pPr>
        <w:spacing w:after="0" w:line="240" w:lineRule="auto"/>
      </w:pPr>
      <w:r>
        <w:separator/>
      </w:r>
    </w:p>
  </w:endnote>
  <w:endnote w:type="continuationSeparator" w:id="0">
    <w:p w:rsidR="00F86161" w:rsidRDefault="00F86161" w:rsidP="00E34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161" w:rsidRDefault="00F86161" w:rsidP="00E34880">
      <w:pPr>
        <w:spacing w:after="0" w:line="240" w:lineRule="auto"/>
      </w:pPr>
      <w:r>
        <w:separator/>
      </w:r>
    </w:p>
  </w:footnote>
  <w:footnote w:type="continuationSeparator" w:id="0">
    <w:p w:rsidR="00F86161" w:rsidRDefault="00F86161" w:rsidP="00E34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313953"/>
      <w:docPartObj>
        <w:docPartGallery w:val="Page Numbers (Top of Page)"/>
        <w:docPartUnique/>
      </w:docPartObj>
    </w:sdtPr>
    <w:sdtEndPr>
      <w:rPr>
        <w:noProof/>
      </w:rPr>
    </w:sdtEndPr>
    <w:sdtContent>
      <w:p w:rsidR="00E34880" w:rsidRDefault="00E34880">
        <w:pPr>
          <w:pStyle w:val="Header"/>
          <w:jc w:val="right"/>
          <w:rPr>
            <w:noProof/>
          </w:rPr>
        </w:pPr>
        <w:r>
          <w:fldChar w:fldCharType="begin"/>
        </w:r>
        <w:r>
          <w:instrText xml:space="preserve"> PAGE   \* MERGEFORMAT </w:instrText>
        </w:r>
        <w:r>
          <w:fldChar w:fldCharType="separate"/>
        </w:r>
        <w:r w:rsidR="0087579E">
          <w:rPr>
            <w:noProof/>
          </w:rPr>
          <w:t>1</w:t>
        </w:r>
        <w:r>
          <w:rPr>
            <w:noProof/>
          </w:rPr>
          <w:fldChar w:fldCharType="end"/>
        </w:r>
      </w:p>
      <w:p w:rsidR="00E34880" w:rsidRDefault="00E34880">
        <w:pPr>
          <w:pStyle w:val="Header"/>
          <w:jc w:val="right"/>
          <w:rPr>
            <w:noProof/>
          </w:rPr>
        </w:pPr>
        <w:r>
          <w:rPr>
            <w:noProof/>
          </w:rPr>
          <w:t>HH</w:t>
        </w:r>
        <w:r w:rsidR="007927FC">
          <w:rPr>
            <w:noProof/>
          </w:rPr>
          <w:t xml:space="preserve"> 834-18</w:t>
        </w:r>
      </w:p>
      <w:p w:rsidR="00E34880" w:rsidRDefault="00E34880">
        <w:pPr>
          <w:pStyle w:val="Header"/>
          <w:jc w:val="right"/>
        </w:pPr>
        <w:r>
          <w:rPr>
            <w:noProof/>
          </w:rPr>
          <w:t>HC 10042/17</w:t>
        </w:r>
      </w:p>
    </w:sdtContent>
  </w:sdt>
  <w:p w:rsidR="00E34880" w:rsidRDefault="00E3488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820EB7"/>
    <w:multiLevelType w:val="hybridMultilevel"/>
    <w:tmpl w:val="7804A462"/>
    <w:lvl w:ilvl="0" w:tplc="D5525C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DB2FE1"/>
    <w:multiLevelType w:val="hybridMultilevel"/>
    <w:tmpl w:val="89DAFF0A"/>
    <w:lvl w:ilvl="0" w:tplc="ED2668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9B"/>
    <w:rsid w:val="00051717"/>
    <w:rsid w:val="000D3F56"/>
    <w:rsid w:val="001952C8"/>
    <w:rsid w:val="002106D4"/>
    <w:rsid w:val="00223224"/>
    <w:rsid w:val="002B3812"/>
    <w:rsid w:val="00371949"/>
    <w:rsid w:val="004040C4"/>
    <w:rsid w:val="00436D8A"/>
    <w:rsid w:val="00567B42"/>
    <w:rsid w:val="005866C6"/>
    <w:rsid w:val="0077472E"/>
    <w:rsid w:val="0079079B"/>
    <w:rsid w:val="007927E2"/>
    <w:rsid w:val="007927FC"/>
    <w:rsid w:val="00807452"/>
    <w:rsid w:val="008577BB"/>
    <w:rsid w:val="0087579E"/>
    <w:rsid w:val="00900440"/>
    <w:rsid w:val="009C7020"/>
    <w:rsid w:val="00A67455"/>
    <w:rsid w:val="00B22100"/>
    <w:rsid w:val="00B829A3"/>
    <w:rsid w:val="00BC58AE"/>
    <w:rsid w:val="00C53C12"/>
    <w:rsid w:val="00C93593"/>
    <w:rsid w:val="00DC1747"/>
    <w:rsid w:val="00DC2112"/>
    <w:rsid w:val="00E34880"/>
    <w:rsid w:val="00F6678D"/>
    <w:rsid w:val="00F8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C2DE18-CB0A-45E0-8C43-A10B95B0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79B"/>
    <w:pPr>
      <w:ind w:left="720"/>
      <w:contextualSpacing/>
    </w:pPr>
  </w:style>
  <w:style w:type="paragraph" w:styleId="Header">
    <w:name w:val="header"/>
    <w:basedOn w:val="Normal"/>
    <w:link w:val="HeaderChar"/>
    <w:uiPriority w:val="99"/>
    <w:unhideWhenUsed/>
    <w:rsid w:val="00E348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880"/>
  </w:style>
  <w:style w:type="paragraph" w:styleId="Footer">
    <w:name w:val="footer"/>
    <w:basedOn w:val="Normal"/>
    <w:link w:val="FooterChar"/>
    <w:uiPriority w:val="99"/>
    <w:unhideWhenUsed/>
    <w:rsid w:val="00E34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880"/>
  </w:style>
  <w:style w:type="paragraph" w:styleId="BalloonText">
    <w:name w:val="Balloon Text"/>
    <w:basedOn w:val="Normal"/>
    <w:link w:val="BalloonTextChar"/>
    <w:uiPriority w:val="99"/>
    <w:semiHidden/>
    <w:unhideWhenUsed/>
    <w:rsid w:val="00B82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9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JSC</cp:lastModifiedBy>
  <cp:revision>2</cp:revision>
  <cp:lastPrinted>2018-12-19T18:29:00Z</cp:lastPrinted>
  <dcterms:created xsi:type="dcterms:W3CDTF">2019-01-03T12:51:00Z</dcterms:created>
  <dcterms:modified xsi:type="dcterms:W3CDTF">2019-01-03T12:51:00Z</dcterms:modified>
</cp:coreProperties>
</file>