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0CBE9" w14:textId="4681EAED" w:rsidR="00FB5AEA" w:rsidRDefault="00904A95" w:rsidP="004A643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CITY OF HARARE </w:t>
      </w:r>
    </w:p>
    <w:p w14:paraId="75AB7817" w14:textId="72D82403" w:rsidR="00FB5AEA" w:rsidRDefault="00FB5AEA"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E2B1160" w14:textId="616B62B3" w:rsidR="00FB5AEA" w:rsidRDefault="00904A95"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KANDRICK INVESTMENTS PRIVATE LIMITED </w:t>
      </w:r>
    </w:p>
    <w:p w14:paraId="40984F80" w14:textId="5ED5583D" w:rsidR="00904A95" w:rsidRDefault="00904A95"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906030A" w14:textId="5AB7B79A" w:rsidR="004A6430" w:rsidRDefault="00904A95" w:rsidP="004A643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RUFARO MARKETING </w:t>
      </w:r>
      <w:r w:rsidR="00515F76">
        <w:rPr>
          <w:rFonts w:ascii="Times New Roman" w:hAnsi="Times New Roman" w:cs="Times New Roman"/>
          <w:sz w:val="24"/>
          <w:szCs w:val="24"/>
        </w:rPr>
        <w:t xml:space="preserve">(PRIVATE) LIMITED </w:t>
      </w:r>
    </w:p>
    <w:p w14:paraId="5FD0A66E" w14:textId="77777777" w:rsidR="00904A95" w:rsidRDefault="00904A95" w:rsidP="004A6430">
      <w:pPr>
        <w:spacing w:line="240" w:lineRule="auto"/>
        <w:jc w:val="both"/>
        <w:rPr>
          <w:rFonts w:ascii="Times New Roman" w:hAnsi="Times New Roman" w:cs="Times New Roman"/>
          <w:sz w:val="24"/>
          <w:szCs w:val="24"/>
        </w:rPr>
      </w:pPr>
    </w:p>
    <w:p w14:paraId="65467600" w14:textId="77777777" w:rsidR="00FB5AEA" w:rsidRDefault="00FB5AEA"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B29CDF1" w14:textId="7808FD63" w:rsidR="00FB5AEA" w:rsidRDefault="00904A95"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TSANGA &amp; </w:t>
      </w:r>
      <w:r w:rsidR="00FB5AEA">
        <w:rPr>
          <w:rFonts w:ascii="Times New Roman" w:hAnsi="Times New Roman" w:cs="Times New Roman"/>
          <w:sz w:val="24"/>
          <w:szCs w:val="24"/>
        </w:rPr>
        <w:t xml:space="preserve">MUSITHU </w:t>
      </w:r>
      <w:r w:rsidR="00AA7D34">
        <w:rPr>
          <w:rFonts w:ascii="Times New Roman" w:hAnsi="Times New Roman" w:cs="Times New Roman"/>
          <w:sz w:val="24"/>
          <w:szCs w:val="24"/>
        </w:rPr>
        <w:t>J</w:t>
      </w:r>
      <w:r w:rsidR="00FB5AEA">
        <w:rPr>
          <w:rFonts w:ascii="Times New Roman" w:hAnsi="Times New Roman" w:cs="Times New Roman"/>
          <w:sz w:val="24"/>
          <w:szCs w:val="24"/>
        </w:rPr>
        <w:t>J</w:t>
      </w:r>
    </w:p>
    <w:p w14:paraId="6DCE7EA0" w14:textId="1B7B6A22" w:rsidR="00FB5AEA" w:rsidRDefault="00FB5AEA" w:rsidP="004A6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24697">
        <w:rPr>
          <w:rFonts w:ascii="Times New Roman" w:hAnsi="Times New Roman" w:cs="Times New Roman"/>
          <w:sz w:val="24"/>
          <w:szCs w:val="24"/>
        </w:rPr>
        <w:t>,</w:t>
      </w:r>
      <w:r w:rsidR="00E47BDA">
        <w:rPr>
          <w:rFonts w:ascii="Times New Roman" w:hAnsi="Times New Roman" w:cs="Times New Roman"/>
          <w:sz w:val="24"/>
          <w:szCs w:val="24"/>
        </w:rPr>
        <w:t xml:space="preserve"> </w:t>
      </w:r>
      <w:r w:rsidR="00C90D39">
        <w:rPr>
          <w:rFonts w:ascii="Times New Roman" w:hAnsi="Times New Roman" w:cs="Times New Roman"/>
          <w:sz w:val="24"/>
          <w:szCs w:val="24"/>
        </w:rPr>
        <w:t>13 July 2023</w:t>
      </w:r>
      <w:r w:rsidR="00E47BDA" w:rsidRPr="00904A95">
        <w:rPr>
          <w:rFonts w:ascii="Times New Roman" w:hAnsi="Times New Roman" w:cs="Times New Roman"/>
          <w:color w:val="FF0000"/>
          <w:sz w:val="24"/>
          <w:szCs w:val="24"/>
        </w:rPr>
        <w:t xml:space="preserve"> </w:t>
      </w:r>
      <w:r>
        <w:rPr>
          <w:rFonts w:ascii="Times New Roman" w:hAnsi="Times New Roman" w:cs="Times New Roman"/>
          <w:sz w:val="24"/>
          <w:szCs w:val="24"/>
        </w:rPr>
        <w:t xml:space="preserve">and </w:t>
      </w:r>
      <w:r w:rsidR="006C3B59">
        <w:rPr>
          <w:rFonts w:ascii="Times New Roman" w:hAnsi="Times New Roman" w:cs="Times New Roman"/>
          <w:sz w:val="24"/>
          <w:szCs w:val="24"/>
        </w:rPr>
        <w:t>16</w:t>
      </w:r>
      <w:r w:rsidR="00824697">
        <w:rPr>
          <w:rFonts w:ascii="Times New Roman" w:hAnsi="Times New Roman" w:cs="Times New Roman"/>
          <w:sz w:val="24"/>
          <w:szCs w:val="24"/>
        </w:rPr>
        <w:t xml:space="preserve"> </w:t>
      </w:r>
      <w:r w:rsidR="00904A95">
        <w:rPr>
          <w:rFonts w:ascii="Times New Roman" w:hAnsi="Times New Roman" w:cs="Times New Roman"/>
          <w:sz w:val="24"/>
          <w:szCs w:val="24"/>
        </w:rPr>
        <w:t>September</w:t>
      </w:r>
      <w:r>
        <w:rPr>
          <w:rFonts w:ascii="Times New Roman" w:hAnsi="Times New Roman" w:cs="Times New Roman"/>
          <w:sz w:val="24"/>
          <w:szCs w:val="24"/>
        </w:rPr>
        <w:t xml:space="preserve"> 202</w:t>
      </w:r>
      <w:r w:rsidR="00E47BDA">
        <w:rPr>
          <w:rFonts w:ascii="Times New Roman" w:hAnsi="Times New Roman" w:cs="Times New Roman"/>
          <w:sz w:val="24"/>
          <w:szCs w:val="24"/>
        </w:rPr>
        <w:t>4</w:t>
      </w:r>
    </w:p>
    <w:p w14:paraId="58833F87" w14:textId="77777777" w:rsidR="004A6430" w:rsidRDefault="004A6430" w:rsidP="004A6430">
      <w:pPr>
        <w:spacing w:after="0" w:line="240" w:lineRule="auto"/>
        <w:jc w:val="both"/>
        <w:rPr>
          <w:rFonts w:ascii="Times New Roman" w:hAnsi="Times New Roman" w:cs="Times New Roman"/>
          <w:sz w:val="24"/>
          <w:szCs w:val="24"/>
        </w:rPr>
      </w:pPr>
    </w:p>
    <w:p w14:paraId="4701F085" w14:textId="77777777" w:rsidR="004A6430" w:rsidRDefault="004A6430" w:rsidP="004A6430">
      <w:pPr>
        <w:spacing w:after="0" w:line="240" w:lineRule="auto"/>
        <w:jc w:val="both"/>
        <w:rPr>
          <w:rFonts w:ascii="Times New Roman" w:hAnsi="Times New Roman" w:cs="Times New Roman"/>
          <w:sz w:val="24"/>
          <w:szCs w:val="24"/>
        </w:rPr>
      </w:pPr>
    </w:p>
    <w:p w14:paraId="25DCA56E" w14:textId="5CE901E9" w:rsidR="00FB5AEA" w:rsidRPr="0073341D" w:rsidRDefault="00904A95" w:rsidP="00FB5A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Civil Appeal </w:t>
      </w:r>
      <w:r w:rsidR="00275458">
        <w:rPr>
          <w:rFonts w:ascii="Times New Roman" w:hAnsi="Times New Roman" w:cs="Times New Roman"/>
          <w:b/>
          <w:bCs/>
          <w:sz w:val="24"/>
          <w:szCs w:val="24"/>
        </w:rPr>
        <w:t xml:space="preserve"> </w:t>
      </w:r>
    </w:p>
    <w:p w14:paraId="1CC3369E" w14:textId="32DAF16D" w:rsidR="00FB5AEA" w:rsidRPr="00AA7D34" w:rsidRDefault="00AA7D34" w:rsidP="00AA7D3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A </w:t>
      </w:r>
      <w:r w:rsidR="00C90D39" w:rsidRPr="00AA7D34">
        <w:rPr>
          <w:rFonts w:ascii="Times New Roman" w:hAnsi="Times New Roman" w:cs="Times New Roman"/>
          <w:i/>
          <w:iCs/>
          <w:sz w:val="24"/>
          <w:szCs w:val="24"/>
        </w:rPr>
        <w:t xml:space="preserve">Moyo </w:t>
      </w:r>
      <w:r w:rsidR="00C90D39" w:rsidRPr="00AA7D34">
        <w:rPr>
          <w:rFonts w:ascii="Times New Roman" w:hAnsi="Times New Roman" w:cs="Times New Roman"/>
          <w:sz w:val="24"/>
          <w:szCs w:val="24"/>
        </w:rPr>
        <w:t>with N</w:t>
      </w:r>
      <w:r>
        <w:rPr>
          <w:rFonts w:ascii="Times New Roman" w:hAnsi="Times New Roman" w:cs="Times New Roman"/>
          <w:sz w:val="24"/>
          <w:szCs w:val="24"/>
        </w:rPr>
        <w:t xml:space="preserve"> </w:t>
      </w:r>
      <w:r w:rsidR="00C90D39" w:rsidRPr="00AA7D34">
        <w:rPr>
          <w:rFonts w:ascii="Times New Roman" w:hAnsi="Times New Roman" w:cs="Times New Roman"/>
          <w:sz w:val="24"/>
          <w:szCs w:val="24"/>
        </w:rPr>
        <w:t>B</w:t>
      </w:r>
      <w:r>
        <w:rPr>
          <w:rFonts w:ascii="Times New Roman" w:hAnsi="Times New Roman" w:cs="Times New Roman"/>
          <w:sz w:val="24"/>
          <w:szCs w:val="24"/>
        </w:rPr>
        <w:t xml:space="preserve"> </w:t>
      </w:r>
      <w:r w:rsidR="00C90D39" w:rsidRPr="00AA7D34">
        <w:rPr>
          <w:rFonts w:ascii="Times New Roman" w:hAnsi="Times New Roman" w:cs="Times New Roman"/>
          <w:i/>
          <w:iCs/>
          <w:sz w:val="24"/>
          <w:szCs w:val="24"/>
        </w:rPr>
        <w:t>Nyathi</w:t>
      </w:r>
      <w:r w:rsidR="002A4F26" w:rsidRPr="00AA7D34">
        <w:rPr>
          <w:rFonts w:ascii="Times New Roman" w:hAnsi="Times New Roman" w:cs="Times New Roman"/>
          <w:sz w:val="24"/>
          <w:szCs w:val="24"/>
        </w:rPr>
        <w:t xml:space="preserve">, </w:t>
      </w:r>
      <w:r w:rsidR="00FB5AEA" w:rsidRPr="00AA7D34">
        <w:rPr>
          <w:rFonts w:ascii="Times New Roman" w:hAnsi="Times New Roman" w:cs="Times New Roman"/>
          <w:sz w:val="24"/>
          <w:szCs w:val="24"/>
        </w:rPr>
        <w:t>for the applicant</w:t>
      </w:r>
    </w:p>
    <w:p w14:paraId="08131415" w14:textId="6F777F85" w:rsidR="00FB5AEA" w:rsidRPr="00CF2416" w:rsidRDefault="00C90D39" w:rsidP="004A6430">
      <w:pPr>
        <w:spacing w:after="0" w:line="240" w:lineRule="auto"/>
        <w:jc w:val="both"/>
        <w:rPr>
          <w:rFonts w:ascii="Times New Roman" w:hAnsi="Times New Roman" w:cs="Times New Roman"/>
          <w:sz w:val="24"/>
          <w:szCs w:val="24"/>
        </w:rPr>
      </w:pPr>
      <w:r w:rsidRPr="00AA7D34">
        <w:rPr>
          <w:rFonts w:ascii="Times New Roman" w:hAnsi="Times New Roman" w:cs="Times New Roman"/>
          <w:i/>
          <w:iCs/>
          <w:sz w:val="24"/>
          <w:szCs w:val="24"/>
        </w:rPr>
        <w:t>T Tabana</w:t>
      </w:r>
      <w:r w:rsidR="002A4F26" w:rsidRPr="00CF2416">
        <w:rPr>
          <w:rFonts w:ascii="Times New Roman" w:hAnsi="Times New Roman" w:cs="Times New Roman"/>
          <w:sz w:val="24"/>
          <w:szCs w:val="24"/>
        </w:rPr>
        <w:t xml:space="preserve">, </w:t>
      </w:r>
      <w:r w:rsidR="00FB5AEA" w:rsidRPr="00CF2416">
        <w:rPr>
          <w:rFonts w:ascii="Times New Roman" w:hAnsi="Times New Roman" w:cs="Times New Roman"/>
          <w:sz w:val="24"/>
          <w:szCs w:val="24"/>
        </w:rPr>
        <w:t xml:space="preserve">for the </w:t>
      </w:r>
      <w:r w:rsidR="002A4F26" w:rsidRPr="00CF2416">
        <w:rPr>
          <w:rFonts w:ascii="Times New Roman" w:hAnsi="Times New Roman" w:cs="Times New Roman"/>
          <w:sz w:val="24"/>
          <w:szCs w:val="24"/>
        </w:rPr>
        <w:t>r</w:t>
      </w:r>
      <w:r w:rsidR="00FB5AEA" w:rsidRPr="00CF2416">
        <w:rPr>
          <w:rFonts w:ascii="Times New Roman" w:hAnsi="Times New Roman" w:cs="Times New Roman"/>
          <w:sz w:val="24"/>
          <w:szCs w:val="24"/>
        </w:rPr>
        <w:t>espondent</w:t>
      </w:r>
    </w:p>
    <w:p w14:paraId="5D126323" w14:textId="77777777" w:rsidR="004A6430" w:rsidRDefault="004A6430" w:rsidP="004A6430">
      <w:pPr>
        <w:spacing w:after="0" w:line="240" w:lineRule="auto"/>
        <w:jc w:val="both"/>
        <w:rPr>
          <w:rFonts w:ascii="Times New Roman" w:hAnsi="Times New Roman" w:cs="Times New Roman"/>
          <w:sz w:val="24"/>
          <w:szCs w:val="24"/>
        </w:rPr>
      </w:pPr>
    </w:p>
    <w:p w14:paraId="288895AF" w14:textId="77777777" w:rsidR="004A6430" w:rsidRDefault="004A6430" w:rsidP="004A6430">
      <w:pPr>
        <w:spacing w:after="0" w:line="240" w:lineRule="auto"/>
        <w:jc w:val="both"/>
        <w:rPr>
          <w:rFonts w:ascii="Times New Roman" w:hAnsi="Times New Roman" w:cs="Times New Roman"/>
          <w:sz w:val="24"/>
          <w:szCs w:val="24"/>
        </w:rPr>
      </w:pPr>
    </w:p>
    <w:p w14:paraId="21E561D9" w14:textId="73268E0E" w:rsidR="00FB5AEA" w:rsidRDefault="00FB5AEA" w:rsidP="001B5F6E">
      <w:pPr>
        <w:spacing w:after="0" w:line="360" w:lineRule="auto"/>
        <w:ind w:firstLine="720"/>
        <w:jc w:val="both"/>
        <w:rPr>
          <w:rFonts w:ascii="Times New Roman" w:hAnsi="Times New Roman" w:cs="Times New Roman"/>
        </w:rPr>
      </w:pPr>
      <w:r w:rsidRPr="0073341D">
        <w:rPr>
          <w:rFonts w:ascii="Times New Roman" w:hAnsi="Times New Roman" w:cs="Times New Roman"/>
          <w:b/>
          <w:bCs/>
          <w:sz w:val="24"/>
          <w:szCs w:val="24"/>
        </w:rPr>
        <w:t>MUSITHU J</w:t>
      </w:r>
      <w:r>
        <w:rPr>
          <w:rFonts w:ascii="Times New Roman" w:hAnsi="Times New Roman" w:cs="Times New Roman"/>
          <w:sz w:val="24"/>
          <w:szCs w:val="24"/>
        </w:rPr>
        <w:t>:</w:t>
      </w:r>
      <w:r w:rsidR="004A6430">
        <w:rPr>
          <w:rFonts w:ascii="Times New Roman" w:hAnsi="Times New Roman" w:cs="Times New Roman"/>
          <w:sz w:val="24"/>
          <w:szCs w:val="24"/>
        </w:rPr>
        <w:t xml:space="preserve"> </w:t>
      </w:r>
      <w:r w:rsidR="002A4F26">
        <w:rPr>
          <w:rFonts w:ascii="Times New Roman" w:hAnsi="Times New Roman" w:cs="Times New Roman"/>
          <w:sz w:val="24"/>
          <w:szCs w:val="24"/>
        </w:rPr>
        <w:t xml:space="preserve">   </w:t>
      </w:r>
      <w:bookmarkStart w:id="1" w:name="_Hlk156374090"/>
      <w:r w:rsidR="001B5F6E">
        <w:rPr>
          <w:rFonts w:ascii="Times New Roman" w:hAnsi="Times New Roman" w:cs="Times New Roman"/>
          <w:sz w:val="24"/>
          <w:szCs w:val="24"/>
        </w:rPr>
        <w:t xml:space="preserve">This is an appeal against the whole judgment of the Magistrates Court handed down by Magistrate L Ncube </w:t>
      </w:r>
      <w:r w:rsidR="00087195">
        <w:rPr>
          <w:rFonts w:ascii="Times New Roman" w:hAnsi="Times New Roman" w:cs="Times New Roman"/>
          <w:sz w:val="24"/>
          <w:szCs w:val="24"/>
        </w:rPr>
        <w:t xml:space="preserve">at Harare </w:t>
      </w:r>
      <w:r w:rsidR="001B5F6E">
        <w:rPr>
          <w:rFonts w:ascii="Times New Roman" w:hAnsi="Times New Roman" w:cs="Times New Roman"/>
          <w:sz w:val="24"/>
          <w:szCs w:val="24"/>
        </w:rPr>
        <w:t xml:space="preserve">in case number on HREC-CG 4050/22 on 23 November 2022. </w:t>
      </w:r>
    </w:p>
    <w:p w14:paraId="755BF2D6" w14:textId="388485C4" w:rsidR="005D65BA" w:rsidRDefault="00515F76" w:rsidP="005D65BA">
      <w:pPr>
        <w:tabs>
          <w:tab w:val="left" w:pos="993"/>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The Factual Background</w:t>
      </w:r>
      <w:r w:rsidR="005D65BA" w:rsidRPr="005D65BA">
        <w:rPr>
          <w:rFonts w:ascii="Times New Roman" w:hAnsi="Times New Roman" w:cs="Times New Roman"/>
          <w:b/>
          <w:bCs/>
          <w:sz w:val="24"/>
          <w:szCs w:val="24"/>
        </w:rPr>
        <w:t xml:space="preserve"> </w:t>
      </w:r>
    </w:p>
    <w:p w14:paraId="29366150" w14:textId="2B0460AC" w:rsidR="00AB02C7" w:rsidRDefault="00AA7D34"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5F76" w:rsidRPr="00515F76">
        <w:rPr>
          <w:rFonts w:ascii="Times New Roman" w:hAnsi="Times New Roman" w:cs="Times New Roman"/>
          <w:sz w:val="24"/>
          <w:szCs w:val="24"/>
        </w:rPr>
        <w:t xml:space="preserve">On </w:t>
      </w:r>
      <w:r w:rsidR="00515F76">
        <w:rPr>
          <w:rFonts w:ascii="Times New Roman" w:hAnsi="Times New Roman" w:cs="Times New Roman"/>
          <w:sz w:val="24"/>
          <w:szCs w:val="24"/>
        </w:rPr>
        <w:t xml:space="preserve">7 April 2022, the first and second respondents entered into a lease agreement in terms of which the second respondent leased to the first respondent, premises known as Machipisa Bar and Silver Room Tarven, Stand 4292, Machipisa, Harare (hereinafter referred to as the property or the premises). </w:t>
      </w:r>
      <w:r w:rsidR="00D53F98">
        <w:rPr>
          <w:rFonts w:ascii="Times New Roman" w:hAnsi="Times New Roman" w:cs="Times New Roman"/>
          <w:sz w:val="24"/>
          <w:szCs w:val="24"/>
        </w:rPr>
        <w:t xml:space="preserve">The </w:t>
      </w:r>
      <w:r w:rsidR="00AB02C7">
        <w:rPr>
          <w:rFonts w:ascii="Times New Roman" w:hAnsi="Times New Roman" w:cs="Times New Roman"/>
          <w:sz w:val="24"/>
          <w:szCs w:val="24"/>
        </w:rPr>
        <w:t>monthly rental was</w:t>
      </w:r>
      <w:r w:rsidR="00D53F98">
        <w:rPr>
          <w:rFonts w:ascii="Times New Roman" w:hAnsi="Times New Roman" w:cs="Times New Roman"/>
          <w:sz w:val="24"/>
          <w:szCs w:val="24"/>
        </w:rPr>
        <w:t xml:space="preserve"> US$3, 500.00 </w:t>
      </w:r>
      <w:r w:rsidR="00AB02C7">
        <w:rPr>
          <w:rFonts w:ascii="Times New Roman" w:hAnsi="Times New Roman" w:cs="Times New Roman"/>
          <w:sz w:val="24"/>
          <w:szCs w:val="24"/>
        </w:rPr>
        <w:t xml:space="preserve">to be paid monthly before the first day of the month. The duration of the lease was ten </w:t>
      </w:r>
      <w:r w:rsidR="00087195">
        <w:rPr>
          <w:rFonts w:ascii="Times New Roman" w:hAnsi="Times New Roman" w:cs="Times New Roman"/>
          <w:sz w:val="24"/>
          <w:szCs w:val="24"/>
        </w:rPr>
        <w:t>years,</w:t>
      </w:r>
      <w:r w:rsidR="002871CD">
        <w:rPr>
          <w:rFonts w:ascii="Times New Roman" w:hAnsi="Times New Roman" w:cs="Times New Roman"/>
          <w:sz w:val="24"/>
          <w:szCs w:val="24"/>
        </w:rPr>
        <w:t xml:space="preserve"> and</w:t>
      </w:r>
      <w:r w:rsidR="00AB02C7">
        <w:rPr>
          <w:rFonts w:ascii="Times New Roman" w:hAnsi="Times New Roman" w:cs="Times New Roman"/>
          <w:sz w:val="24"/>
          <w:szCs w:val="24"/>
        </w:rPr>
        <w:t xml:space="preserve"> </w:t>
      </w:r>
      <w:r w:rsidR="00087195">
        <w:rPr>
          <w:rFonts w:ascii="Times New Roman" w:hAnsi="Times New Roman" w:cs="Times New Roman"/>
          <w:sz w:val="24"/>
          <w:szCs w:val="24"/>
        </w:rPr>
        <w:t xml:space="preserve">it </w:t>
      </w:r>
      <w:r w:rsidR="00AB02C7">
        <w:rPr>
          <w:rFonts w:ascii="Times New Roman" w:hAnsi="Times New Roman" w:cs="Times New Roman"/>
          <w:sz w:val="24"/>
          <w:szCs w:val="24"/>
        </w:rPr>
        <w:t xml:space="preserve">was set to expire on 31 March 2032. </w:t>
      </w:r>
      <w:r w:rsidR="00134539">
        <w:rPr>
          <w:rFonts w:ascii="Times New Roman" w:hAnsi="Times New Roman" w:cs="Times New Roman"/>
          <w:sz w:val="24"/>
          <w:szCs w:val="24"/>
        </w:rPr>
        <w:t>According to the first respondent, t</w:t>
      </w:r>
      <w:r w:rsidR="00AB02C7">
        <w:rPr>
          <w:rFonts w:ascii="Times New Roman" w:hAnsi="Times New Roman" w:cs="Times New Roman"/>
          <w:sz w:val="24"/>
          <w:szCs w:val="24"/>
        </w:rPr>
        <w:t xml:space="preserve">he </w:t>
      </w:r>
      <w:r w:rsidR="00087195">
        <w:rPr>
          <w:rFonts w:ascii="Times New Roman" w:hAnsi="Times New Roman" w:cs="Times New Roman"/>
          <w:sz w:val="24"/>
          <w:szCs w:val="24"/>
        </w:rPr>
        <w:t xml:space="preserve">lease authorised the </w:t>
      </w:r>
      <w:r w:rsidR="00AB02C7">
        <w:rPr>
          <w:rFonts w:ascii="Times New Roman" w:hAnsi="Times New Roman" w:cs="Times New Roman"/>
          <w:sz w:val="24"/>
          <w:szCs w:val="24"/>
        </w:rPr>
        <w:t xml:space="preserve">lessee to renovate the premises. </w:t>
      </w:r>
    </w:p>
    <w:p w14:paraId="077ECF08" w14:textId="77777777" w:rsidR="002871CD" w:rsidRDefault="00AB02C7"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renovated the existing double storey building by plastering it and erecting a new roof</w:t>
      </w:r>
      <w:r w:rsidR="002871CD">
        <w:rPr>
          <w:rFonts w:ascii="Times New Roman" w:hAnsi="Times New Roman" w:cs="Times New Roman"/>
          <w:sz w:val="24"/>
          <w:szCs w:val="24"/>
        </w:rPr>
        <w:t xml:space="preserve">. All the designs were approved and supervised by an engineer in the appellant’s employ. The developments were accordingly done in terms of plans that were approved by the appellant herein. All stages of the construction work were inspected and approved by the appellant’s officials. </w:t>
      </w:r>
    </w:p>
    <w:p w14:paraId="10A54D43" w14:textId="12102B3A" w:rsidR="00515F76" w:rsidRDefault="002871CD"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17 October </w:t>
      </w:r>
      <w:r w:rsidR="0022450C">
        <w:rPr>
          <w:rFonts w:ascii="Times New Roman" w:hAnsi="Times New Roman" w:cs="Times New Roman"/>
          <w:sz w:val="24"/>
          <w:szCs w:val="24"/>
        </w:rPr>
        <w:t xml:space="preserve">2022, the appellant </w:t>
      </w:r>
      <w:r w:rsidR="00405D0D">
        <w:rPr>
          <w:rFonts w:ascii="Times New Roman" w:hAnsi="Times New Roman" w:cs="Times New Roman"/>
          <w:sz w:val="24"/>
          <w:szCs w:val="24"/>
        </w:rPr>
        <w:t xml:space="preserve">issued </w:t>
      </w:r>
      <w:r w:rsidR="00134539">
        <w:rPr>
          <w:rFonts w:ascii="Times New Roman" w:hAnsi="Times New Roman" w:cs="Times New Roman"/>
          <w:sz w:val="24"/>
          <w:szCs w:val="24"/>
        </w:rPr>
        <w:t xml:space="preserve">a </w:t>
      </w:r>
      <w:r w:rsidR="006F5972">
        <w:rPr>
          <w:rFonts w:ascii="Times New Roman" w:hAnsi="Times New Roman" w:cs="Times New Roman"/>
          <w:sz w:val="24"/>
          <w:szCs w:val="24"/>
        </w:rPr>
        <w:t xml:space="preserve">notice of </w:t>
      </w:r>
      <w:r w:rsidR="00405D0D">
        <w:rPr>
          <w:rFonts w:ascii="Times New Roman" w:hAnsi="Times New Roman" w:cs="Times New Roman"/>
          <w:sz w:val="24"/>
          <w:szCs w:val="24"/>
        </w:rPr>
        <w:t xml:space="preserve">its intention to evict the first defendant from the premises as well </w:t>
      </w:r>
      <w:r w:rsidR="006F5972">
        <w:rPr>
          <w:rFonts w:ascii="Times New Roman" w:hAnsi="Times New Roman" w:cs="Times New Roman"/>
          <w:sz w:val="24"/>
          <w:szCs w:val="24"/>
        </w:rPr>
        <w:t xml:space="preserve">demolish the </w:t>
      </w:r>
      <w:r w:rsidR="00405D0D">
        <w:rPr>
          <w:rFonts w:ascii="Times New Roman" w:hAnsi="Times New Roman" w:cs="Times New Roman"/>
          <w:sz w:val="24"/>
          <w:szCs w:val="24"/>
        </w:rPr>
        <w:t>structures that had been put up.</w:t>
      </w:r>
      <w:r w:rsidR="006F5972">
        <w:rPr>
          <w:rFonts w:ascii="Times New Roman" w:hAnsi="Times New Roman" w:cs="Times New Roman"/>
          <w:sz w:val="24"/>
          <w:szCs w:val="24"/>
        </w:rPr>
        <w:t xml:space="preserve"> The threat to demolish the</w:t>
      </w:r>
      <w:r w:rsidR="00405D0D">
        <w:rPr>
          <w:rFonts w:ascii="Times New Roman" w:hAnsi="Times New Roman" w:cs="Times New Roman"/>
          <w:sz w:val="24"/>
          <w:szCs w:val="24"/>
        </w:rPr>
        <w:t xml:space="preserve"> structures </w:t>
      </w:r>
      <w:r w:rsidR="006F5972">
        <w:rPr>
          <w:rFonts w:ascii="Times New Roman" w:hAnsi="Times New Roman" w:cs="Times New Roman"/>
          <w:sz w:val="24"/>
          <w:szCs w:val="24"/>
        </w:rPr>
        <w:t>was made on the basis that the</w:t>
      </w:r>
      <w:r w:rsidR="00405D0D">
        <w:rPr>
          <w:rFonts w:ascii="Times New Roman" w:hAnsi="Times New Roman" w:cs="Times New Roman"/>
          <w:sz w:val="24"/>
          <w:szCs w:val="24"/>
        </w:rPr>
        <w:t xml:space="preserve">se </w:t>
      </w:r>
      <w:r w:rsidR="006F5972">
        <w:rPr>
          <w:rFonts w:ascii="Times New Roman" w:hAnsi="Times New Roman" w:cs="Times New Roman"/>
          <w:sz w:val="24"/>
          <w:szCs w:val="24"/>
        </w:rPr>
        <w:t xml:space="preserve">were erected illegally without </w:t>
      </w:r>
      <w:r w:rsidR="006F5972">
        <w:rPr>
          <w:rFonts w:ascii="Times New Roman" w:hAnsi="Times New Roman" w:cs="Times New Roman"/>
          <w:sz w:val="24"/>
          <w:szCs w:val="24"/>
        </w:rPr>
        <w:lastRenderedPageBreak/>
        <w:t xml:space="preserve">approved plans. The </w:t>
      </w:r>
      <w:r w:rsidR="00405D0D">
        <w:rPr>
          <w:rFonts w:ascii="Times New Roman" w:hAnsi="Times New Roman" w:cs="Times New Roman"/>
          <w:sz w:val="24"/>
          <w:szCs w:val="24"/>
        </w:rPr>
        <w:t xml:space="preserve">appellant’s notice prompted the </w:t>
      </w:r>
      <w:r w:rsidR="006F5972">
        <w:rPr>
          <w:rFonts w:ascii="Times New Roman" w:hAnsi="Times New Roman" w:cs="Times New Roman"/>
          <w:sz w:val="24"/>
          <w:szCs w:val="24"/>
        </w:rPr>
        <w:t xml:space="preserve">first respondent </w:t>
      </w:r>
      <w:r w:rsidR="00405D0D">
        <w:rPr>
          <w:rFonts w:ascii="Times New Roman" w:hAnsi="Times New Roman" w:cs="Times New Roman"/>
          <w:sz w:val="24"/>
          <w:szCs w:val="24"/>
        </w:rPr>
        <w:t>to approach the</w:t>
      </w:r>
      <w:r w:rsidR="006F5972">
        <w:rPr>
          <w:rFonts w:ascii="Times New Roman" w:hAnsi="Times New Roman" w:cs="Times New Roman"/>
          <w:sz w:val="24"/>
          <w:szCs w:val="24"/>
        </w:rPr>
        <w:t xml:space="preserve"> court </w:t>
      </w:r>
      <w:r w:rsidR="006F5972" w:rsidRPr="00903248">
        <w:rPr>
          <w:rFonts w:ascii="Times New Roman" w:hAnsi="Times New Roman" w:cs="Times New Roman"/>
          <w:i/>
          <w:iCs/>
          <w:sz w:val="24"/>
          <w:szCs w:val="24"/>
        </w:rPr>
        <w:t>a</w:t>
      </w:r>
      <w:r w:rsidR="00405D0D">
        <w:rPr>
          <w:rFonts w:ascii="Times New Roman" w:hAnsi="Times New Roman" w:cs="Times New Roman"/>
          <w:i/>
          <w:iCs/>
          <w:sz w:val="24"/>
          <w:szCs w:val="24"/>
        </w:rPr>
        <w:t xml:space="preserve"> </w:t>
      </w:r>
      <w:r w:rsidR="006F5972" w:rsidRPr="00903248">
        <w:rPr>
          <w:rFonts w:ascii="Times New Roman" w:hAnsi="Times New Roman" w:cs="Times New Roman"/>
          <w:i/>
          <w:iCs/>
          <w:sz w:val="24"/>
          <w:szCs w:val="24"/>
        </w:rPr>
        <w:t>quo</w:t>
      </w:r>
      <w:r w:rsidR="006F5972">
        <w:rPr>
          <w:rFonts w:ascii="Times New Roman" w:hAnsi="Times New Roman" w:cs="Times New Roman"/>
          <w:sz w:val="24"/>
          <w:szCs w:val="24"/>
        </w:rPr>
        <w:t xml:space="preserve"> with an </w:t>
      </w:r>
      <w:r w:rsidR="006F5972" w:rsidRPr="00903248">
        <w:rPr>
          <w:rFonts w:ascii="Times New Roman" w:hAnsi="Times New Roman" w:cs="Times New Roman"/>
          <w:i/>
          <w:iCs/>
          <w:sz w:val="24"/>
          <w:szCs w:val="24"/>
        </w:rPr>
        <w:t>exparte</w:t>
      </w:r>
      <w:r w:rsidR="006F5972">
        <w:rPr>
          <w:rFonts w:ascii="Times New Roman" w:hAnsi="Times New Roman" w:cs="Times New Roman"/>
          <w:sz w:val="24"/>
          <w:szCs w:val="24"/>
        </w:rPr>
        <w:t xml:space="preserve"> </w:t>
      </w:r>
      <w:r w:rsidR="00903248">
        <w:rPr>
          <w:rFonts w:ascii="Times New Roman" w:hAnsi="Times New Roman" w:cs="Times New Roman"/>
          <w:sz w:val="24"/>
          <w:szCs w:val="24"/>
        </w:rPr>
        <w:t xml:space="preserve">application for a prohibitory interdict. </w:t>
      </w:r>
      <w:r w:rsidR="00515F76">
        <w:rPr>
          <w:rFonts w:ascii="Times New Roman" w:hAnsi="Times New Roman" w:cs="Times New Roman"/>
          <w:sz w:val="24"/>
          <w:szCs w:val="24"/>
        </w:rPr>
        <w:t xml:space="preserve"> </w:t>
      </w:r>
    </w:p>
    <w:p w14:paraId="4500BAC6" w14:textId="77777777" w:rsidR="0070301A" w:rsidRDefault="0070301A" w:rsidP="00AB02C7">
      <w:pPr>
        <w:tabs>
          <w:tab w:val="left" w:pos="993"/>
        </w:tabs>
        <w:spacing w:after="0" w:line="360" w:lineRule="auto"/>
        <w:jc w:val="both"/>
        <w:rPr>
          <w:rFonts w:ascii="Times New Roman" w:hAnsi="Times New Roman" w:cs="Times New Roman"/>
          <w:sz w:val="24"/>
          <w:szCs w:val="24"/>
        </w:rPr>
      </w:pPr>
    </w:p>
    <w:p w14:paraId="4863B989" w14:textId="61FD6400" w:rsidR="0070301A" w:rsidRPr="0070301A" w:rsidRDefault="0070301A" w:rsidP="00AB02C7">
      <w:pPr>
        <w:tabs>
          <w:tab w:val="left" w:pos="993"/>
        </w:tabs>
        <w:spacing w:after="0" w:line="360" w:lineRule="auto"/>
        <w:jc w:val="both"/>
        <w:rPr>
          <w:rFonts w:ascii="Times New Roman" w:hAnsi="Times New Roman" w:cs="Times New Roman"/>
          <w:b/>
          <w:bCs/>
          <w:sz w:val="24"/>
          <w:szCs w:val="24"/>
        </w:rPr>
      </w:pPr>
      <w:r w:rsidRPr="0070301A">
        <w:rPr>
          <w:rFonts w:ascii="Times New Roman" w:hAnsi="Times New Roman" w:cs="Times New Roman"/>
          <w:b/>
          <w:bCs/>
          <w:sz w:val="24"/>
          <w:szCs w:val="24"/>
        </w:rPr>
        <w:t xml:space="preserve">Proceedings in the court </w:t>
      </w:r>
      <w:r w:rsidRPr="0070301A">
        <w:rPr>
          <w:rFonts w:ascii="Times New Roman" w:hAnsi="Times New Roman" w:cs="Times New Roman"/>
          <w:b/>
          <w:bCs/>
          <w:i/>
          <w:iCs/>
          <w:sz w:val="24"/>
          <w:szCs w:val="24"/>
        </w:rPr>
        <w:t>a</w:t>
      </w:r>
      <w:r w:rsidR="00AA7D34">
        <w:rPr>
          <w:rFonts w:ascii="Times New Roman" w:hAnsi="Times New Roman" w:cs="Times New Roman"/>
          <w:b/>
          <w:bCs/>
          <w:i/>
          <w:iCs/>
          <w:sz w:val="24"/>
          <w:szCs w:val="24"/>
        </w:rPr>
        <w:t xml:space="preserve"> </w:t>
      </w:r>
      <w:r w:rsidRPr="0070301A">
        <w:rPr>
          <w:rFonts w:ascii="Times New Roman" w:hAnsi="Times New Roman" w:cs="Times New Roman"/>
          <w:b/>
          <w:bCs/>
          <w:i/>
          <w:iCs/>
          <w:sz w:val="24"/>
          <w:szCs w:val="24"/>
        </w:rPr>
        <w:t>quo</w:t>
      </w:r>
    </w:p>
    <w:p w14:paraId="5F1509F3" w14:textId="514D7621" w:rsidR="00903248" w:rsidRDefault="00903248"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for the interdict was opposed by the appellant herein. The notice of opposition raised </w:t>
      </w:r>
      <w:r w:rsidR="00405D0D">
        <w:rPr>
          <w:rFonts w:ascii="Times New Roman" w:hAnsi="Times New Roman" w:cs="Times New Roman"/>
          <w:sz w:val="24"/>
          <w:szCs w:val="24"/>
        </w:rPr>
        <w:t>a</w:t>
      </w:r>
      <w:r>
        <w:rPr>
          <w:rFonts w:ascii="Times New Roman" w:hAnsi="Times New Roman" w:cs="Times New Roman"/>
          <w:sz w:val="24"/>
          <w:szCs w:val="24"/>
        </w:rPr>
        <w:t xml:space="preserve"> preliminary point of </w:t>
      </w:r>
      <w:r w:rsidRPr="00903248">
        <w:rPr>
          <w:rFonts w:ascii="Times New Roman" w:hAnsi="Times New Roman" w:cs="Times New Roman"/>
          <w:i/>
          <w:iCs/>
          <w:sz w:val="24"/>
          <w:szCs w:val="24"/>
        </w:rPr>
        <w:t>lis pendens</w:t>
      </w:r>
      <w:r>
        <w:rPr>
          <w:rFonts w:ascii="Times New Roman" w:hAnsi="Times New Roman" w:cs="Times New Roman"/>
          <w:sz w:val="24"/>
          <w:szCs w:val="24"/>
        </w:rPr>
        <w:t xml:space="preserve">.  It was averred that </w:t>
      </w:r>
      <w:r w:rsidR="00405D0D">
        <w:rPr>
          <w:rFonts w:ascii="Times New Roman" w:hAnsi="Times New Roman" w:cs="Times New Roman"/>
          <w:sz w:val="24"/>
          <w:szCs w:val="24"/>
        </w:rPr>
        <w:t xml:space="preserve">a similar to the application before the court </w:t>
      </w:r>
      <w:r w:rsidR="00405D0D" w:rsidRPr="00405D0D">
        <w:rPr>
          <w:rFonts w:ascii="Times New Roman" w:hAnsi="Times New Roman" w:cs="Times New Roman"/>
          <w:i/>
          <w:iCs/>
          <w:sz w:val="24"/>
          <w:szCs w:val="24"/>
        </w:rPr>
        <w:t>a quo</w:t>
      </w:r>
      <w:r w:rsidR="00405D0D">
        <w:rPr>
          <w:rFonts w:ascii="Times New Roman" w:hAnsi="Times New Roman" w:cs="Times New Roman"/>
          <w:sz w:val="24"/>
          <w:szCs w:val="24"/>
        </w:rPr>
        <w:t xml:space="preserve"> </w:t>
      </w:r>
      <w:r>
        <w:rPr>
          <w:rFonts w:ascii="Times New Roman" w:hAnsi="Times New Roman" w:cs="Times New Roman"/>
          <w:sz w:val="24"/>
          <w:szCs w:val="24"/>
        </w:rPr>
        <w:t xml:space="preserve">was pending before this court under HC 7416/22. </w:t>
      </w:r>
      <w:r w:rsidR="00405D0D">
        <w:rPr>
          <w:rFonts w:ascii="Times New Roman" w:hAnsi="Times New Roman" w:cs="Times New Roman"/>
          <w:sz w:val="24"/>
          <w:szCs w:val="24"/>
        </w:rPr>
        <w:t>That matter w</w:t>
      </w:r>
      <w:r>
        <w:rPr>
          <w:rFonts w:ascii="Times New Roman" w:hAnsi="Times New Roman" w:cs="Times New Roman"/>
          <w:sz w:val="24"/>
          <w:szCs w:val="24"/>
        </w:rPr>
        <w:t xml:space="preserve">as heard on an urgent basis on 4 November 2022, and a provisional order was granted by this court per </w:t>
      </w:r>
      <w:r w:rsidR="00AA7D34" w:rsidRPr="00AA7D34">
        <w:rPr>
          <w:rFonts w:ascii="Times New Roman" w:hAnsi="Times New Roman" w:cs="Times New Roman"/>
          <w:smallCaps/>
          <w:sz w:val="24"/>
          <w:szCs w:val="24"/>
        </w:rPr>
        <w:t>chinamora</w:t>
      </w:r>
      <w:r w:rsidR="00AA7D34">
        <w:rPr>
          <w:rFonts w:ascii="Times New Roman" w:hAnsi="Times New Roman" w:cs="Times New Roman"/>
          <w:sz w:val="24"/>
          <w:szCs w:val="24"/>
        </w:rPr>
        <w:t xml:space="preserve"> </w:t>
      </w:r>
      <w:r>
        <w:rPr>
          <w:rFonts w:ascii="Times New Roman" w:hAnsi="Times New Roman" w:cs="Times New Roman"/>
          <w:sz w:val="24"/>
          <w:szCs w:val="24"/>
        </w:rPr>
        <w:t>J on that date. That provisional order was pending before this same court for confirmation. The matter involved the same parties and the same cause of action (interdict). Th</w:t>
      </w:r>
      <w:r w:rsidR="00405D0D">
        <w:rPr>
          <w:rFonts w:ascii="Times New Roman" w:hAnsi="Times New Roman" w:cs="Times New Roman"/>
          <w:sz w:val="24"/>
          <w:szCs w:val="24"/>
        </w:rPr>
        <w:t xml:space="preserve">e present </w:t>
      </w:r>
      <w:r>
        <w:rPr>
          <w:rFonts w:ascii="Times New Roman" w:hAnsi="Times New Roman" w:cs="Times New Roman"/>
          <w:sz w:val="24"/>
          <w:szCs w:val="24"/>
        </w:rPr>
        <w:t xml:space="preserve">matter had therefore been overtaken by events. </w:t>
      </w:r>
    </w:p>
    <w:p w14:paraId="2AA8076E" w14:textId="3E7B2584" w:rsidR="00903248" w:rsidRDefault="00903248"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Concerning the merits, it was averred that the lease agreement between the first and </w:t>
      </w:r>
      <w:r w:rsidR="00532E61">
        <w:rPr>
          <w:rFonts w:ascii="Times New Roman" w:hAnsi="Times New Roman" w:cs="Times New Roman"/>
          <w:sz w:val="24"/>
          <w:szCs w:val="24"/>
        </w:rPr>
        <w:t>second</w:t>
      </w:r>
      <w:r>
        <w:rPr>
          <w:rFonts w:ascii="Times New Roman" w:hAnsi="Times New Roman" w:cs="Times New Roman"/>
          <w:sz w:val="24"/>
          <w:szCs w:val="24"/>
        </w:rPr>
        <w:t xml:space="preserve"> respondents </w:t>
      </w:r>
      <w:r w:rsidR="00532E61">
        <w:rPr>
          <w:rFonts w:ascii="Times New Roman" w:hAnsi="Times New Roman" w:cs="Times New Roman"/>
          <w:sz w:val="24"/>
          <w:szCs w:val="24"/>
        </w:rPr>
        <w:t xml:space="preserve">was invalid because the appellant had not </w:t>
      </w:r>
      <w:r w:rsidR="00405D0D">
        <w:rPr>
          <w:rFonts w:ascii="Times New Roman" w:hAnsi="Times New Roman" w:cs="Times New Roman"/>
          <w:sz w:val="24"/>
          <w:szCs w:val="24"/>
        </w:rPr>
        <w:t xml:space="preserve">authorised the leasing of the property to the </w:t>
      </w:r>
      <w:r w:rsidR="00532E61">
        <w:rPr>
          <w:rFonts w:ascii="Times New Roman" w:hAnsi="Times New Roman" w:cs="Times New Roman"/>
          <w:sz w:val="24"/>
          <w:szCs w:val="24"/>
        </w:rPr>
        <w:t xml:space="preserve">first respondent. The lease agreement between the first and second respondent was therefore null and void. </w:t>
      </w:r>
      <w:r>
        <w:rPr>
          <w:rFonts w:ascii="Times New Roman" w:hAnsi="Times New Roman" w:cs="Times New Roman"/>
          <w:sz w:val="24"/>
          <w:szCs w:val="24"/>
        </w:rPr>
        <w:t xml:space="preserve"> </w:t>
      </w:r>
      <w:r w:rsidR="00532E61">
        <w:rPr>
          <w:rFonts w:ascii="Times New Roman" w:hAnsi="Times New Roman" w:cs="Times New Roman"/>
          <w:sz w:val="24"/>
          <w:szCs w:val="24"/>
        </w:rPr>
        <w:t xml:space="preserve">The approvals of the structural changes </w:t>
      </w:r>
      <w:r w:rsidR="00405D0D">
        <w:rPr>
          <w:rFonts w:ascii="Times New Roman" w:hAnsi="Times New Roman" w:cs="Times New Roman"/>
          <w:sz w:val="24"/>
          <w:szCs w:val="24"/>
        </w:rPr>
        <w:t xml:space="preserve">to the property </w:t>
      </w:r>
      <w:r w:rsidR="00532E61">
        <w:rPr>
          <w:rFonts w:ascii="Times New Roman" w:hAnsi="Times New Roman" w:cs="Times New Roman"/>
          <w:sz w:val="24"/>
          <w:szCs w:val="24"/>
        </w:rPr>
        <w:t xml:space="preserve">had been revoked by the appellant when it became aware of the illegal lease. </w:t>
      </w:r>
    </w:p>
    <w:p w14:paraId="7B58035B" w14:textId="5638CEE1" w:rsidR="006C101F" w:rsidRDefault="006C101F"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6C101F">
        <w:rPr>
          <w:rFonts w:ascii="Times New Roman" w:hAnsi="Times New Roman" w:cs="Times New Roman"/>
          <w:i/>
          <w:iCs/>
          <w:sz w:val="24"/>
          <w:szCs w:val="24"/>
        </w:rPr>
        <w:t>a</w:t>
      </w:r>
      <w:r w:rsidR="00313DB9">
        <w:rPr>
          <w:rFonts w:ascii="Times New Roman" w:hAnsi="Times New Roman" w:cs="Times New Roman"/>
          <w:i/>
          <w:iCs/>
          <w:sz w:val="24"/>
          <w:szCs w:val="24"/>
        </w:rPr>
        <w:t xml:space="preserve"> </w:t>
      </w:r>
      <w:r w:rsidRPr="006C101F">
        <w:rPr>
          <w:rFonts w:ascii="Times New Roman" w:hAnsi="Times New Roman" w:cs="Times New Roman"/>
          <w:i/>
          <w:iCs/>
          <w:sz w:val="24"/>
          <w:szCs w:val="24"/>
        </w:rPr>
        <w:t xml:space="preserve">quo </w:t>
      </w:r>
      <w:r>
        <w:rPr>
          <w:rFonts w:ascii="Times New Roman" w:hAnsi="Times New Roman" w:cs="Times New Roman"/>
          <w:sz w:val="24"/>
          <w:szCs w:val="24"/>
        </w:rPr>
        <w:t xml:space="preserve">granted the relief sought by the first respondent. The court dismissed the preliminary point on </w:t>
      </w:r>
      <w:r w:rsidRPr="006C101F">
        <w:rPr>
          <w:rFonts w:ascii="Times New Roman" w:hAnsi="Times New Roman" w:cs="Times New Roman"/>
          <w:i/>
          <w:iCs/>
          <w:sz w:val="24"/>
          <w:szCs w:val="24"/>
        </w:rPr>
        <w:t>lis pendens</w:t>
      </w:r>
      <w:r w:rsidR="00405D0D">
        <w:rPr>
          <w:rFonts w:ascii="Times New Roman" w:hAnsi="Times New Roman" w:cs="Times New Roman"/>
          <w:i/>
          <w:iCs/>
          <w:sz w:val="24"/>
          <w:szCs w:val="24"/>
        </w:rPr>
        <w:t>,</w:t>
      </w:r>
      <w:r w:rsidRPr="006C101F">
        <w:rPr>
          <w:rFonts w:ascii="Times New Roman" w:hAnsi="Times New Roman" w:cs="Times New Roman"/>
          <w:i/>
          <w:iCs/>
          <w:sz w:val="24"/>
          <w:szCs w:val="24"/>
        </w:rPr>
        <w:t xml:space="preserve"> </w:t>
      </w:r>
      <w:r>
        <w:rPr>
          <w:rFonts w:ascii="Times New Roman" w:hAnsi="Times New Roman" w:cs="Times New Roman"/>
          <w:sz w:val="24"/>
          <w:szCs w:val="24"/>
        </w:rPr>
        <w:t xml:space="preserve">determining that </w:t>
      </w:r>
      <w:r w:rsidR="00096D10">
        <w:rPr>
          <w:rFonts w:ascii="Times New Roman" w:hAnsi="Times New Roman" w:cs="Times New Roman"/>
          <w:sz w:val="24"/>
          <w:szCs w:val="24"/>
        </w:rPr>
        <w:t xml:space="preserve">it had been </w:t>
      </w:r>
      <w:r>
        <w:rPr>
          <w:rFonts w:ascii="Times New Roman" w:hAnsi="Times New Roman" w:cs="Times New Roman"/>
          <w:sz w:val="24"/>
          <w:szCs w:val="24"/>
        </w:rPr>
        <w:t>improperly taken as it did not preclude a part</w:t>
      </w:r>
      <w:r w:rsidR="00096D10">
        <w:rPr>
          <w:rFonts w:ascii="Times New Roman" w:hAnsi="Times New Roman" w:cs="Times New Roman"/>
          <w:sz w:val="24"/>
          <w:szCs w:val="24"/>
        </w:rPr>
        <w:t>y</w:t>
      </w:r>
      <w:r>
        <w:rPr>
          <w:rFonts w:ascii="Times New Roman" w:hAnsi="Times New Roman" w:cs="Times New Roman"/>
          <w:sz w:val="24"/>
          <w:szCs w:val="24"/>
        </w:rPr>
        <w:t xml:space="preserve"> from instituting proceedings in another court. </w:t>
      </w:r>
      <w:r w:rsidR="00313DB9">
        <w:rPr>
          <w:rFonts w:ascii="Times New Roman" w:hAnsi="Times New Roman" w:cs="Times New Roman"/>
          <w:sz w:val="24"/>
          <w:szCs w:val="24"/>
        </w:rPr>
        <w:t xml:space="preserve"> </w:t>
      </w:r>
      <w:r w:rsidR="00096D10">
        <w:rPr>
          <w:rFonts w:ascii="Times New Roman" w:hAnsi="Times New Roman" w:cs="Times New Roman"/>
          <w:sz w:val="24"/>
          <w:szCs w:val="24"/>
        </w:rPr>
        <w:t xml:space="preserve">As regards the merits of the matter, the court determined that the validity of the lease agreement was not an issue. The </w:t>
      </w:r>
      <w:r w:rsidR="00405D0D">
        <w:rPr>
          <w:rFonts w:ascii="Times New Roman" w:hAnsi="Times New Roman" w:cs="Times New Roman"/>
          <w:sz w:val="24"/>
          <w:szCs w:val="24"/>
        </w:rPr>
        <w:t>way</w:t>
      </w:r>
      <w:r w:rsidR="00096D10">
        <w:rPr>
          <w:rFonts w:ascii="Times New Roman" w:hAnsi="Times New Roman" w:cs="Times New Roman"/>
          <w:sz w:val="24"/>
          <w:szCs w:val="24"/>
        </w:rPr>
        <w:t xml:space="preserve"> the appellant had conducted itself was improper. The appellant could not cancel the lease agreement between the first and second respondents when it was not part</w:t>
      </w:r>
      <w:r w:rsidR="00405D0D">
        <w:rPr>
          <w:rFonts w:ascii="Times New Roman" w:hAnsi="Times New Roman" w:cs="Times New Roman"/>
          <w:sz w:val="24"/>
          <w:szCs w:val="24"/>
        </w:rPr>
        <w:t>y</w:t>
      </w:r>
      <w:r w:rsidR="00096D10">
        <w:rPr>
          <w:rFonts w:ascii="Times New Roman" w:hAnsi="Times New Roman" w:cs="Times New Roman"/>
          <w:sz w:val="24"/>
          <w:szCs w:val="24"/>
        </w:rPr>
        <w:t xml:space="preserve"> to that lease agreement. It was only the second respondent that could cancel its lease agreement with the first respondent. The court further determined that even if the second respondent did not have authority to sublet the premises, the appellant could not evict the first respondent from the premises without a court order. </w:t>
      </w:r>
    </w:p>
    <w:p w14:paraId="127629CC" w14:textId="37F31992" w:rsidR="00096D10" w:rsidRPr="00B516E7" w:rsidRDefault="00096D10"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16E7">
        <w:rPr>
          <w:rFonts w:ascii="Times New Roman" w:hAnsi="Times New Roman" w:cs="Times New Roman"/>
          <w:sz w:val="24"/>
          <w:szCs w:val="24"/>
        </w:rPr>
        <w:t xml:space="preserve">The court </w:t>
      </w:r>
      <w:r w:rsidR="00B516E7" w:rsidRPr="00B516E7">
        <w:rPr>
          <w:rFonts w:ascii="Times New Roman" w:hAnsi="Times New Roman" w:cs="Times New Roman"/>
          <w:i/>
          <w:iCs/>
          <w:sz w:val="24"/>
          <w:szCs w:val="24"/>
        </w:rPr>
        <w:t xml:space="preserve">aquo </w:t>
      </w:r>
      <w:r w:rsidR="00B516E7">
        <w:rPr>
          <w:rFonts w:ascii="Times New Roman" w:hAnsi="Times New Roman" w:cs="Times New Roman"/>
          <w:sz w:val="24"/>
          <w:szCs w:val="24"/>
        </w:rPr>
        <w:t xml:space="preserve">also established that the threats made by the appellant to evict the first respondent on 48 </w:t>
      </w:r>
      <w:r w:rsidR="00A57181">
        <w:rPr>
          <w:rFonts w:ascii="Times New Roman" w:hAnsi="Times New Roman" w:cs="Times New Roman"/>
          <w:sz w:val="24"/>
          <w:szCs w:val="24"/>
        </w:rPr>
        <w:t>hours’ notice</w:t>
      </w:r>
      <w:r w:rsidR="00B516E7">
        <w:rPr>
          <w:rFonts w:ascii="Times New Roman" w:hAnsi="Times New Roman" w:cs="Times New Roman"/>
          <w:sz w:val="24"/>
          <w:szCs w:val="24"/>
        </w:rPr>
        <w:t xml:space="preserve"> were not hollow. The appellant had not denied making those threats. The court determined that the appellant was acting unlawfully in making the threats of eviction and the demolishing of the property without a court order. </w:t>
      </w:r>
      <w:r w:rsidR="00313DB9">
        <w:rPr>
          <w:rFonts w:ascii="Times New Roman" w:hAnsi="Times New Roman" w:cs="Times New Roman"/>
          <w:sz w:val="24"/>
          <w:szCs w:val="24"/>
        </w:rPr>
        <w:t xml:space="preserve"> </w:t>
      </w:r>
      <w:r w:rsidR="000B4D07">
        <w:rPr>
          <w:rFonts w:ascii="Times New Roman" w:hAnsi="Times New Roman" w:cs="Times New Roman"/>
          <w:sz w:val="24"/>
          <w:szCs w:val="24"/>
        </w:rPr>
        <w:t xml:space="preserve">It was on that basis that the </w:t>
      </w:r>
      <w:r w:rsidR="00B516E7">
        <w:rPr>
          <w:rFonts w:ascii="Times New Roman" w:hAnsi="Times New Roman" w:cs="Times New Roman"/>
          <w:sz w:val="24"/>
          <w:szCs w:val="24"/>
        </w:rPr>
        <w:t xml:space="preserve">court </w:t>
      </w:r>
      <w:r w:rsidR="00B516E7" w:rsidRPr="00B516E7">
        <w:rPr>
          <w:rFonts w:ascii="Times New Roman" w:hAnsi="Times New Roman" w:cs="Times New Roman"/>
          <w:i/>
          <w:iCs/>
          <w:sz w:val="24"/>
          <w:szCs w:val="24"/>
        </w:rPr>
        <w:t>a</w:t>
      </w:r>
      <w:r w:rsidR="00313DB9">
        <w:rPr>
          <w:rFonts w:ascii="Times New Roman" w:hAnsi="Times New Roman" w:cs="Times New Roman"/>
          <w:i/>
          <w:iCs/>
          <w:sz w:val="24"/>
          <w:szCs w:val="24"/>
        </w:rPr>
        <w:t xml:space="preserve"> </w:t>
      </w:r>
      <w:r w:rsidR="00B516E7" w:rsidRPr="00B516E7">
        <w:rPr>
          <w:rFonts w:ascii="Times New Roman" w:hAnsi="Times New Roman" w:cs="Times New Roman"/>
          <w:i/>
          <w:iCs/>
          <w:sz w:val="24"/>
          <w:szCs w:val="24"/>
        </w:rPr>
        <w:t>quo</w:t>
      </w:r>
      <w:r w:rsidR="00B516E7">
        <w:rPr>
          <w:rFonts w:ascii="Times New Roman" w:hAnsi="Times New Roman" w:cs="Times New Roman"/>
          <w:sz w:val="24"/>
          <w:szCs w:val="24"/>
        </w:rPr>
        <w:t xml:space="preserve"> </w:t>
      </w:r>
      <w:r w:rsidR="000B4D07">
        <w:rPr>
          <w:rFonts w:ascii="Times New Roman" w:hAnsi="Times New Roman" w:cs="Times New Roman"/>
          <w:sz w:val="24"/>
          <w:szCs w:val="24"/>
        </w:rPr>
        <w:t xml:space="preserve">determined that the </w:t>
      </w:r>
      <w:r w:rsidR="00B516E7">
        <w:rPr>
          <w:rFonts w:ascii="Times New Roman" w:hAnsi="Times New Roman" w:cs="Times New Roman"/>
          <w:sz w:val="24"/>
          <w:szCs w:val="24"/>
        </w:rPr>
        <w:t>first respondent had mana</w:t>
      </w:r>
      <w:r w:rsidR="000B4D07">
        <w:rPr>
          <w:rFonts w:ascii="Times New Roman" w:hAnsi="Times New Roman" w:cs="Times New Roman"/>
          <w:sz w:val="24"/>
          <w:szCs w:val="24"/>
        </w:rPr>
        <w:t xml:space="preserve">ged to satisfy the requirements for the granting of the interdict sought. </w:t>
      </w:r>
    </w:p>
    <w:p w14:paraId="798C2F58" w14:textId="19CA0007" w:rsidR="00532E61" w:rsidRDefault="00532E61" w:rsidP="00AB02C7">
      <w:pPr>
        <w:tabs>
          <w:tab w:val="left" w:pos="993"/>
        </w:tabs>
        <w:spacing w:after="0" w:line="360" w:lineRule="auto"/>
        <w:jc w:val="both"/>
        <w:rPr>
          <w:rFonts w:ascii="Times New Roman" w:hAnsi="Times New Roman" w:cs="Times New Roman"/>
          <w:sz w:val="24"/>
          <w:szCs w:val="24"/>
        </w:rPr>
      </w:pPr>
    </w:p>
    <w:p w14:paraId="5F989E46" w14:textId="67BE695E" w:rsidR="0070301A" w:rsidRPr="0070301A" w:rsidRDefault="0070301A" w:rsidP="00AB02C7">
      <w:pPr>
        <w:tabs>
          <w:tab w:val="left" w:pos="993"/>
        </w:tabs>
        <w:spacing w:after="0" w:line="360" w:lineRule="auto"/>
        <w:jc w:val="both"/>
        <w:rPr>
          <w:rFonts w:ascii="Times New Roman" w:hAnsi="Times New Roman" w:cs="Times New Roman"/>
          <w:b/>
          <w:bCs/>
          <w:sz w:val="24"/>
          <w:szCs w:val="24"/>
        </w:rPr>
      </w:pPr>
      <w:r w:rsidRPr="0070301A">
        <w:rPr>
          <w:rFonts w:ascii="Times New Roman" w:hAnsi="Times New Roman" w:cs="Times New Roman"/>
          <w:b/>
          <w:bCs/>
          <w:sz w:val="24"/>
          <w:szCs w:val="24"/>
        </w:rPr>
        <w:t xml:space="preserve">Proceedings before this court </w:t>
      </w:r>
    </w:p>
    <w:p w14:paraId="508A25A9" w14:textId="0428BEE0" w:rsidR="00532E61" w:rsidRDefault="0070301A" w:rsidP="00AB02C7">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Agrieved by the decision of the court </w:t>
      </w:r>
      <w:r w:rsidRPr="0070301A">
        <w:rPr>
          <w:rFonts w:ascii="Times New Roman" w:hAnsi="Times New Roman" w:cs="Times New Roman"/>
          <w:i/>
          <w:iCs/>
          <w:sz w:val="24"/>
          <w:szCs w:val="24"/>
        </w:rPr>
        <w:t>a</w:t>
      </w:r>
      <w:r w:rsidR="00313DB9">
        <w:rPr>
          <w:rFonts w:ascii="Times New Roman" w:hAnsi="Times New Roman" w:cs="Times New Roman"/>
          <w:i/>
          <w:iCs/>
          <w:sz w:val="24"/>
          <w:szCs w:val="24"/>
        </w:rPr>
        <w:t xml:space="preserve"> </w:t>
      </w:r>
      <w:r w:rsidRPr="0070301A">
        <w:rPr>
          <w:rFonts w:ascii="Times New Roman" w:hAnsi="Times New Roman" w:cs="Times New Roman"/>
          <w:i/>
          <w:iCs/>
          <w:sz w:val="24"/>
          <w:szCs w:val="24"/>
        </w:rPr>
        <w:t>quo</w:t>
      </w:r>
      <w:r>
        <w:rPr>
          <w:rFonts w:ascii="Times New Roman" w:hAnsi="Times New Roman" w:cs="Times New Roman"/>
          <w:sz w:val="24"/>
          <w:szCs w:val="24"/>
        </w:rPr>
        <w:t>, the appellant approached this court on appeal on the following grounds:</w:t>
      </w:r>
    </w:p>
    <w:p w14:paraId="240B7CF6" w14:textId="071BCAB5" w:rsidR="0070301A" w:rsidRPr="00313DB9" w:rsidRDefault="00313DB9" w:rsidP="00313DB9">
      <w:pPr>
        <w:tabs>
          <w:tab w:val="left" w:pos="993"/>
        </w:tabs>
        <w:spacing w:after="0" w:line="240" w:lineRule="auto"/>
        <w:ind w:left="567" w:hanging="567"/>
        <w:jc w:val="both"/>
        <w:rPr>
          <w:rFonts w:ascii="Times New Roman" w:hAnsi="Times New Roman" w:cs="Times New Roman"/>
        </w:rPr>
      </w:pPr>
      <w:r>
        <w:rPr>
          <w:rFonts w:ascii="Times New Roman" w:hAnsi="Times New Roman" w:cs="Times New Roman"/>
        </w:rPr>
        <w:tab/>
      </w:r>
      <w:r w:rsidR="0070301A" w:rsidRPr="00313DB9">
        <w:rPr>
          <w:rFonts w:ascii="Times New Roman" w:hAnsi="Times New Roman" w:cs="Times New Roman"/>
        </w:rPr>
        <w:t>“1.</w:t>
      </w:r>
      <w:r w:rsidR="0070301A" w:rsidRPr="00313DB9">
        <w:rPr>
          <w:rFonts w:ascii="Times New Roman" w:hAnsi="Times New Roman" w:cs="Times New Roman"/>
        </w:rPr>
        <w:tab/>
      </w:r>
      <w:bookmarkStart w:id="2" w:name="_Hlk176559501"/>
      <w:r w:rsidR="0070301A" w:rsidRPr="00313DB9">
        <w:rPr>
          <w:rFonts w:ascii="Times New Roman" w:hAnsi="Times New Roman" w:cs="Times New Roman"/>
        </w:rPr>
        <w:t xml:space="preserve">The court </w:t>
      </w:r>
      <w:r w:rsidR="0070301A" w:rsidRPr="00313DB9">
        <w:rPr>
          <w:rFonts w:ascii="Times New Roman" w:hAnsi="Times New Roman" w:cs="Times New Roman"/>
          <w:i/>
          <w:iCs/>
        </w:rPr>
        <w:t xml:space="preserve">a quo </w:t>
      </w:r>
      <w:r w:rsidR="0070301A" w:rsidRPr="00313DB9">
        <w:rPr>
          <w:rFonts w:ascii="Times New Roman" w:hAnsi="Times New Roman" w:cs="Times New Roman"/>
        </w:rPr>
        <w:t xml:space="preserve">erred in law in by dismissing the point </w:t>
      </w:r>
      <w:r w:rsidR="0070301A" w:rsidRPr="00313DB9">
        <w:rPr>
          <w:rFonts w:ascii="Times New Roman" w:hAnsi="Times New Roman" w:cs="Times New Roman"/>
          <w:i/>
          <w:iCs/>
        </w:rPr>
        <w:t>in limine</w:t>
      </w:r>
      <w:r w:rsidR="0070301A" w:rsidRPr="00313DB9">
        <w:rPr>
          <w:rFonts w:ascii="Times New Roman" w:hAnsi="Times New Roman" w:cs="Times New Roman"/>
        </w:rPr>
        <w:t xml:space="preserve"> on </w:t>
      </w:r>
      <w:r w:rsidR="0070301A" w:rsidRPr="00313DB9">
        <w:rPr>
          <w:rFonts w:ascii="Times New Roman" w:hAnsi="Times New Roman" w:cs="Times New Roman"/>
          <w:i/>
          <w:iCs/>
        </w:rPr>
        <w:t>lis pendens</w:t>
      </w:r>
      <w:r w:rsidR="0070301A" w:rsidRPr="00313DB9">
        <w:rPr>
          <w:rFonts w:ascii="Times New Roman" w:hAnsi="Times New Roman" w:cs="Times New Roman"/>
        </w:rPr>
        <w:t xml:space="preserve"> in proceeding to determine the matter which was pending in the High Court thereby creating a possibility of conflicting judgments on the same issue.</w:t>
      </w:r>
    </w:p>
    <w:bookmarkEnd w:id="2"/>
    <w:p w14:paraId="2A382F99" w14:textId="503C286B" w:rsidR="0070301A" w:rsidRPr="00313DB9" w:rsidRDefault="00313DB9" w:rsidP="00313DB9">
      <w:pPr>
        <w:tabs>
          <w:tab w:val="left" w:pos="993"/>
        </w:tabs>
        <w:spacing w:after="0" w:line="240" w:lineRule="auto"/>
        <w:ind w:left="567" w:hanging="567"/>
        <w:jc w:val="both"/>
        <w:rPr>
          <w:rFonts w:ascii="Times New Roman" w:hAnsi="Times New Roman" w:cs="Times New Roman"/>
        </w:rPr>
      </w:pPr>
      <w:r>
        <w:rPr>
          <w:rFonts w:ascii="Times New Roman" w:hAnsi="Times New Roman" w:cs="Times New Roman"/>
        </w:rPr>
        <w:tab/>
      </w:r>
      <w:r w:rsidR="0070301A" w:rsidRPr="00313DB9">
        <w:rPr>
          <w:rFonts w:ascii="Times New Roman" w:hAnsi="Times New Roman" w:cs="Times New Roman"/>
        </w:rPr>
        <w:t>2.</w:t>
      </w:r>
      <w:r w:rsidR="0070301A" w:rsidRPr="00313DB9">
        <w:rPr>
          <w:rFonts w:ascii="Times New Roman" w:hAnsi="Times New Roman" w:cs="Times New Roman"/>
        </w:rPr>
        <w:tab/>
      </w:r>
      <w:bookmarkStart w:id="3" w:name="_Hlk176590932"/>
      <w:r w:rsidR="0070301A" w:rsidRPr="00313DB9">
        <w:rPr>
          <w:rFonts w:ascii="Times New Roman" w:hAnsi="Times New Roman" w:cs="Times New Roman"/>
        </w:rPr>
        <w:t>The court a quo grossly and irrationally erred in fact amounting to a misdirection in law by granting a final interdict by relying on an illegal lease between the 1</w:t>
      </w:r>
      <w:r w:rsidR="0070301A" w:rsidRPr="00313DB9">
        <w:rPr>
          <w:rFonts w:ascii="Times New Roman" w:hAnsi="Times New Roman" w:cs="Times New Roman"/>
          <w:vertAlign w:val="superscript"/>
        </w:rPr>
        <w:t>st</w:t>
      </w:r>
      <w:r w:rsidR="0070301A" w:rsidRPr="00313DB9">
        <w:rPr>
          <w:rFonts w:ascii="Times New Roman" w:hAnsi="Times New Roman" w:cs="Times New Roman"/>
        </w:rPr>
        <w:t xml:space="preserve"> and 2</w:t>
      </w:r>
      <w:r w:rsidR="0070301A" w:rsidRPr="00313DB9">
        <w:rPr>
          <w:rFonts w:ascii="Times New Roman" w:hAnsi="Times New Roman" w:cs="Times New Roman"/>
          <w:vertAlign w:val="superscript"/>
        </w:rPr>
        <w:t>nd</w:t>
      </w:r>
      <w:r w:rsidR="0070301A" w:rsidRPr="00313DB9">
        <w:rPr>
          <w:rFonts w:ascii="Times New Roman" w:hAnsi="Times New Roman" w:cs="Times New Roman"/>
        </w:rPr>
        <w:t xml:space="preserve"> Respondent yet appellant as the owner of the land had not authorised the lease. </w:t>
      </w:r>
      <w:bookmarkEnd w:id="3"/>
    </w:p>
    <w:p w14:paraId="336C6087" w14:textId="2EE76039" w:rsidR="0070301A" w:rsidRPr="00313DB9" w:rsidRDefault="00313DB9" w:rsidP="00313DB9">
      <w:pPr>
        <w:tabs>
          <w:tab w:val="left" w:pos="993"/>
        </w:tabs>
        <w:spacing w:after="0" w:line="240" w:lineRule="auto"/>
        <w:ind w:left="567" w:hanging="567"/>
        <w:jc w:val="both"/>
        <w:rPr>
          <w:rFonts w:ascii="Times New Roman" w:hAnsi="Times New Roman" w:cs="Times New Roman"/>
        </w:rPr>
      </w:pPr>
      <w:r>
        <w:rPr>
          <w:rFonts w:ascii="Times New Roman" w:hAnsi="Times New Roman" w:cs="Times New Roman"/>
        </w:rPr>
        <w:tab/>
      </w:r>
      <w:r w:rsidR="0070301A" w:rsidRPr="00313DB9">
        <w:rPr>
          <w:rFonts w:ascii="Times New Roman" w:hAnsi="Times New Roman" w:cs="Times New Roman"/>
        </w:rPr>
        <w:t>3.</w:t>
      </w:r>
      <w:r w:rsidR="0070301A" w:rsidRPr="00313DB9">
        <w:rPr>
          <w:rFonts w:ascii="Times New Roman" w:hAnsi="Times New Roman" w:cs="Times New Roman"/>
        </w:rPr>
        <w:tab/>
      </w:r>
      <w:bookmarkStart w:id="4" w:name="_Hlk176592771"/>
      <w:r w:rsidR="0070301A" w:rsidRPr="00313DB9">
        <w:rPr>
          <w:rFonts w:ascii="Times New Roman" w:hAnsi="Times New Roman" w:cs="Times New Roman"/>
        </w:rPr>
        <w:t xml:space="preserve">The court </w:t>
      </w:r>
      <w:r w:rsidR="0070301A" w:rsidRPr="00313DB9">
        <w:rPr>
          <w:rFonts w:ascii="Times New Roman" w:hAnsi="Times New Roman" w:cs="Times New Roman"/>
          <w:i/>
          <w:iCs/>
        </w:rPr>
        <w:t xml:space="preserve">a quo </w:t>
      </w:r>
      <w:r w:rsidR="0070301A" w:rsidRPr="00313DB9">
        <w:rPr>
          <w:rFonts w:ascii="Times New Roman" w:hAnsi="Times New Roman" w:cs="Times New Roman"/>
        </w:rPr>
        <w:t>erred in law by disregarding the Appellant’s by-laws that empower the appellant to issue and enforce the demolition notices for illegal occupation of appellant’s land or premises.</w:t>
      </w:r>
      <w:r w:rsidR="00D13306" w:rsidRPr="00313DB9">
        <w:rPr>
          <w:rFonts w:ascii="Times New Roman" w:hAnsi="Times New Roman" w:cs="Times New Roman"/>
        </w:rPr>
        <w:t>”</w:t>
      </w:r>
    </w:p>
    <w:p w14:paraId="0D860403" w14:textId="77777777" w:rsidR="00D13306" w:rsidRPr="00313DB9" w:rsidRDefault="00D13306" w:rsidP="00313DB9">
      <w:pPr>
        <w:tabs>
          <w:tab w:val="left" w:pos="993"/>
        </w:tabs>
        <w:spacing w:after="0" w:line="240" w:lineRule="auto"/>
        <w:ind w:left="567" w:hanging="567"/>
        <w:jc w:val="both"/>
        <w:rPr>
          <w:rFonts w:ascii="Times New Roman" w:hAnsi="Times New Roman" w:cs="Times New Roman"/>
        </w:rPr>
      </w:pPr>
    </w:p>
    <w:bookmarkEnd w:id="4"/>
    <w:p w14:paraId="6674EB86" w14:textId="7C93C48D" w:rsidR="00FA0FE2" w:rsidRDefault="001271F4" w:rsidP="00EA2DBE">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0FE2">
        <w:rPr>
          <w:rFonts w:ascii="Times New Roman" w:hAnsi="Times New Roman" w:cs="Times New Roman"/>
          <w:sz w:val="24"/>
          <w:szCs w:val="24"/>
        </w:rPr>
        <w:t xml:space="preserve">Based on the above grounds of appeal, the appellant sought the setting aside of the judgment of the court </w:t>
      </w:r>
      <w:r w:rsidR="00FA0FE2" w:rsidRPr="00FA0FE2">
        <w:rPr>
          <w:rFonts w:ascii="Times New Roman" w:hAnsi="Times New Roman" w:cs="Times New Roman"/>
          <w:i/>
          <w:iCs/>
          <w:sz w:val="24"/>
          <w:szCs w:val="24"/>
        </w:rPr>
        <w:t>a quo</w:t>
      </w:r>
      <w:r w:rsidR="00FA0FE2">
        <w:rPr>
          <w:rFonts w:ascii="Times New Roman" w:hAnsi="Times New Roman" w:cs="Times New Roman"/>
          <w:sz w:val="24"/>
          <w:szCs w:val="24"/>
        </w:rPr>
        <w:t xml:space="preserve">, and its substitution with an order dismissing the application for a final interdict, as well as the setting aside of the interim relief granted by the court. The </w:t>
      </w:r>
      <w:r w:rsidR="00A94249">
        <w:rPr>
          <w:rFonts w:ascii="Times New Roman" w:hAnsi="Times New Roman" w:cs="Times New Roman"/>
          <w:sz w:val="24"/>
          <w:szCs w:val="24"/>
        </w:rPr>
        <w:t xml:space="preserve">appellant </w:t>
      </w:r>
      <w:r w:rsidR="00FA0FE2">
        <w:rPr>
          <w:rFonts w:ascii="Times New Roman" w:hAnsi="Times New Roman" w:cs="Times New Roman"/>
          <w:sz w:val="24"/>
          <w:szCs w:val="24"/>
        </w:rPr>
        <w:t xml:space="preserve">also sought an order of costs against the first respondent.  </w:t>
      </w:r>
    </w:p>
    <w:p w14:paraId="0451245F" w14:textId="5E0356F3" w:rsidR="00D13306" w:rsidRDefault="00FA0FE2" w:rsidP="00EA2DBE">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71F4">
        <w:rPr>
          <w:rFonts w:ascii="Times New Roman" w:hAnsi="Times New Roman" w:cs="Times New Roman"/>
          <w:sz w:val="24"/>
          <w:szCs w:val="24"/>
        </w:rPr>
        <w:t xml:space="preserve">At the commencement of the oral submissions, Mr </w:t>
      </w:r>
      <w:r w:rsidR="001271F4" w:rsidRPr="001271F4">
        <w:rPr>
          <w:rFonts w:ascii="Times New Roman" w:hAnsi="Times New Roman" w:cs="Times New Roman"/>
          <w:i/>
          <w:iCs/>
          <w:sz w:val="24"/>
          <w:szCs w:val="24"/>
        </w:rPr>
        <w:t>Tabana</w:t>
      </w:r>
      <w:r w:rsidR="001271F4">
        <w:rPr>
          <w:rFonts w:ascii="Times New Roman" w:hAnsi="Times New Roman" w:cs="Times New Roman"/>
          <w:sz w:val="24"/>
          <w:szCs w:val="24"/>
        </w:rPr>
        <w:t xml:space="preserve"> for the first respondent</w:t>
      </w:r>
      <w:r w:rsidR="00EA2DBE">
        <w:rPr>
          <w:rFonts w:ascii="Times New Roman" w:hAnsi="Times New Roman" w:cs="Times New Roman"/>
          <w:sz w:val="24"/>
          <w:szCs w:val="24"/>
        </w:rPr>
        <w:t xml:space="preserve"> submitted that the appeal was not properly before the court as it was filed out of time. The judgment of the court </w:t>
      </w:r>
      <w:r w:rsidR="00EA2DBE" w:rsidRPr="00EA2DBE">
        <w:rPr>
          <w:rFonts w:ascii="Times New Roman" w:hAnsi="Times New Roman" w:cs="Times New Roman"/>
          <w:i/>
          <w:iCs/>
          <w:sz w:val="24"/>
          <w:szCs w:val="24"/>
        </w:rPr>
        <w:t>a quo</w:t>
      </w:r>
      <w:r w:rsidR="00EA2DBE">
        <w:rPr>
          <w:rFonts w:ascii="Times New Roman" w:hAnsi="Times New Roman" w:cs="Times New Roman"/>
          <w:sz w:val="24"/>
          <w:szCs w:val="24"/>
        </w:rPr>
        <w:t xml:space="preserve"> was handed down on 23 November 2022, and the appeal was only filed on 21 December 2022. The appeal was therefore out of time by two days and no condonation had been sought by the appellants. The appeal was therefore fatally defective and ought to be struck off the roll. </w:t>
      </w:r>
    </w:p>
    <w:p w14:paraId="3031EE5C" w14:textId="73A18E98" w:rsidR="00EA2DBE" w:rsidRDefault="00EA2DBE" w:rsidP="00EA2DBE">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EA2DBE">
        <w:rPr>
          <w:rFonts w:ascii="Times New Roman" w:hAnsi="Times New Roman" w:cs="Times New Roman"/>
          <w:i/>
          <w:iCs/>
          <w:sz w:val="24"/>
          <w:szCs w:val="24"/>
        </w:rPr>
        <w:t>Moyo</w:t>
      </w:r>
      <w:r>
        <w:rPr>
          <w:rFonts w:ascii="Times New Roman" w:hAnsi="Times New Roman" w:cs="Times New Roman"/>
          <w:sz w:val="24"/>
          <w:szCs w:val="24"/>
        </w:rPr>
        <w:t xml:space="preserve"> </w:t>
      </w:r>
      <w:r w:rsidR="00A94249">
        <w:rPr>
          <w:rFonts w:ascii="Times New Roman" w:hAnsi="Times New Roman" w:cs="Times New Roman"/>
          <w:sz w:val="24"/>
          <w:szCs w:val="24"/>
        </w:rPr>
        <w:t xml:space="preserve">for the appellant </w:t>
      </w:r>
      <w:r>
        <w:rPr>
          <w:rFonts w:ascii="Times New Roman" w:hAnsi="Times New Roman" w:cs="Times New Roman"/>
          <w:sz w:val="24"/>
          <w:szCs w:val="24"/>
        </w:rPr>
        <w:t xml:space="preserve">denied that the appeal was of time, </w:t>
      </w:r>
      <w:r w:rsidR="00A94249">
        <w:rPr>
          <w:rFonts w:ascii="Times New Roman" w:hAnsi="Times New Roman" w:cs="Times New Roman"/>
          <w:sz w:val="24"/>
          <w:szCs w:val="24"/>
        </w:rPr>
        <w:t xml:space="preserve">arguing that </w:t>
      </w:r>
      <w:r>
        <w:rPr>
          <w:rFonts w:ascii="Times New Roman" w:hAnsi="Times New Roman" w:cs="Times New Roman"/>
          <w:sz w:val="24"/>
          <w:szCs w:val="24"/>
        </w:rPr>
        <w:t xml:space="preserve">it had been filed within the 21 days permitted by the rules of court. </w:t>
      </w:r>
      <w:r w:rsidR="00FE5004">
        <w:rPr>
          <w:rFonts w:ascii="Times New Roman" w:hAnsi="Times New Roman" w:cs="Times New Roman"/>
          <w:sz w:val="24"/>
          <w:szCs w:val="24"/>
        </w:rPr>
        <w:t xml:space="preserve"> </w:t>
      </w:r>
      <w:r w:rsidR="006C7C37">
        <w:rPr>
          <w:rFonts w:ascii="Times New Roman" w:hAnsi="Times New Roman" w:cs="Times New Roman"/>
          <w:sz w:val="24"/>
          <w:szCs w:val="24"/>
        </w:rPr>
        <w:t xml:space="preserve">Following the counter submissions by the appellant’s counsel, Mr </w:t>
      </w:r>
      <w:r w:rsidR="006C7C37" w:rsidRPr="006C7C37">
        <w:rPr>
          <w:rFonts w:ascii="Times New Roman" w:hAnsi="Times New Roman" w:cs="Times New Roman"/>
          <w:i/>
          <w:iCs/>
          <w:sz w:val="24"/>
          <w:szCs w:val="24"/>
        </w:rPr>
        <w:t xml:space="preserve">Tabana </w:t>
      </w:r>
      <w:r w:rsidR="006C7C37">
        <w:rPr>
          <w:rFonts w:ascii="Times New Roman" w:hAnsi="Times New Roman" w:cs="Times New Roman"/>
          <w:sz w:val="24"/>
          <w:szCs w:val="24"/>
        </w:rPr>
        <w:t xml:space="preserve">abandoned the preliminary point. </w:t>
      </w:r>
    </w:p>
    <w:p w14:paraId="320E459D" w14:textId="483149A0" w:rsidR="00A94249" w:rsidRDefault="006C7C37" w:rsidP="00EA2DBE">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preliminary point was clearly devoid of merit </w:t>
      </w:r>
      <w:r w:rsidR="00A94249" w:rsidRPr="00917B17">
        <w:rPr>
          <w:rFonts w:ascii="Times New Roman" w:hAnsi="Times New Roman" w:cs="Times New Roman"/>
          <w:sz w:val="24"/>
          <w:szCs w:val="24"/>
        </w:rPr>
        <w:t xml:space="preserve">because </w:t>
      </w:r>
      <w:r w:rsidRPr="00917B17">
        <w:rPr>
          <w:rFonts w:ascii="Times New Roman" w:hAnsi="Times New Roman" w:cs="Times New Roman"/>
          <w:sz w:val="24"/>
          <w:szCs w:val="24"/>
        </w:rPr>
        <w:t>o</w:t>
      </w:r>
      <w:r w:rsidR="00917B17" w:rsidRPr="00917B17">
        <w:rPr>
          <w:rFonts w:ascii="Times New Roman" w:hAnsi="Times New Roman" w:cs="Times New Roman"/>
          <w:sz w:val="24"/>
          <w:szCs w:val="24"/>
        </w:rPr>
        <w:t>rder</w:t>
      </w:r>
      <w:r w:rsidRPr="00917B17">
        <w:rPr>
          <w:rFonts w:ascii="Times New Roman" w:hAnsi="Times New Roman" w:cs="Times New Roman"/>
          <w:sz w:val="24"/>
          <w:szCs w:val="24"/>
        </w:rPr>
        <w:t xml:space="preserve"> 31 r (1)(1) of the</w:t>
      </w:r>
      <w:r>
        <w:rPr>
          <w:rFonts w:ascii="Times New Roman" w:hAnsi="Times New Roman" w:cs="Times New Roman"/>
          <w:sz w:val="24"/>
          <w:szCs w:val="24"/>
        </w:rPr>
        <w:t xml:space="preserve"> Magistrates Court Rules, provides that an appeal may be noted within twenty-one days after the date of the judgment appealed against. The </w:t>
      </w:r>
      <w:r w:rsidR="00FE5004">
        <w:rPr>
          <w:rFonts w:ascii="Times New Roman" w:hAnsi="Times New Roman" w:cs="Times New Roman"/>
          <w:sz w:val="24"/>
          <w:szCs w:val="24"/>
        </w:rPr>
        <w:t>twenty-one</w:t>
      </w:r>
      <w:r>
        <w:rPr>
          <w:rFonts w:ascii="Times New Roman" w:hAnsi="Times New Roman" w:cs="Times New Roman"/>
          <w:sz w:val="24"/>
          <w:szCs w:val="24"/>
        </w:rPr>
        <w:t xml:space="preserve"> days only lapsed on 22 December 2022, meaning that the appeal was filed timeously with a day to spare. </w:t>
      </w:r>
    </w:p>
    <w:p w14:paraId="3F8D9AC2" w14:textId="5CE39B1B" w:rsidR="006C7C37" w:rsidRPr="00FA0FE2" w:rsidRDefault="00FA0FE2" w:rsidP="00EA2DBE">
      <w:pPr>
        <w:tabs>
          <w:tab w:val="left" w:pos="993"/>
        </w:tabs>
        <w:spacing w:after="0" w:line="360" w:lineRule="auto"/>
        <w:jc w:val="both"/>
        <w:rPr>
          <w:rFonts w:ascii="Times New Roman" w:hAnsi="Times New Roman" w:cs="Times New Roman"/>
          <w:b/>
          <w:bCs/>
          <w:sz w:val="24"/>
          <w:szCs w:val="24"/>
        </w:rPr>
      </w:pPr>
      <w:r w:rsidRPr="00FA0FE2">
        <w:rPr>
          <w:rFonts w:ascii="Times New Roman" w:hAnsi="Times New Roman" w:cs="Times New Roman"/>
          <w:b/>
          <w:bCs/>
          <w:sz w:val="24"/>
          <w:szCs w:val="24"/>
        </w:rPr>
        <w:t>Submissions on the grounds of appeal and the analysis</w:t>
      </w:r>
    </w:p>
    <w:p w14:paraId="5DCBDEDD" w14:textId="5100222E" w:rsidR="00FA0FE2" w:rsidRPr="00CD439E" w:rsidRDefault="00CD439E" w:rsidP="00EA2DBE">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439E">
        <w:rPr>
          <w:rFonts w:ascii="Times New Roman" w:hAnsi="Times New Roman" w:cs="Times New Roman"/>
          <w:sz w:val="24"/>
          <w:szCs w:val="24"/>
        </w:rPr>
        <w:t xml:space="preserve">I now turn </w:t>
      </w:r>
      <w:r>
        <w:rPr>
          <w:rFonts w:ascii="Times New Roman" w:hAnsi="Times New Roman" w:cs="Times New Roman"/>
          <w:sz w:val="24"/>
          <w:szCs w:val="24"/>
        </w:rPr>
        <w:t xml:space="preserve">to the grounds of appeal hereunder. </w:t>
      </w:r>
    </w:p>
    <w:p w14:paraId="65620C7F" w14:textId="032A3B71" w:rsidR="00CD439E" w:rsidRPr="00A94249" w:rsidRDefault="00FE5004" w:rsidP="00A94249">
      <w:pPr>
        <w:tabs>
          <w:tab w:val="left" w:pos="993"/>
        </w:tabs>
        <w:spacing w:after="0"/>
        <w:jc w:val="both"/>
        <w:rPr>
          <w:rFonts w:ascii="Times New Roman" w:hAnsi="Times New Roman" w:cs="Times New Roman"/>
          <w:b/>
          <w:bCs/>
          <w:sz w:val="24"/>
          <w:szCs w:val="24"/>
        </w:rPr>
      </w:pPr>
      <w:r>
        <w:rPr>
          <w:rFonts w:ascii="Times New Roman" w:hAnsi="Times New Roman" w:cs="Times New Roman"/>
          <w:b/>
          <w:bCs/>
          <w:sz w:val="24"/>
          <w:szCs w:val="24"/>
        </w:rPr>
        <w:tab/>
      </w:r>
      <w:r w:rsidR="00CD439E" w:rsidRPr="00A94249">
        <w:rPr>
          <w:rFonts w:ascii="Times New Roman" w:hAnsi="Times New Roman" w:cs="Times New Roman"/>
          <w:b/>
          <w:bCs/>
          <w:sz w:val="24"/>
          <w:szCs w:val="24"/>
        </w:rPr>
        <w:t xml:space="preserve">That the court </w:t>
      </w:r>
      <w:r w:rsidR="00CD439E" w:rsidRPr="00A94249">
        <w:rPr>
          <w:rFonts w:ascii="Times New Roman" w:hAnsi="Times New Roman" w:cs="Times New Roman"/>
          <w:b/>
          <w:bCs/>
          <w:i/>
          <w:iCs/>
          <w:sz w:val="24"/>
          <w:szCs w:val="24"/>
        </w:rPr>
        <w:t xml:space="preserve">a quo </w:t>
      </w:r>
      <w:r w:rsidR="00CD439E" w:rsidRPr="00A94249">
        <w:rPr>
          <w:rFonts w:ascii="Times New Roman" w:hAnsi="Times New Roman" w:cs="Times New Roman"/>
          <w:b/>
          <w:bCs/>
          <w:sz w:val="24"/>
          <w:szCs w:val="24"/>
        </w:rPr>
        <w:t xml:space="preserve">erred in law in by dismissing the point </w:t>
      </w:r>
      <w:r w:rsidR="00CD439E" w:rsidRPr="00A94249">
        <w:rPr>
          <w:rFonts w:ascii="Times New Roman" w:hAnsi="Times New Roman" w:cs="Times New Roman"/>
          <w:b/>
          <w:bCs/>
          <w:i/>
          <w:iCs/>
          <w:sz w:val="24"/>
          <w:szCs w:val="24"/>
        </w:rPr>
        <w:t>in limine</w:t>
      </w:r>
      <w:r w:rsidR="00CD439E" w:rsidRPr="00A94249">
        <w:rPr>
          <w:rFonts w:ascii="Times New Roman" w:hAnsi="Times New Roman" w:cs="Times New Roman"/>
          <w:b/>
          <w:bCs/>
          <w:sz w:val="24"/>
          <w:szCs w:val="24"/>
        </w:rPr>
        <w:t xml:space="preserve"> on </w:t>
      </w:r>
      <w:r w:rsidR="00CD439E" w:rsidRPr="00A94249">
        <w:rPr>
          <w:rFonts w:ascii="Times New Roman" w:hAnsi="Times New Roman" w:cs="Times New Roman"/>
          <w:b/>
          <w:bCs/>
          <w:i/>
          <w:iCs/>
          <w:sz w:val="24"/>
          <w:szCs w:val="24"/>
        </w:rPr>
        <w:t>lis pendens</w:t>
      </w:r>
      <w:r w:rsidR="00CD439E" w:rsidRPr="00A94249">
        <w:rPr>
          <w:rFonts w:ascii="Times New Roman" w:hAnsi="Times New Roman" w:cs="Times New Roman"/>
          <w:b/>
          <w:bCs/>
          <w:sz w:val="24"/>
          <w:szCs w:val="24"/>
        </w:rPr>
        <w:t xml:space="preserve"> in proceeding to determine the matter which was pending in the High Court thereby creating a possibility of conflicting judgments on the same issue.</w:t>
      </w:r>
    </w:p>
    <w:p w14:paraId="5552C92B" w14:textId="77777777" w:rsidR="00CD439E" w:rsidRDefault="00CD439E" w:rsidP="00CD439E">
      <w:pPr>
        <w:tabs>
          <w:tab w:val="left" w:pos="993"/>
        </w:tabs>
        <w:spacing w:after="0"/>
        <w:ind w:left="360"/>
        <w:jc w:val="both"/>
        <w:rPr>
          <w:rFonts w:ascii="Times New Roman" w:hAnsi="Times New Roman" w:cs="Times New Roman"/>
          <w:sz w:val="24"/>
          <w:szCs w:val="24"/>
        </w:rPr>
      </w:pPr>
    </w:p>
    <w:p w14:paraId="4B817A50" w14:textId="2382CCDC" w:rsidR="00CD439E" w:rsidRDefault="00A94249" w:rsidP="00A94249">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D439E">
        <w:rPr>
          <w:rFonts w:ascii="Times New Roman" w:hAnsi="Times New Roman" w:cs="Times New Roman"/>
          <w:sz w:val="24"/>
          <w:szCs w:val="24"/>
        </w:rPr>
        <w:t xml:space="preserve">Mr </w:t>
      </w:r>
      <w:r w:rsidR="00CD439E" w:rsidRPr="00CD439E">
        <w:rPr>
          <w:rFonts w:ascii="Times New Roman" w:hAnsi="Times New Roman" w:cs="Times New Roman"/>
          <w:i/>
          <w:iCs/>
          <w:sz w:val="24"/>
          <w:szCs w:val="24"/>
        </w:rPr>
        <w:t>Nyathi</w:t>
      </w:r>
      <w:r w:rsidR="00CD439E">
        <w:rPr>
          <w:rFonts w:ascii="Times New Roman" w:hAnsi="Times New Roman" w:cs="Times New Roman"/>
          <w:i/>
          <w:iCs/>
          <w:sz w:val="24"/>
          <w:szCs w:val="24"/>
        </w:rPr>
        <w:t xml:space="preserve"> </w:t>
      </w:r>
      <w:r w:rsidR="00CD439E">
        <w:rPr>
          <w:rFonts w:ascii="Times New Roman" w:hAnsi="Times New Roman" w:cs="Times New Roman"/>
          <w:sz w:val="24"/>
          <w:szCs w:val="24"/>
        </w:rPr>
        <w:t xml:space="preserve">who was coappearing for the appellant submitted that the court </w:t>
      </w:r>
      <w:r w:rsidR="00CD439E" w:rsidRPr="00CD439E">
        <w:rPr>
          <w:rFonts w:ascii="Times New Roman" w:hAnsi="Times New Roman" w:cs="Times New Roman"/>
          <w:i/>
          <w:iCs/>
          <w:sz w:val="24"/>
          <w:szCs w:val="24"/>
        </w:rPr>
        <w:t>a quo</w:t>
      </w:r>
      <w:r w:rsidR="00CD439E">
        <w:rPr>
          <w:rFonts w:ascii="Times New Roman" w:hAnsi="Times New Roman" w:cs="Times New Roman"/>
          <w:sz w:val="24"/>
          <w:szCs w:val="24"/>
        </w:rPr>
        <w:t xml:space="preserve"> erred in dismissing the preliminary point on </w:t>
      </w:r>
      <w:r w:rsidR="00CD439E" w:rsidRPr="00CD439E">
        <w:rPr>
          <w:rFonts w:ascii="Times New Roman" w:hAnsi="Times New Roman" w:cs="Times New Roman"/>
          <w:i/>
          <w:iCs/>
          <w:sz w:val="24"/>
          <w:szCs w:val="24"/>
        </w:rPr>
        <w:t>lis pendens</w:t>
      </w:r>
      <w:r w:rsidR="00CD439E">
        <w:rPr>
          <w:rFonts w:ascii="Times New Roman" w:hAnsi="Times New Roman" w:cs="Times New Roman"/>
          <w:i/>
          <w:iCs/>
          <w:sz w:val="24"/>
          <w:szCs w:val="24"/>
        </w:rPr>
        <w:t xml:space="preserve">, </w:t>
      </w:r>
      <w:r w:rsidR="00CD439E">
        <w:rPr>
          <w:rFonts w:ascii="Times New Roman" w:hAnsi="Times New Roman" w:cs="Times New Roman"/>
          <w:sz w:val="24"/>
          <w:szCs w:val="24"/>
        </w:rPr>
        <w:t xml:space="preserve">as there were similarities between the order it </w:t>
      </w:r>
      <w:r w:rsidR="00E07424">
        <w:rPr>
          <w:rFonts w:ascii="Times New Roman" w:hAnsi="Times New Roman" w:cs="Times New Roman"/>
          <w:sz w:val="24"/>
          <w:szCs w:val="24"/>
        </w:rPr>
        <w:t>granted,</w:t>
      </w:r>
      <w:r w:rsidR="00CD439E">
        <w:rPr>
          <w:rFonts w:ascii="Times New Roman" w:hAnsi="Times New Roman" w:cs="Times New Roman"/>
          <w:sz w:val="24"/>
          <w:szCs w:val="24"/>
        </w:rPr>
        <w:t xml:space="preserve"> and the interim relief granted between the same parties b</w:t>
      </w:r>
      <w:r w:rsidR="00E07424">
        <w:rPr>
          <w:rFonts w:ascii="Times New Roman" w:hAnsi="Times New Roman" w:cs="Times New Roman"/>
          <w:sz w:val="24"/>
          <w:szCs w:val="24"/>
        </w:rPr>
        <w:t xml:space="preserve">y </w:t>
      </w:r>
      <w:r w:rsidR="00FE5004" w:rsidRPr="00FE5004">
        <w:rPr>
          <w:rFonts w:ascii="Times New Roman" w:hAnsi="Times New Roman" w:cs="Times New Roman"/>
          <w:smallCaps/>
          <w:sz w:val="24"/>
          <w:szCs w:val="24"/>
        </w:rPr>
        <w:t>chinamora</w:t>
      </w:r>
      <w:r w:rsidR="00FE5004">
        <w:rPr>
          <w:rFonts w:ascii="Times New Roman" w:hAnsi="Times New Roman" w:cs="Times New Roman"/>
          <w:sz w:val="24"/>
          <w:szCs w:val="24"/>
        </w:rPr>
        <w:t xml:space="preserve"> </w:t>
      </w:r>
      <w:r w:rsidR="00E07424">
        <w:rPr>
          <w:rFonts w:ascii="Times New Roman" w:hAnsi="Times New Roman" w:cs="Times New Roman"/>
          <w:sz w:val="24"/>
          <w:szCs w:val="24"/>
        </w:rPr>
        <w:t xml:space="preserve">J on 4 November 2022. </w:t>
      </w:r>
    </w:p>
    <w:p w14:paraId="112006DE" w14:textId="40D3E87D" w:rsidR="00E07424" w:rsidRDefault="00E07424" w:rsidP="00A94249">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E07424">
        <w:rPr>
          <w:rFonts w:ascii="Times New Roman" w:hAnsi="Times New Roman" w:cs="Times New Roman"/>
          <w:i/>
          <w:iCs/>
          <w:sz w:val="24"/>
          <w:szCs w:val="24"/>
        </w:rPr>
        <w:t xml:space="preserve">Tabana </w:t>
      </w:r>
      <w:r>
        <w:rPr>
          <w:rFonts w:ascii="Times New Roman" w:hAnsi="Times New Roman" w:cs="Times New Roman"/>
          <w:sz w:val="24"/>
          <w:szCs w:val="24"/>
        </w:rPr>
        <w:t xml:space="preserve">submitted that the cause of action in the matter before the court </w:t>
      </w:r>
      <w:r w:rsidRPr="00E07424">
        <w:rPr>
          <w:rFonts w:ascii="Times New Roman" w:hAnsi="Times New Roman" w:cs="Times New Roman"/>
          <w:i/>
          <w:iCs/>
          <w:sz w:val="24"/>
          <w:szCs w:val="24"/>
        </w:rPr>
        <w:t>a quo</w:t>
      </w:r>
      <w:r>
        <w:rPr>
          <w:rFonts w:ascii="Times New Roman" w:hAnsi="Times New Roman" w:cs="Times New Roman"/>
          <w:sz w:val="24"/>
          <w:szCs w:val="24"/>
        </w:rPr>
        <w:t xml:space="preserve"> was different from the cause of action in the matter that was heard and determined by </w:t>
      </w:r>
      <w:r w:rsidR="00FE5004" w:rsidRPr="00FE5004">
        <w:rPr>
          <w:rFonts w:ascii="Times New Roman" w:hAnsi="Times New Roman" w:cs="Times New Roman"/>
          <w:smallCaps/>
          <w:sz w:val="24"/>
          <w:szCs w:val="24"/>
        </w:rPr>
        <w:t>chinamora</w:t>
      </w:r>
      <w:r w:rsidR="00FE5004">
        <w:rPr>
          <w:rFonts w:ascii="Times New Roman" w:hAnsi="Times New Roman" w:cs="Times New Roman"/>
          <w:sz w:val="24"/>
          <w:szCs w:val="24"/>
        </w:rPr>
        <w:t xml:space="preserve"> </w:t>
      </w:r>
      <w:r>
        <w:rPr>
          <w:rFonts w:ascii="Times New Roman" w:hAnsi="Times New Roman" w:cs="Times New Roman"/>
          <w:sz w:val="24"/>
          <w:szCs w:val="24"/>
        </w:rPr>
        <w:t xml:space="preserve">J in HC 7416/22. </w:t>
      </w:r>
      <w:r w:rsidR="00FE5004">
        <w:rPr>
          <w:rFonts w:ascii="Times New Roman" w:hAnsi="Times New Roman" w:cs="Times New Roman"/>
          <w:sz w:val="24"/>
          <w:szCs w:val="24"/>
        </w:rPr>
        <w:t xml:space="preserve"> </w:t>
      </w:r>
      <w:r>
        <w:rPr>
          <w:rFonts w:ascii="Times New Roman" w:hAnsi="Times New Roman" w:cs="Times New Roman"/>
          <w:sz w:val="24"/>
          <w:szCs w:val="24"/>
        </w:rPr>
        <w:t xml:space="preserve">According to counsel, the proceedings before </w:t>
      </w:r>
      <w:r w:rsidR="00FE5004" w:rsidRPr="00FE5004">
        <w:rPr>
          <w:rFonts w:ascii="Times New Roman" w:hAnsi="Times New Roman" w:cs="Times New Roman"/>
          <w:smallCaps/>
          <w:sz w:val="24"/>
          <w:szCs w:val="24"/>
        </w:rPr>
        <w:t>chinamora</w:t>
      </w:r>
      <w:r w:rsidR="00FE5004">
        <w:rPr>
          <w:rFonts w:ascii="Times New Roman" w:hAnsi="Times New Roman" w:cs="Times New Roman"/>
          <w:sz w:val="24"/>
          <w:szCs w:val="24"/>
        </w:rPr>
        <w:t xml:space="preserve"> </w:t>
      </w:r>
      <w:r>
        <w:rPr>
          <w:rFonts w:ascii="Times New Roman" w:hAnsi="Times New Roman" w:cs="Times New Roman"/>
          <w:sz w:val="24"/>
          <w:szCs w:val="24"/>
        </w:rPr>
        <w:t xml:space="preserve">J were for a </w:t>
      </w:r>
      <w:r w:rsidRPr="00E07424">
        <w:rPr>
          <w:rFonts w:ascii="Times New Roman" w:hAnsi="Times New Roman" w:cs="Times New Roman"/>
          <w:i/>
          <w:iCs/>
          <w:sz w:val="24"/>
          <w:szCs w:val="24"/>
        </w:rPr>
        <w:t>declaratur</w:t>
      </w:r>
      <w:r>
        <w:rPr>
          <w:rFonts w:ascii="Times New Roman" w:hAnsi="Times New Roman" w:cs="Times New Roman"/>
          <w:sz w:val="24"/>
          <w:szCs w:val="24"/>
        </w:rPr>
        <w:t xml:space="preserve">, which the court </w:t>
      </w:r>
      <w:r w:rsidRPr="00E07424">
        <w:rPr>
          <w:rFonts w:ascii="Times New Roman" w:hAnsi="Times New Roman" w:cs="Times New Roman"/>
          <w:i/>
          <w:iCs/>
          <w:sz w:val="24"/>
          <w:szCs w:val="24"/>
        </w:rPr>
        <w:t>a quo</w:t>
      </w:r>
      <w:r>
        <w:rPr>
          <w:rFonts w:ascii="Times New Roman" w:hAnsi="Times New Roman" w:cs="Times New Roman"/>
          <w:sz w:val="24"/>
          <w:szCs w:val="24"/>
        </w:rPr>
        <w:t xml:space="preserve"> had no jurisdiction to grant. </w:t>
      </w:r>
      <w:r w:rsidR="00A94249">
        <w:rPr>
          <w:rFonts w:ascii="Times New Roman" w:hAnsi="Times New Roman" w:cs="Times New Roman"/>
          <w:sz w:val="24"/>
          <w:szCs w:val="24"/>
        </w:rPr>
        <w:t xml:space="preserve">Further, </w:t>
      </w:r>
      <w:r>
        <w:rPr>
          <w:rFonts w:ascii="Times New Roman" w:hAnsi="Times New Roman" w:cs="Times New Roman"/>
          <w:sz w:val="24"/>
          <w:szCs w:val="24"/>
        </w:rPr>
        <w:t xml:space="preserve">the provisional order granted by </w:t>
      </w:r>
      <w:r w:rsidR="00FE5004" w:rsidRPr="00FE5004">
        <w:rPr>
          <w:rFonts w:ascii="Times New Roman" w:hAnsi="Times New Roman" w:cs="Times New Roman"/>
          <w:smallCaps/>
          <w:sz w:val="24"/>
          <w:szCs w:val="24"/>
        </w:rPr>
        <w:t>chinamora</w:t>
      </w:r>
      <w:r w:rsidR="00FE5004">
        <w:rPr>
          <w:rFonts w:ascii="Times New Roman" w:hAnsi="Times New Roman" w:cs="Times New Roman"/>
          <w:sz w:val="24"/>
          <w:szCs w:val="24"/>
        </w:rPr>
        <w:t xml:space="preserve"> </w:t>
      </w:r>
      <w:r>
        <w:rPr>
          <w:rFonts w:ascii="Times New Roman" w:hAnsi="Times New Roman" w:cs="Times New Roman"/>
          <w:sz w:val="24"/>
          <w:szCs w:val="24"/>
        </w:rPr>
        <w:t xml:space="preserve">J was a consent order, which the appellant herein appealed </w:t>
      </w:r>
      <w:r w:rsidR="00A94249">
        <w:rPr>
          <w:rFonts w:ascii="Times New Roman" w:hAnsi="Times New Roman" w:cs="Times New Roman"/>
          <w:sz w:val="24"/>
          <w:szCs w:val="24"/>
        </w:rPr>
        <w:t xml:space="preserve">against </w:t>
      </w:r>
      <w:r>
        <w:rPr>
          <w:rFonts w:ascii="Times New Roman" w:hAnsi="Times New Roman" w:cs="Times New Roman"/>
          <w:sz w:val="24"/>
          <w:szCs w:val="24"/>
        </w:rPr>
        <w:t xml:space="preserve">to the Supreme Court under SC 637/22. </w:t>
      </w:r>
      <w:r w:rsidR="00FE5004">
        <w:rPr>
          <w:rFonts w:ascii="Times New Roman" w:hAnsi="Times New Roman" w:cs="Times New Roman"/>
          <w:sz w:val="24"/>
          <w:szCs w:val="24"/>
        </w:rPr>
        <w:t xml:space="preserve"> </w:t>
      </w:r>
      <w:r w:rsidR="000907AF">
        <w:rPr>
          <w:rFonts w:ascii="Times New Roman" w:hAnsi="Times New Roman" w:cs="Times New Roman"/>
          <w:sz w:val="24"/>
          <w:szCs w:val="24"/>
        </w:rPr>
        <w:t xml:space="preserve">The court was urged to dismiss the preliminary point for lack of merit. </w:t>
      </w:r>
    </w:p>
    <w:p w14:paraId="78FC240C" w14:textId="4E9B56C5" w:rsidR="000907AF" w:rsidRDefault="000907AF" w:rsidP="00A94249">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provisional order granted by </w:t>
      </w:r>
      <w:r w:rsidR="00FE5004" w:rsidRPr="00FE5004">
        <w:rPr>
          <w:rFonts w:ascii="Times New Roman" w:hAnsi="Times New Roman" w:cs="Times New Roman"/>
          <w:smallCaps/>
          <w:sz w:val="24"/>
          <w:szCs w:val="24"/>
        </w:rPr>
        <w:t>chinamora</w:t>
      </w:r>
      <w:r w:rsidR="00FE5004">
        <w:rPr>
          <w:rFonts w:ascii="Times New Roman" w:hAnsi="Times New Roman" w:cs="Times New Roman"/>
          <w:sz w:val="24"/>
          <w:szCs w:val="24"/>
        </w:rPr>
        <w:t xml:space="preserve"> </w:t>
      </w:r>
      <w:r>
        <w:rPr>
          <w:rFonts w:ascii="Times New Roman" w:hAnsi="Times New Roman" w:cs="Times New Roman"/>
          <w:sz w:val="24"/>
          <w:szCs w:val="24"/>
        </w:rPr>
        <w:t>J at the instance of the first</w:t>
      </w:r>
      <w:r w:rsidR="00A94249">
        <w:rPr>
          <w:rFonts w:ascii="Times New Roman" w:hAnsi="Times New Roman" w:cs="Times New Roman"/>
          <w:sz w:val="24"/>
          <w:szCs w:val="24"/>
        </w:rPr>
        <w:t xml:space="preserve"> </w:t>
      </w:r>
      <w:r>
        <w:rPr>
          <w:rFonts w:ascii="Times New Roman" w:hAnsi="Times New Roman" w:cs="Times New Roman"/>
          <w:sz w:val="24"/>
          <w:szCs w:val="24"/>
        </w:rPr>
        <w:t>respondent herein read</w:t>
      </w:r>
      <w:r w:rsidR="00A94249">
        <w:rPr>
          <w:rFonts w:ascii="Times New Roman" w:hAnsi="Times New Roman" w:cs="Times New Roman"/>
          <w:sz w:val="24"/>
          <w:szCs w:val="24"/>
        </w:rPr>
        <w:t>s</w:t>
      </w:r>
      <w:r>
        <w:rPr>
          <w:rFonts w:ascii="Times New Roman" w:hAnsi="Times New Roman" w:cs="Times New Roman"/>
          <w:sz w:val="24"/>
          <w:szCs w:val="24"/>
        </w:rPr>
        <w:t xml:space="preserve"> as follows:</w:t>
      </w:r>
    </w:p>
    <w:p w14:paraId="7606DEBB" w14:textId="1FA7D6D0" w:rsidR="000907AF" w:rsidRPr="000907AF" w:rsidRDefault="000907AF" w:rsidP="000907AF">
      <w:pPr>
        <w:tabs>
          <w:tab w:val="left" w:pos="993"/>
        </w:tabs>
        <w:spacing w:after="0" w:line="240" w:lineRule="auto"/>
        <w:ind w:left="993"/>
        <w:jc w:val="both"/>
        <w:rPr>
          <w:rFonts w:ascii="Times New Roman" w:hAnsi="Times New Roman" w:cs="Times New Roman"/>
        </w:rPr>
      </w:pPr>
      <w:r w:rsidRPr="000907AF">
        <w:rPr>
          <w:rFonts w:ascii="Times New Roman" w:hAnsi="Times New Roman" w:cs="Times New Roman"/>
        </w:rPr>
        <w:t>“That pending the finalisation of this matter, the 1</w:t>
      </w:r>
      <w:r w:rsidRPr="000907AF">
        <w:rPr>
          <w:rFonts w:ascii="Times New Roman" w:hAnsi="Times New Roman" w:cs="Times New Roman"/>
          <w:vertAlign w:val="superscript"/>
        </w:rPr>
        <w:t>st</w:t>
      </w:r>
      <w:r w:rsidRPr="000907AF">
        <w:rPr>
          <w:rFonts w:ascii="Times New Roman" w:hAnsi="Times New Roman" w:cs="Times New Roman"/>
        </w:rPr>
        <w:t xml:space="preserve"> respondent is restrained and interdicted as follows:</w:t>
      </w:r>
    </w:p>
    <w:p w14:paraId="6DF0F6DE" w14:textId="43CB84B3" w:rsidR="000907AF" w:rsidRPr="000907AF" w:rsidRDefault="000907AF" w:rsidP="000907AF">
      <w:pPr>
        <w:pStyle w:val="ListParagraph"/>
        <w:numPr>
          <w:ilvl w:val="0"/>
          <w:numId w:val="4"/>
        </w:numPr>
        <w:tabs>
          <w:tab w:val="left" w:pos="993"/>
        </w:tabs>
        <w:spacing w:after="0" w:line="240" w:lineRule="auto"/>
        <w:jc w:val="both"/>
        <w:rPr>
          <w:rFonts w:ascii="Times New Roman" w:hAnsi="Times New Roman" w:cs="Times New Roman"/>
        </w:rPr>
      </w:pPr>
      <w:r w:rsidRPr="000907AF">
        <w:rPr>
          <w:rFonts w:ascii="Times New Roman" w:hAnsi="Times New Roman" w:cs="Times New Roman"/>
        </w:rPr>
        <w:t>The 1</w:t>
      </w:r>
      <w:r w:rsidRPr="000907AF">
        <w:rPr>
          <w:rFonts w:ascii="Times New Roman" w:hAnsi="Times New Roman" w:cs="Times New Roman"/>
          <w:vertAlign w:val="superscript"/>
        </w:rPr>
        <w:t>st</w:t>
      </w:r>
      <w:r w:rsidRPr="000907AF">
        <w:rPr>
          <w:rFonts w:ascii="Times New Roman" w:hAnsi="Times New Roman" w:cs="Times New Roman"/>
        </w:rPr>
        <w:t xml:space="preserve"> respondent and all those claiming through it be and are hereby interdicted from interfering with the applicant’s rights of occupation pertaining to the leased premises, namely Stand 4292 Machipisa, Harare.</w:t>
      </w:r>
    </w:p>
    <w:p w14:paraId="517B4C0C" w14:textId="7FCF5CE1" w:rsidR="000907AF" w:rsidRPr="000907AF" w:rsidRDefault="000907AF" w:rsidP="000907AF">
      <w:pPr>
        <w:pStyle w:val="ListParagraph"/>
        <w:numPr>
          <w:ilvl w:val="0"/>
          <w:numId w:val="4"/>
        </w:numPr>
        <w:tabs>
          <w:tab w:val="left" w:pos="993"/>
        </w:tabs>
        <w:spacing w:after="0" w:line="240" w:lineRule="auto"/>
        <w:jc w:val="both"/>
        <w:rPr>
          <w:rFonts w:ascii="Times New Roman" w:hAnsi="Times New Roman" w:cs="Times New Roman"/>
        </w:rPr>
      </w:pPr>
      <w:r w:rsidRPr="000907AF">
        <w:rPr>
          <w:rFonts w:ascii="Times New Roman" w:hAnsi="Times New Roman" w:cs="Times New Roman"/>
        </w:rPr>
        <w:t>The first respondent be and is ordered not to demolish or evict the applicant except with an order of court.”</w:t>
      </w:r>
    </w:p>
    <w:p w14:paraId="0B1DFBCA" w14:textId="56D7E39E" w:rsidR="00CD439E" w:rsidRDefault="00CD439E" w:rsidP="000907AF">
      <w:pPr>
        <w:tabs>
          <w:tab w:val="left" w:pos="993"/>
        </w:tabs>
        <w:spacing w:after="0" w:line="360" w:lineRule="auto"/>
        <w:jc w:val="both"/>
        <w:rPr>
          <w:rFonts w:ascii="Times New Roman" w:hAnsi="Times New Roman" w:cs="Times New Roman"/>
          <w:sz w:val="24"/>
          <w:szCs w:val="24"/>
        </w:rPr>
      </w:pPr>
    </w:p>
    <w:p w14:paraId="6D49123C" w14:textId="62F7AA4A" w:rsidR="00AB64C4" w:rsidRDefault="00FE5004" w:rsidP="005B21B5">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07AF">
        <w:rPr>
          <w:rFonts w:ascii="Times New Roman" w:hAnsi="Times New Roman" w:cs="Times New Roman"/>
          <w:sz w:val="24"/>
          <w:szCs w:val="24"/>
        </w:rPr>
        <w:t xml:space="preserve">On the return date, the first respondent wanted the court to </w:t>
      </w:r>
      <w:r w:rsidR="00243D2D">
        <w:rPr>
          <w:rFonts w:ascii="Times New Roman" w:hAnsi="Times New Roman" w:cs="Times New Roman"/>
          <w:sz w:val="24"/>
          <w:szCs w:val="24"/>
        </w:rPr>
        <w:t>g</w:t>
      </w:r>
      <w:r w:rsidR="00AB64C4">
        <w:rPr>
          <w:rFonts w:ascii="Times New Roman" w:hAnsi="Times New Roman" w:cs="Times New Roman"/>
          <w:sz w:val="24"/>
          <w:szCs w:val="24"/>
        </w:rPr>
        <w:t>rant the following relief:</w:t>
      </w:r>
    </w:p>
    <w:p w14:paraId="46C35673" w14:textId="65C9CD6A" w:rsidR="00AB64C4" w:rsidRPr="005B21B5" w:rsidRDefault="00AB64C4" w:rsidP="005B21B5">
      <w:pPr>
        <w:tabs>
          <w:tab w:val="left" w:pos="993"/>
        </w:tabs>
        <w:spacing w:after="0" w:line="240" w:lineRule="auto"/>
        <w:ind w:left="284" w:firstLine="436"/>
        <w:jc w:val="both"/>
        <w:rPr>
          <w:rFonts w:ascii="Times New Roman" w:hAnsi="Times New Roman" w:cs="Times New Roman"/>
          <w:b/>
          <w:bCs/>
        </w:rPr>
      </w:pPr>
      <w:r w:rsidRPr="005B21B5">
        <w:rPr>
          <w:rFonts w:ascii="Times New Roman" w:hAnsi="Times New Roman" w:cs="Times New Roman"/>
          <w:b/>
          <w:bCs/>
        </w:rPr>
        <w:t>“IT IS DECLARED THAT:</w:t>
      </w:r>
    </w:p>
    <w:p w14:paraId="5ECA0683" w14:textId="00CC5A19" w:rsidR="00AB64C4" w:rsidRPr="005B21B5" w:rsidRDefault="00AB64C4" w:rsidP="005B21B5">
      <w:pPr>
        <w:pStyle w:val="ListParagraph"/>
        <w:numPr>
          <w:ilvl w:val="0"/>
          <w:numId w:val="5"/>
        </w:numPr>
        <w:tabs>
          <w:tab w:val="left" w:pos="993"/>
        </w:tabs>
        <w:spacing w:after="0" w:line="240" w:lineRule="auto"/>
        <w:jc w:val="both"/>
        <w:rPr>
          <w:rFonts w:ascii="Times New Roman" w:hAnsi="Times New Roman" w:cs="Times New Roman"/>
        </w:rPr>
      </w:pPr>
      <w:r w:rsidRPr="005B21B5">
        <w:rPr>
          <w:rFonts w:ascii="Times New Roman" w:hAnsi="Times New Roman" w:cs="Times New Roman"/>
        </w:rPr>
        <w:t>The letter by the first respondent dated 2</w:t>
      </w:r>
      <w:r w:rsidR="00F06229">
        <w:rPr>
          <w:rFonts w:ascii="Times New Roman" w:hAnsi="Times New Roman" w:cs="Times New Roman"/>
        </w:rPr>
        <w:t>0</w:t>
      </w:r>
      <w:r w:rsidRPr="005B21B5">
        <w:rPr>
          <w:rFonts w:ascii="Times New Roman" w:hAnsi="Times New Roman" w:cs="Times New Roman"/>
        </w:rPr>
        <w:t>th October 2022 is of no force and effect.</w:t>
      </w:r>
    </w:p>
    <w:p w14:paraId="0C0ECDBC" w14:textId="6119A380" w:rsidR="00AB64C4" w:rsidRPr="005B21B5" w:rsidRDefault="00AB64C4" w:rsidP="005B21B5">
      <w:pPr>
        <w:tabs>
          <w:tab w:val="left" w:pos="993"/>
        </w:tabs>
        <w:spacing w:after="0" w:line="240" w:lineRule="auto"/>
        <w:ind w:left="996"/>
        <w:jc w:val="both"/>
        <w:rPr>
          <w:rFonts w:ascii="Times New Roman" w:hAnsi="Times New Roman" w:cs="Times New Roman"/>
          <w:b/>
          <w:bCs/>
        </w:rPr>
      </w:pPr>
      <w:r w:rsidRPr="005B21B5">
        <w:rPr>
          <w:rFonts w:ascii="Times New Roman" w:hAnsi="Times New Roman" w:cs="Times New Roman"/>
          <w:b/>
          <w:bCs/>
        </w:rPr>
        <w:t xml:space="preserve">Consequently </w:t>
      </w:r>
    </w:p>
    <w:p w14:paraId="0A73F6C3" w14:textId="3D42D0D3" w:rsidR="00AB64C4" w:rsidRPr="005B21B5" w:rsidRDefault="00AB64C4" w:rsidP="005B21B5">
      <w:pPr>
        <w:pStyle w:val="ListParagraph"/>
        <w:numPr>
          <w:ilvl w:val="0"/>
          <w:numId w:val="5"/>
        </w:numPr>
        <w:tabs>
          <w:tab w:val="left" w:pos="993"/>
        </w:tabs>
        <w:spacing w:after="0" w:line="240" w:lineRule="auto"/>
        <w:jc w:val="both"/>
        <w:rPr>
          <w:rFonts w:ascii="Times New Roman" w:hAnsi="Times New Roman" w:cs="Times New Roman"/>
        </w:rPr>
      </w:pPr>
      <w:r w:rsidRPr="005B21B5">
        <w:rPr>
          <w:rFonts w:ascii="Times New Roman" w:hAnsi="Times New Roman" w:cs="Times New Roman"/>
        </w:rPr>
        <w:t xml:space="preserve">Applicant has full entitlement to the use of Stand 4294 Machipisa </w:t>
      </w:r>
      <w:r w:rsidR="005B21B5" w:rsidRPr="005B21B5">
        <w:rPr>
          <w:rFonts w:ascii="Times New Roman" w:hAnsi="Times New Roman" w:cs="Times New Roman"/>
        </w:rPr>
        <w:t>in terms of a valid lease agreement between it and second respondent.</w:t>
      </w:r>
    </w:p>
    <w:p w14:paraId="30E31E08" w14:textId="7FA42C1B" w:rsidR="005B21B5" w:rsidRPr="005B21B5" w:rsidRDefault="005B21B5" w:rsidP="005B21B5">
      <w:pPr>
        <w:pStyle w:val="ListParagraph"/>
        <w:numPr>
          <w:ilvl w:val="0"/>
          <w:numId w:val="5"/>
        </w:numPr>
        <w:tabs>
          <w:tab w:val="left" w:pos="993"/>
        </w:tabs>
        <w:spacing w:after="0" w:line="240" w:lineRule="auto"/>
        <w:jc w:val="both"/>
        <w:rPr>
          <w:rFonts w:ascii="Times New Roman" w:hAnsi="Times New Roman" w:cs="Times New Roman"/>
        </w:rPr>
      </w:pPr>
      <w:r w:rsidRPr="005B21B5">
        <w:rPr>
          <w:rFonts w:ascii="Times New Roman" w:hAnsi="Times New Roman" w:cs="Times New Roman"/>
        </w:rPr>
        <w:t>First respondent is interdicted from interfering with applicant’s use and enjoyment of Stand number 4292 Machipisa except in terms of an order of court.</w:t>
      </w:r>
    </w:p>
    <w:p w14:paraId="3569AF4B" w14:textId="0D1DE2E3" w:rsidR="005B21B5" w:rsidRPr="005B21B5" w:rsidRDefault="005B21B5" w:rsidP="005B21B5">
      <w:pPr>
        <w:pStyle w:val="ListParagraph"/>
        <w:numPr>
          <w:ilvl w:val="0"/>
          <w:numId w:val="5"/>
        </w:numPr>
        <w:tabs>
          <w:tab w:val="left" w:pos="993"/>
        </w:tabs>
        <w:spacing w:after="0" w:line="240" w:lineRule="auto"/>
        <w:jc w:val="both"/>
        <w:rPr>
          <w:rFonts w:ascii="Times New Roman" w:hAnsi="Times New Roman" w:cs="Times New Roman"/>
        </w:rPr>
      </w:pPr>
      <w:r w:rsidRPr="005B21B5">
        <w:rPr>
          <w:rFonts w:ascii="Times New Roman" w:hAnsi="Times New Roman" w:cs="Times New Roman"/>
        </w:rPr>
        <w:t>First respondent to bear costs of suit on a higher scale between legal practitioner and own client.</w:t>
      </w:r>
    </w:p>
    <w:p w14:paraId="65F9ECD5" w14:textId="29C6E407" w:rsidR="005B21B5" w:rsidRPr="005B21B5" w:rsidRDefault="005B21B5" w:rsidP="005B21B5">
      <w:pPr>
        <w:pStyle w:val="ListParagraph"/>
        <w:numPr>
          <w:ilvl w:val="0"/>
          <w:numId w:val="5"/>
        </w:numPr>
        <w:tabs>
          <w:tab w:val="left" w:pos="993"/>
        </w:tabs>
        <w:spacing w:after="0" w:line="240" w:lineRule="auto"/>
        <w:jc w:val="both"/>
        <w:rPr>
          <w:rFonts w:ascii="Times New Roman" w:hAnsi="Times New Roman" w:cs="Times New Roman"/>
        </w:rPr>
      </w:pPr>
      <w:r w:rsidRPr="005B21B5">
        <w:rPr>
          <w:rFonts w:ascii="Times New Roman" w:hAnsi="Times New Roman" w:cs="Times New Roman"/>
        </w:rPr>
        <w:t>Interim Relief Granted.”</w:t>
      </w:r>
    </w:p>
    <w:p w14:paraId="59B0BF29" w14:textId="77777777" w:rsidR="00AB64C4" w:rsidRDefault="00AB64C4" w:rsidP="000907AF">
      <w:pPr>
        <w:tabs>
          <w:tab w:val="left" w:pos="993"/>
        </w:tabs>
        <w:spacing w:after="0" w:line="360" w:lineRule="auto"/>
        <w:ind w:left="284" w:firstLine="436"/>
        <w:jc w:val="both"/>
        <w:rPr>
          <w:rFonts w:ascii="Times New Roman" w:hAnsi="Times New Roman" w:cs="Times New Roman"/>
          <w:sz w:val="24"/>
          <w:szCs w:val="24"/>
        </w:rPr>
      </w:pPr>
    </w:p>
    <w:p w14:paraId="0CCF101B" w14:textId="51972FE4" w:rsidR="00A94249" w:rsidRDefault="005B21B5" w:rsidP="00FE5004">
      <w:pPr>
        <w:tabs>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conclusion of the proceedings in the court </w:t>
      </w:r>
      <w:r w:rsidRPr="005B21B5">
        <w:rPr>
          <w:rFonts w:ascii="Times New Roman" w:hAnsi="Times New Roman" w:cs="Times New Roman"/>
          <w:i/>
          <w:iCs/>
          <w:sz w:val="24"/>
          <w:szCs w:val="24"/>
        </w:rPr>
        <w:t>a quo</w:t>
      </w:r>
      <w:r>
        <w:rPr>
          <w:rFonts w:ascii="Times New Roman" w:hAnsi="Times New Roman" w:cs="Times New Roman"/>
          <w:sz w:val="24"/>
          <w:szCs w:val="24"/>
        </w:rPr>
        <w:t xml:space="preserve">, </w:t>
      </w:r>
      <w:r w:rsidR="00A94249">
        <w:rPr>
          <w:rFonts w:ascii="Times New Roman" w:hAnsi="Times New Roman" w:cs="Times New Roman"/>
          <w:sz w:val="24"/>
          <w:szCs w:val="24"/>
        </w:rPr>
        <w:t>o</w:t>
      </w:r>
      <w:r>
        <w:rPr>
          <w:rFonts w:ascii="Times New Roman" w:hAnsi="Times New Roman" w:cs="Times New Roman"/>
          <w:sz w:val="24"/>
          <w:szCs w:val="24"/>
        </w:rPr>
        <w:t>n 23 November 20</w:t>
      </w:r>
      <w:r w:rsidR="00F06229">
        <w:rPr>
          <w:rFonts w:ascii="Times New Roman" w:hAnsi="Times New Roman" w:cs="Times New Roman"/>
          <w:sz w:val="24"/>
          <w:szCs w:val="24"/>
        </w:rPr>
        <w:t>22</w:t>
      </w:r>
      <w:r w:rsidR="00A94249">
        <w:rPr>
          <w:rFonts w:ascii="Times New Roman" w:hAnsi="Times New Roman" w:cs="Times New Roman"/>
          <w:sz w:val="24"/>
          <w:szCs w:val="24"/>
        </w:rPr>
        <w:t>, the court</w:t>
      </w:r>
      <w:r>
        <w:rPr>
          <w:rFonts w:ascii="Times New Roman" w:hAnsi="Times New Roman" w:cs="Times New Roman"/>
          <w:sz w:val="24"/>
          <w:szCs w:val="24"/>
        </w:rPr>
        <w:t xml:space="preserve"> granted the following order:</w:t>
      </w:r>
    </w:p>
    <w:p w14:paraId="41098360" w14:textId="7516CDFB" w:rsidR="005B21B5" w:rsidRPr="00DC1797" w:rsidRDefault="005B21B5" w:rsidP="00DC1797">
      <w:pPr>
        <w:tabs>
          <w:tab w:val="left" w:pos="993"/>
        </w:tabs>
        <w:spacing w:after="0" w:line="240" w:lineRule="auto"/>
        <w:ind w:left="284" w:firstLine="436"/>
        <w:jc w:val="both"/>
        <w:rPr>
          <w:rFonts w:ascii="Times New Roman" w:hAnsi="Times New Roman" w:cs="Times New Roman"/>
          <w:b/>
          <w:bCs/>
        </w:rPr>
      </w:pPr>
      <w:r w:rsidRPr="005B21B5">
        <w:rPr>
          <w:rFonts w:ascii="Times New Roman" w:hAnsi="Times New Roman" w:cs="Times New Roman"/>
          <w:b/>
          <w:bCs/>
          <w:sz w:val="24"/>
          <w:szCs w:val="24"/>
        </w:rPr>
        <w:t>“</w:t>
      </w:r>
      <w:r w:rsidRPr="00DC1797">
        <w:rPr>
          <w:rFonts w:ascii="Times New Roman" w:hAnsi="Times New Roman" w:cs="Times New Roman"/>
          <w:b/>
          <w:bCs/>
        </w:rPr>
        <w:t>It is hereby ordered that:</w:t>
      </w:r>
    </w:p>
    <w:p w14:paraId="7BD4DBB4" w14:textId="6C698DFC" w:rsidR="00CD439E" w:rsidRPr="00DC1797" w:rsidRDefault="005B21B5" w:rsidP="00DC1797">
      <w:pPr>
        <w:pStyle w:val="ListParagraph"/>
        <w:numPr>
          <w:ilvl w:val="0"/>
          <w:numId w:val="6"/>
        </w:numPr>
        <w:tabs>
          <w:tab w:val="left" w:pos="993"/>
        </w:tabs>
        <w:spacing w:after="0" w:line="240" w:lineRule="auto"/>
        <w:jc w:val="both"/>
        <w:rPr>
          <w:rFonts w:ascii="Times New Roman" w:hAnsi="Times New Roman" w:cs="Times New Roman"/>
        </w:rPr>
      </w:pPr>
      <w:r w:rsidRPr="00DC1797">
        <w:rPr>
          <w:rFonts w:ascii="Times New Roman" w:hAnsi="Times New Roman" w:cs="Times New Roman"/>
        </w:rPr>
        <w:t>The application for an interdict be and is hereby granted.</w:t>
      </w:r>
    </w:p>
    <w:p w14:paraId="43AD8D1F" w14:textId="7D10E0BA" w:rsidR="005B21B5" w:rsidRPr="00DC1797" w:rsidRDefault="005B21B5" w:rsidP="00DC1797">
      <w:pPr>
        <w:pStyle w:val="ListParagraph"/>
        <w:numPr>
          <w:ilvl w:val="0"/>
          <w:numId w:val="6"/>
        </w:numPr>
        <w:tabs>
          <w:tab w:val="left" w:pos="993"/>
        </w:tabs>
        <w:spacing w:after="0" w:line="240" w:lineRule="auto"/>
        <w:jc w:val="both"/>
        <w:rPr>
          <w:rFonts w:ascii="Times New Roman" w:hAnsi="Times New Roman" w:cs="Times New Roman"/>
        </w:rPr>
      </w:pPr>
      <w:r w:rsidRPr="00DC1797">
        <w:rPr>
          <w:rFonts w:ascii="Times New Roman" w:hAnsi="Times New Roman" w:cs="Times New Roman"/>
        </w:rPr>
        <w:t>The interim order is hereby confirmed as the final order.</w:t>
      </w:r>
    </w:p>
    <w:p w14:paraId="4F283E6C" w14:textId="474C7D21" w:rsidR="005B21B5" w:rsidRPr="00DC1797" w:rsidRDefault="005B21B5" w:rsidP="00DC1797">
      <w:pPr>
        <w:pStyle w:val="ListParagraph"/>
        <w:numPr>
          <w:ilvl w:val="0"/>
          <w:numId w:val="6"/>
        </w:numPr>
        <w:tabs>
          <w:tab w:val="left" w:pos="993"/>
        </w:tabs>
        <w:spacing w:after="0" w:line="240" w:lineRule="auto"/>
        <w:jc w:val="both"/>
        <w:rPr>
          <w:rFonts w:ascii="Times New Roman" w:hAnsi="Times New Roman" w:cs="Times New Roman"/>
        </w:rPr>
      </w:pPr>
      <w:r w:rsidRPr="00DC1797">
        <w:rPr>
          <w:rFonts w:ascii="Times New Roman" w:hAnsi="Times New Roman" w:cs="Times New Roman"/>
        </w:rPr>
        <w:t>The 1</w:t>
      </w:r>
      <w:r w:rsidRPr="00DC1797">
        <w:rPr>
          <w:rFonts w:ascii="Times New Roman" w:hAnsi="Times New Roman" w:cs="Times New Roman"/>
          <w:vertAlign w:val="superscript"/>
        </w:rPr>
        <w:t>st</w:t>
      </w:r>
      <w:r w:rsidRPr="00DC1797">
        <w:rPr>
          <w:rFonts w:ascii="Times New Roman" w:hAnsi="Times New Roman" w:cs="Times New Roman"/>
        </w:rPr>
        <w:t xml:space="preserve"> Respondent and those acting through them be and are hereby interdicted from demolishing or evicting the applicant without a court order.</w:t>
      </w:r>
    </w:p>
    <w:p w14:paraId="4C24EECA" w14:textId="77F9DFBD" w:rsidR="005B21B5" w:rsidRPr="00DC1797" w:rsidRDefault="005B21B5" w:rsidP="00DC1797">
      <w:pPr>
        <w:pStyle w:val="ListParagraph"/>
        <w:numPr>
          <w:ilvl w:val="0"/>
          <w:numId w:val="6"/>
        </w:numPr>
        <w:tabs>
          <w:tab w:val="left" w:pos="993"/>
        </w:tabs>
        <w:spacing w:after="0" w:line="240" w:lineRule="auto"/>
        <w:jc w:val="both"/>
        <w:rPr>
          <w:rFonts w:ascii="Times New Roman" w:hAnsi="Times New Roman" w:cs="Times New Roman"/>
        </w:rPr>
      </w:pPr>
      <w:r w:rsidRPr="00DC1797">
        <w:rPr>
          <w:rFonts w:ascii="Times New Roman" w:hAnsi="Times New Roman" w:cs="Times New Roman"/>
        </w:rPr>
        <w:t>1</w:t>
      </w:r>
      <w:r w:rsidRPr="00DC1797">
        <w:rPr>
          <w:rFonts w:ascii="Times New Roman" w:hAnsi="Times New Roman" w:cs="Times New Roman"/>
          <w:vertAlign w:val="superscript"/>
        </w:rPr>
        <w:t>st</w:t>
      </w:r>
      <w:r w:rsidRPr="00DC1797">
        <w:rPr>
          <w:rFonts w:ascii="Times New Roman" w:hAnsi="Times New Roman" w:cs="Times New Roman"/>
        </w:rPr>
        <w:t xml:space="preserve"> Respondent to pay costs on an ordinary scale.”</w:t>
      </w:r>
    </w:p>
    <w:p w14:paraId="0FCD52DC" w14:textId="77777777" w:rsidR="008513C0" w:rsidRDefault="008513C0" w:rsidP="008513C0">
      <w:pPr>
        <w:tabs>
          <w:tab w:val="left" w:pos="993"/>
        </w:tabs>
        <w:spacing w:after="0"/>
        <w:jc w:val="both"/>
        <w:rPr>
          <w:rFonts w:ascii="Times New Roman" w:hAnsi="Times New Roman" w:cs="Times New Roman"/>
          <w:sz w:val="24"/>
          <w:szCs w:val="24"/>
        </w:rPr>
      </w:pPr>
    </w:p>
    <w:p w14:paraId="1E98A55F" w14:textId="1294848D" w:rsidR="008513C0" w:rsidRPr="008513C0" w:rsidRDefault="008513C0" w:rsidP="008513C0">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Authors </w:t>
      </w:r>
      <w:r w:rsidRPr="008513C0">
        <w:rPr>
          <w:rFonts w:ascii="Times New Roman" w:hAnsi="Times New Roman" w:cs="Times New Roman"/>
          <w:i/>
          <w:iCs/>
          <w:sz w:val="24"/>
          <w:szCs w:val="24"/>
        </w:rPr>
        <w:t>Herbstein and Van Winsen</w:t>
      </w:r>
      <w:r w:rsidRPr="008513C0">
        <w:rPr>
          <w:rFonts w:ascii="Times New Roman" w:hAnsi="Times New Roman" w:cs="Times New Roman"/>
          <w:sz w:val="24"/>
          <w:szCs w:val="24"/>
        </w:rPr>
        <w:t xml:space="preserve"> in </w:t>
      </w:r>
      <w:r>
        <w:rPr>
          <w:rFonts w:ascii="Times New Roman" w:hAnsi="Times New Roman" w:cs="Times New Roman"/>
          <w:sz w:val="24"/>
          <w:szCs w:val="24"/>
        </w:rPr>
        <w:t>their book T</w:t>
      </w:r>
      <w:r w:rsidRPr="008513C0">
        <w:rPr>
          <w:rFonts w:ascii="Times New Roman" w:hAnsi="Times New Roman" w:cs="Times New Roman"/>
          <w:sz w:val="24"/>
          <w:szCs w:val="24"/>
        </w:rPr>
        <w:t>he Civil Practice of the High Courts</w:t>
      </w:r>
      <w:r>
        <w:rPr>
          <w:rFonts w:ascii="Times New Roman" w:hAnsi="Times New Roman" w:cs="Times New Roman"/>
          <w:sz w:val="24"/>
          <w:szCs w:val="24"/>
        </w:rPr>
        <w:t xml:space="preserve"> of </w:t>
      </w:r>
      <w:r w:rsidRPr="008513C0">
        <w:rPr>
          <w:rFonts w:ascii="Times New Roman" w:hAnsi="Times New Roman" w:cs="Times New Roman"/>
          <w:sz w:val="24"/>
          <w:szCs w:val="24"/>
        </w:rPr>
        <w:t>South Africa</w:t>
      </w:r>
      <w:r>
        <w:rPr>
          <w:rStyle w:val="FootnoteReference"/>
          <w:rFonts w:ascii="Times New Roman" w:hAnsi="Times New Roman" w:cs="Times New Roman"/>
          <w:sz w:val="24"/>
          <w:szCs w:val="24"/>
        </w:rPr>
        <w:footnoteReference w:id="1"/>
      </w:r>
      <w:r w:rsidRPr="008513C0">
        <w:rPr>
          <w:rFonts w:ascii="Times New Roman" w:hAnsi="Times New Roman" w:cs="Times New Roman"/>
          <w:sz w:val="24"/>
          <w:szCs w:val="24"/>
        </w:rPr>
        <w:t xml:space="preserve">, </w:t>
      </w:r>
      <w:r>
        <w:rPr>
          <w:rFonts w:ascii="Times New Roman" w:hAnsi="Times New Roman" w:cs="Times New Roman"/>
          <w:sz w:val="24"/>
          <w:szCs w:val="24"/>
        </w:rPr>
        <w:t xml:space="preserve">made the following </w:t>
      </w:r>
      <w:r w:rsidR="00A94249">
        <w:rPr>
          <w:rFonts w:ascii="Times New Roman" w:hAnsi="Times New Roman" w:cs="Times New Roman"/>
          <w:sz w:val="24"/>
          <w:szCs w:val="24"/>
        </w:rPr>
        <w:t xml:space="preserve">pertinent </w:t>
      </w:r>
      <w:r>
        <w:rPr>
          <w:rFonts w:ascii="Times New Roman" w:hAnsi="Times New Roman" w:cs="Times New Roman"/>
          <w:sz w:val="24"/>
          <w:szCs w:val="24"/>
        </w:rPr>
        <w:t xml:space="preserve">observations about a plea of </w:t>
      </w:r>
      <w:r w:rsidRPr="008513C0">
        <w:rPr>
          <w:rFonts w:ascii="Times New Roman" w:hAnsi="Times New Roman" w:cs="Times New Roman"/>
          <w:i/>
          <w:iCs/>
          <w:sz w:val="24"/>
          <w:szCs w:val="24"/>
        </w:rPr>
        <w:t>lis pendens</w:t>
      </w:r>
      <w:r w:rsidRPr="008513C0">
        <w:rPr>
          <w:rFonts w:ascii="Times New Roman" w:hAnsi="Times New Roman" w:cs="Times New Roman"/>
          <w:sz w:val="24"/>
          <w:szCs w:val="24"/>
        </w:rPr>
        <w:t>:-</w:t>
      </w:r>
    </w:p>
    <w:p w14:paraId="1A9C6C08" w14:textId="77777777" w:rsidR="008513C0" w:rsidRPr="00A94249" w:rsidRDefault="008513C0" w:rsidP="008513C0">
      <w:pPr>
        <w:tabs>
          <w:tab w:val="left" w:pos="993"/>
        </w:tabs>
        <w:spacing w:after="0"/>
        <w:ind w:left="993"/>
        <w:jc w:val="both"/>
        <w:rPr>
          <w:rFonts w:ascii="Times New Roman" w:hAnsi="Times New Roman" w:cs="Times New Roman"/>
        </w:rPr>
      </w:pPr>
      <w:r w:rsidRPr="00A94249">
        <w:rPr>
          <w:rFonts w:ascii="Times New Roman" w:hAnsi="Times New Roman" w:cs="Times New Roman"/>
        </w:rPr>
        <w:t>“</w:t>
      </w:r>
      <w:r w:rsidRPr="00A94249">
        <w:rPr>
          <w:rFonts w:ascii="Times New Roman" w:hAnsi="Times New Roman" w:cs="Times New Roman"/>
          <w:i/>
          <w:iCs/>
        </w:rPr>
        <w:t>Lis pendens</w:t>
      </w:r>
      <w:r w:rsidRPr="00A94249">
        <w:rPr>
          <w:rFonts w:ascii="Times New Roman" w:hAnsi="Times New Roman" w:cs="Times New Roman"/>
        </w:rPr>
        <w:t xml:space="preserve"> is a special plea open to a defendant who contends that a suit between the same parties concerning a like thing and founded upon the same cause of action is pending in some other court…</w:t>
      </w:r>
    </w:p>
    <w:p w14:paraId="3390D30A" w14:textId="3252D6B7" w:rsidR="008513C0" w:rsidRPr="00A94249" w:rsidRDefault="008513C0" w:rsidP="008513C0">
      <w:pPr>
        <w:tabs>
          <w:tab w:val="left" w:pos="993"/>
        </w:tabs>
        <w:spacing w:after="0"/>
        <w:ind w:left="993"/>
        <w:jc w:val="both"/>
        <w:rPr>
          <w:rFonts w:ascii="Times New Roman" w:hAnsi="Times New Roman" w:cs="Times New Roman"/>
        </w:rPr>
      </w:pPr>
      <w:r w:rsidRPr="00A94249">
        <w:rPr>
          <w:rFonts w:ascii="Times New Roman" w:hAnsi="Times New Roman" w:cs="Times New Roman"/>
        </w:rPr>
        <w:t xml:space="preserve">A plea of </w:t>
      </w:r>
      <w:r w:rsidRPr="00A94249">
        <w:rPr>
          <w:rFonts w:ascii="Times New Roman" w:hAnsi="Times New Roman" w:cs="Times New Roman"/>
          <w:i/>
          <w:iCs/>
        </w:rPr>
        <w:t>lis alibi pendens</w:t>
      </w:r>
      <w:r w:rsidRPr="00A94249">
        <w:rPr>
          <w:rFonts w:ascii="Times New Roman" w:hAnsi="Times New Roman" w:cs="Times New Roman"/>
        </w:rPr>
        <w:t xml:space="preserve"> does not have the effect of an absolute bar to the proceedings in which the defence is raised. The court intervenes to stay one or other of the proceedings, because </w:t>
      </w:r>
      <w:r w:rsidR="0016124D" w:rsidRPr="00A94249">
        <w:rPr>
          <w:rFonts w:ascii="Times New Roman" w:hAnsi="Times New Roman" w:cs="Times New Roman"/>
        </w:rPr>
        <w:t xml:space="preserve">it is </w:t>
      </w:r>
      <w:r w:rsidR="0016124D" w:rsidRPr="00A94249">
        <w:rPr>
          <w:rFonts w:ascii="Times New Roman" w:hAnsi="Times New Roman" w:cs="Times New Roman"/>
          <w:i/>
          <w:iCs/>
        </w:rPr>
        <w:t>prima facie</w:t>
      </w:r>
      <w:r w:rsidR="0016124D" w:rsidRPr="00A94249">
        <w:rPr>
          <w:rFonts w:ascii="Times New Roman" w:hAnsi="Times New Roman" w:cs="Times New Roman"/>
        </w:rPr>
        <w:t xml:space="preserve"> vexatious to bring two actions in respect of the same subject matter. The court reserves a discretion in the matter even if all the essentials of the plea are </w:t>
      </w:r>
      <w:r w:rsidR="00A94249" w:rsidRPr="00A94249">
        <w:rPr>
          <w:rFonts w:ascii="Times New Roman" w:hAnsi="Times New Roman" w:cs="Times New Roman"/>
        </w:rPr>
        <w:t>present and</w:t>
      </w:r>
      <w:r w:rsidR="0016124D" w:rsidRPr="00A94249">
        <w:rPr>
          <w:rFonts w:ascii="Times New Roman" w:hAnsi="Times New Roman" w:cs="Times New Roman"/>
        </w:rPr>
        <w:t xml:space="preserve"> may in spite of that fact consider ‘whether it is more just and equitable or convenient that it [the action against which the special plea is advanced] should be allowed to proceed. It often happens that the court will decide that the </w:t>
      </w:r>
      <w:r w:rsidR="0016124D" w:rsidRPr="00A94249">
        <w:rPr>
          <w:rFonts w:ascii="Times New Roman" w:hAnsi="Times New Roman" w:cs="Times New Roman"/>
          <w:i/>
          <w:iCs/>
        </w:rPr>
        <w:t>lis</w:t>
      </w:r>
      <w:r w:rsidR="0016124D" w:rsidRPr="00A94249">
        <w:rPr>
          <w:rFonts w:ascii="Times New Roman" w:hAnsi="Times New Roman" w:cs="Times New Roman"/>
        </w:rPr>
        <w:t xml:space="preserve"> which was first commenced should be the one to proceed, but this is not an immutable rule.</w:t>
      </w:r>
      <w:r w:rsidRPr="00A94249">
        <w:rPr>
          <w:rFonts w:ascii="Times New Roman" w:hAnsi="Times New Roman" w:cs="Times New Roman"/>
        </w:rPr>
        <w:t>”</w:t>
      </w:r>
    </w:p>
    <w:p w14:paraId="657B19F7" w14:textId="77777777" w:rsidR="008513C0" w:rsidRPr="00A94249" w:rsidRDefault="008513C0" w:rsidP="008513C0">
      <w:pPr>
        <w:tabs>
          <w:tab w:val="left" w:pos="993"/>
        </w:tabs>
        <w:spacing w:after="0"/>
        <w:jc w:val="both"/>
        <w:rPr>
          <w:rFonts w:ascii="Times New Roman" w:hAnsi="Times New Roman" w:cs="Times New Roman"/>
        </w:rPr>
      </w:pPr>
    </w:p>
    <w:p w14:paraId="282805A2" w14:textId="2D43003A" w:rsidR="00EE5851" w:rsidRDefault="00683D9F" w:rsidP="00EE5851">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time that this appeal was argued before us, the appeal against the decision of </w:t>
      </w:r>
      <w:r w:rsidR="00FE5004" w:rsidRPr="00FE5004">
        <w:rPr>
          <w:rFonts w:ascii="Times New Roman" w:hAnsi="Times New Roman" w:cs="Times New Roman"/>
          <w:smallCaps/>
          <w:sz w:val="24"/>
          <w:szCs w:val="24"/>
        </w:rPr>
        <w:t>chinamora</w:t>
      </w:r>
      <w:r w:rsidR="00FE5004">
        <w:rPr>
          <w:rFonts w:ascii="Times New Roman" w:hAnsi="Times New Roman" w:cs="Times New Roman"/>
          <w:sz w:val="24"/>
          <w:szCs w:val="24"/>
        </w:rPr>
        <w:t xml:space="preserve"> </w:t>
      </w:r>
      <w:r>
        <w:rPr>
          <w:rFonts w:ascii="Times New Roman" w:hAnsi="Times New Roman" w:cs="Times New Roman"/>
          <w:sz w:val="24"/>
          <w:szCs w:val="24"/>
        </w:rPr>
        <w:t xml:space="preserve">J, was pending before the Supreme Court. The parties counsel agreed that the preparation and handing down of this judgment be stayed pending the determination of the appeal pending before the Supreme Court. </w:t>
      </w:r>
      <w:r w:rsidR="00EE5851">
        <w:rPr>
          <w:rFonts w:ascii="Times New Roman" w:hAnsi="Times New Roman" w:cs="Times New Roman"/>
          <w:sz w:val="24"/>
          <w:szCs w:val="24"/>
        </w:rPr>
        <w:t>On 22 November 2023, we received a letter from the first respondent’s counsel advising that the appellant’s appeal</w:t>
      </w:r>
      <w:r w:rsidR="00E60F76">
        <w:rPr>
          <w:rFonts w:ascii="Times New Roman" w:hAnsi="Times New Roman" w:cs="Times New Roman"/>
          <w:sz w:val="24"/>
          <w:szCs w:val="24"/>
        </w:rPr>
        <w:t xml:space="preserve"> to the Supreme Court</w:t>
      </w:r>
      <w:r w:rsidR="00EE5851">
        <w:rPr>
          <w:rFonts w:ascii="Times New Roman" w:hAnsi="Times New Roman" w:cs="Times New Roman"/>
          <w:sz w:val="24"/>
          <w:szCs w:val="24"/>
        </w:rPr>
        <w:t xml:space="preserve"> had been withdrawn. </w:t>
      </w:r>
    </w:p>
    <w:p w14:paraId="3AF15F63" w14:textId="5BCFD07B" w:rsidR="008513C0" w:rsidRDefault="00EE5851" w:rsidP="00EE5851">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Supreme Court matter, the appellant was the City of Harare, the same appellant in this matter. The first respondent in that matter is the first respondent herein. The second respondent is the same second respondent herein. The matter before </w:t>
      </w:r>
      <w:r w:rsidR="00FE5004" w:rsidRPr="00FE5004">
        <w:rPr>
          <w:rFonts w:ascii="Times New Roman" w:hAnsi="Times New Roman" w:cs="Times New Roman"/>
          <w:smallCaps/>
          <w:sz w:val="24"/>
          <w:szCs w:val="24"/>
        </w:rPr>
        <w:t>chinamora</w:t>
      </w:r>
      <w:r w:rsidR="00FE5004">
        <w:rPr>
          <w:rFonts w:ascii="Times New Roman" w:hAnsi="Times New Roman" w:cs="Times New Roman"/>
          <w:sz w:val="24"/>
          <w:szCs w:val="24"/>
        </w:rPr>
        <w:t xml:space="preserve"> </w:t>
      </w:r>
      <w:r>
        <w:rPr>
          <w:rFonts w:ascii="Times New Roman" w:hAnsi="Times New Roman" w:cs="Times New Roman"/>
          <w:sz w:val="24"/>
          <w:szCs w:val="24"/>
        </w:rPr>
        <w:t xml:space="preserve">J was concerned with the same property, which was also the subject of the dispute in the court </w:t>
      </w:r>
      <w:r w:rsidRPr="00EE5851">
        <w:rPr>
          <w:rFonts w:ascii="Times New Roman" w:hAnsi="Times New Roman" w:cs="Times New Roman"/>
          <w:i/>
          <w:iCs/>
          <w:sz w:val="24"/>
          <w:szCs w:val="24"/>
        </w:rPr>
        <w:t>a quo</w:t>
      </w:r>
      <w:r>
        <w:rPr>
          <w:rFonts w:ascii="Times New Roman" w:hAnsi="Times New Roman" w:cs="Times New Roman"/>
          <w:sz w:val="24"/>
          <w:szCs w:val="24"/>
        </w:rPr>
        <w:t>. What triggered the approach to the High Court in HC 7416/22</w:t>
      </w:r>
      <w:r w:rsidR="00E60F76">
        <w:rPr>
          <w:rFonts w:ascii="Times New Roman" w:hAnsi="Times New Roman" w:cs="Times New Roman"/>
          <w:sz w:val="24"/>
          <w:szCs w:val="24"/>
        </w:rPr>
        <w:t xml:space="preserve">, as well as </w:t>
      </w:r>
      <w:r>
        <w:rPr>
          <w:rFonts w:ascii="Times New Roman" w:hAnsi="Times New Roman" w:cs="Times New Roman"/>
          <w:sz w:val="24"/>
          <w:szCs w:val="24"/>
        </w:rPr>
        <w:t xml:space="preserve">the court </w:t>
      </w:r>
      <w:r w:rsidRPr="00EE5851">
        <w:rPr>
          <w:rFonts w:ascii="Times New Roman" w:hAnsi="Times New Roman" w:cs="Times New Roman"/>
          <w:i/>
          <w:iCs/>
          <w:sz w:val="24"/>
          <w:szCs w:val="24"/>
        </w:rPr>
        <w:t>a quo</w:t>
      </w:r>
      <w:r>
        <w:rPr>
          <w:rFonts w:ascii="Times New Roman" w:hAnsi="Times New Roman" w:cs="Times New Roman"/>
          <w:i/>
          <w:iCs/>
          <w:sz w:val="24"/>
          <w:szCs w:val="24"/>
        </w:rPr>
        <w:t xml:space="preserve">, </w:t>
      </w:r>
      <w:r>
        <w:rPr>
          <w:rFonts w:ascii="Times New Roman" w:hAnsi="Times New Roman" w:cs="Times New Roman"/>
          <w:sz w:val="24"/>
          <w:szCs w:val="24"/>
        </w:rPr>
        <w:t>was the same letter of 17 October 202</w:t>
      </w:r>
      <w:r w:rsidR="00F06229">
        <w:rPr>
          <w:rFonts w:ascii="Times New Roman" w:hAnsi="Times New Roman" w:cs="Times New Roman"/>
          <w:sz w:val="24"/>
          <w:szCs w:val="24"/>
        </w:rPr>
        <w:t>2</w:t>
      </w:r>
      <w:r>
        <w:rPr>
          <w:rFonts w:ascii="Times New Roman" w:hAnsi="Times New Roman" w:cs="Times New Roman"/>
          <w:sz w:val="24"/>
          <w:szCs w:val="24"/>
        </w:rPr>
        <w:t>, which carried the threats of demolition of the property and the summary eviction of the first respondent</w:t>
      </w:r>
      <w:r w:rsidR="00E60F76">
        <w:rPr>
          <w:rFonts w:ascii="Times New Roman" w:hAnsi="Times New Roman" w:cs="Times New Roman"/>
          <w:sz w:val="24"/>
          <w:szCs w:val="24"/>
        </w:rPr>
        <w:t xml:space="preserve"> from the premises</w:t>
      </w:r>
      <w:r>
        <w:rPr>
          <w:rFonts w:ascii="Times New Roman" w:hAnsi="Times New Roman" w:cs="Times New Roman"/>
          <w:sz w:val="24"/>
          <w:szCs w:val="24"/>
        </w:rPr>
        <w:t xml:space="preserve">. In his ruling, the learned magistrate in the court </w:t>
      </w:r>
      <w:r w:rsidRPr="00C34091">
        <w:rPr>
          <w:rFonts w:ascii="Times New Roman" w:hAnsi="Times New Roman" w:cs="Times New Roman"/>
          <w:i/>
          <w:iCs/>
          <w:sz w:val="24"/>
          <w:szCs w:val="24"/>
        </w:rPr>
        <w:t>a quo</w:t>
      </w:r>
      <w:r>
        <w:rPr>
          <w:rFonts w:ascii="Times New Roman" w:hAnsi="Times New Roman" w:cs="Times New Roman"/>
          <w:sz w:val="24"/>
          <w:szCs w:val="24"/>
        </w:rPr>
        <w:t xml:space="preserve">, dealt with the preliminary point </w:t>
      </w:r>
      <w:r w:rsidR="00E60F76">
        <w:rPr>
          <w:rFonts w:ascii="Times New Roman" w:hAnsi="Times New Roman" w:cs="Times New Roman"/>
          <w:sz w:val="24"/>
          <w:szCs w:val="24"/>
        </w:rPr>
        <w:t xml:space="preserve">of </w:t>
      </w:r>
      <w:r w:rsidR="00E60F76" w:rsidRPr="00E60F76">
        <w:rPr>
          <w:rFonts w:ascii="Times New Roman" w:hAnsi="Times New Roman" w:cs="Times New Roman"/>
          <w:i/>
          <w:iCs/>
          <w:sz w:val="24"/>
          <w:szCs w:val="24"/>
        </w:rPr>
        <w:t>lis pendens</w:t>
      </w:r>
      <w:r w:rsidR="00E60F76">
        <w:rPr>
          <w:rFonts w:ascii="Times New Roman" w:hAnsi="Times New Roman" w:cs="Times New Roman"/>
          <w:sz w:val="24"/>
          <w:szCs w:val="24"/>
        </w:rPr>
        <w:t xml:space="preserve"> </w:t>
      </w:r>
      <w:r>
        <w:rPr>
          <w:rFonts w:ascii="Times New Roman" w:hAnsi="Times New Roman" w:cs="Times New Roman"/>
          <w:sz w:val="24"/>
          <w:szCs w:val="24"/>
        </w:rPr>
        <w:t>as follows:</w:t>
      </w:r>
    </w:p>
    <w:p w14:paraId="45A5F1EA" w14:textId="6D63B4F9" w:rsidR="00EE5851" w:rsidRPr="00C34091" w:rsidRDefault="00C34091" w:rsidP="00C34091">
      <w:pPr>
        <w:tabs>
          <w:tab w:val="left" w:pos="993"/>
        </w:tabs>
        <w:spacing w:after="0" w:line="240" w:lineRule="auto"/>
        <w:ind w:left="993"/>
        <w:jc w:val="both"/>
        <w:rPr>
          <w:rFonts w:ascii="Times New Roman" w:hAnsi="Times New Roman" w:cs="Times New Roman"/>
        </w:rPr>
      </w:pPr>
      <w:r w:rsidRPr="00C34091">
        <w:rPr>
          <w:rFonts w:ascii="Times New Roman" w:hAnsi="Times New Roman" w:cs="Times New Roman"/>
        </w:rPr>
        <w:t xml:space="preserve">“However, it should be noted that </w:t>
      </w:r>
      <w:r w:rsidRPr="00C34091">
        <w:rPr>
          <w:rFonts w:ascii="Times New Roman" w:hAnsi="Times New Roman" w:cs="Times New Roman"/>
          <w:i/>
          <w:iCs/>
        </w:rPr>
        <w:t>lis pendens</w:t>
      </w:r>
      <w:r w:rsidRPr="00C34091">
        <w:rPr>
          <w:rFonts w:ascii="Times New Roman" w:hAnsi="Times New Roman" w:cs="Times New Roman"/>
        </w:rPr>
        <w:t xml:space="preserve"> does not prevent the other party from instituting proceedings </w:t>
      </w:r>
      <w:r>
        <w:rPr>
          <w:rFonts w:ascii="Times New Roman" w:hAnsi="Times New Roman" w:cs="Times New Roman"/>
        </w:rPr>
        <w:t xml:space="preserve">at another court. It is therefore my view that the point </w:t>
      </w:r>
      <w:r w:rsidRPr="00C34091">
        <w:rPr>
          <w:rFonts w:ascii="Times New Roman" w:hAnsi="Times New Roman" w:cs="Times New Roman"/>
          <w:i/>
          <w:iCs/>
        </w:rPr>
        <w:t>in limine</w:t>
      </w:r>
      <w:r>
        <w:rPr>
          <w:rFonts w:ascii="Times New Roman" w:hAnsi="Times New Roman" w:cs="Times New Roman"/>
        </w:rPr>
        <w:t xml:space="preserve"> taken by the 1</w:t>
      </w:r>
      <w:r w:rsidRPr="00C34091">
        <w:rPr>
          <w:rFonts w:ascii="Times New Roman" w:hAnsi="Times New Roman" w:cs="Times New Roman"/>
          <w:vertAlign w:val="superscript"/>
        </w:rPr>
        <w:t>st</w:t>
      </w:r>
      <w:r>
        <w:rPr>
          <w:rFonts w:ascii="Times New Roman" w:hAnsi="Times New Roman" w:cs="Times New Roman"/>
        </w:rPr>
        <w:t xml:space="preserve"> Respondent does lack merit.”</w:t>
      </w:r>
      <w:r>
        <w:rPr>
          <w:rStyle w:val="FootnoteReference"/>
          <w:rFonts w:ascii="Times New Roman" w:hAnsi="Times New Roman" w:cs="Times New Roman"/>
        </w:rPr>
        <w:footnoteReference w:id="2"/>
      </w:r>
    </w:p>
    <w:p w14:paraId="112575AE" w14:textId="77777777" w:rsidR="00EE5851" w:rsidRDefault="00EE5851" w:rsidP="00EE5851">
      <w:pPr>
        <w:tabs>
          <w:tab w:val="left" w:pos="993"/>
        </w:tabs>
        <w:spacing w:after="0" w:line="360" w:lineRule="auto"/>
        <w:jc w:val="both"/>
        <w:rPr>
          <w:rFonts w:ascii="Times New Roman" w:hAnsi="Times New Roman" w:cs="Times New Roman"/>
          <w:sz w:val="24"/>
          <w:szCs w:val="24"/>
        </w:rPr>
      </w:pPr>
    </w:p>
    <w:p w14:paraId="4941A546" w14:textId="2803E8BA" w:rsidR="00C34091" w:rsidRDefault="00D75D88" w:rsidP="00EE5851">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4091">
        <w:rPr>
          <w:rFonts w:ascii="Times New Roman" w:hAnsi="Times New Roman" w:cs="Times New Roman"/>
          <w:sz w:val="24"/>
          <w:szCs w:val="24"/>
        </w:rPr>
        <w:t xml:space="preserve">It is clear to us that the learned magistrate </w:t>
      </w:r>
      <w:r>
        <w:rPr>
          <w:rFonts w:ascii="Times New Roman" w:hAnsi="Times New Roman" w:cs="Times New Roman"/>
          <w:sz w:val="24"/>
          <w:szCs w:val="24"/>
        </w:rPr>
        <w:t xml:space="preserve">did not apply his mind to the issue before the court. His sentiments contradicted the position of the law, which seeks to </w:t>
      </w:r>
      <w:r w:rsidR="00257337">
        <w:rPr>
          <w:rFonts w:ascii="Times New Roman" w:hAnsi="Times New Roman" w:cs="Times New Roman"/>
          <w:sz w:val="24"/>
          <w:szCs w:val="24"/>
        </w:rPr>
        <w:t xml:space="preserve">avert the </w:t>
      </w:r>
      <w:r w:rsidR="00257337">
        <w:rPr>
          <w:rFonts w:ascii="Times New Roman" w:hAnsi="Times New Roman" w:cs="Times New Roman"/>
          <w:sz w:val="24"/>
          <w:szCs w:val="24"/>
        </w:rPr>
        <w:lastRenderedPageBreak/>
        <w:t xml:space="preserve">unnecessary multiplicity of proceedings and the potential for conflicting decisions. </w:t>
      </w:r>
      <w:r w:rsidR="00597C0B">
        <w:rPr>
          <w:rFonts w:ascii="Times New Roman" w:hAnsi="Times New Roman" w:cs="Times New Roman"/>
          <w:sz w:val="24"/>
          <w:szCs w:val="24"/>
        </w:rPr>
        <w:t xml:space="preserve">There are similarities in the final order granted by the court </w:t>
      </w:r>
      <w:r w:rsidR="00597C0B" w:rsidRPr="00597C0B">
        <w:rPr>
          <w:rFonts w:ascii="Times New Roman" w:hAnsi="Times New Roman" w:cs="Times New Roman"/>
          <w:i/>
          <w:iCs/>
          <w:sz w:val="24"/>
          <w:szCs w:val="24"/>
        </w:rPr>
        <w:t>a quo</w:t>
      </w:r>
      <w:r w:rsidR="00597C0B">
        <w:rPr>
          <w:rFonts w:ascii="Times New Roman" w:hAnsi="Times New Roman" w:cs="Times New Roman"/>
          <w:sz w:val="24"/>
          <w:szCs w:val="24"/>
        </w:rPr>
        <w:t xml:space="preserve"> and the interim relief granted by </w:t>
      </w:r>
      <w:r w:rsidR="00597C0B" w:rsidRPr="00FE5004">
        <w:rPr>
          <w:rFonts w:ascii="Times New Roman" w:hAnsi="Times New Roman" w:cs="Times New Roman"/>
          <w:smallCaps/>
        </w:rPr>
        <w:t>CHINAMORA</w:t>
      </w:r>
      <w:r w:rsidR="00597C0B">
        <w:rPr>
          <w:rFonts w:ascii="Times New Roman" w:hAnsi="Times New Roman" w:cs="Times New Roman"/>
          <w:sz w:val="24"/>
          <w:szCs w:val="24"/>
        </w:rPr>
        <w:t xml:space="preserve"> J. Paragraph (c) of the order of the court </w:t>
      </w:r>
      <w:r w:rsidR="00597C0B" w:rsidRPr="00597C0B">
        <w:rPr>
          <w:rFonts w:ascii="Times New Roman" w:hAnsi="Times New Roman" w:cs="Times New Roman"/>
          <w:i/>
          <w:iCs/>
          <w:sz w:val="24"/>
          <w:szCs w:val="24"/>
        </w:rPr>
        <w:t>a quo</w:t>
      </w:r>
      <w:r w:rsidR="00597C0B">
        <w:rPr>
          <w:rFonts w:ascii="Times New Roman" w:hAnsi="Times New Roman" w:cs="Times New Roman"/>
          <w:i/>
          <w:iCs/>
          <w:sz w:val="24"/>
          <w:szCs w:val="24"/>
        </w:rPr>
        <w:t xml:space="preserve"> </w:t>
      </w:r>
      <w:r w:rsidR="00597C0B">
        <w:rPr>
          <w:rFonts w:ascii="Times New Roman" w:hAnsi="Times New Roman" w:cs="Times New Roman"/>
          <w:sz w:val="24"/>
          <w:szCs w:val="24"/>
        </w:rPr>
        <w:t xml:space="preserve">interdicted the appellant herein and those acting through it from demolishing or evicting the applicant without a court order. Paragraph 2 of the interim relief granted by </w:t>
      </w:r>
      <w:r w:rsidR="00FE5004" w:rsidRPr="00FE5004">
        <w:rPr>
          <w:rFonts w:ascii="Times New Roman" w:hAnsi="Times New Roman" w:cs="Times New Roman"/>
          <w:smallCaps/>
          <w:sz w:val="24"/>
          <w:szCs w:val="24"/>
        </w:rPr>
        <w:t>chinamora</w:t>
      </w:r>
      <w:r w:rsidR="00FE5004">
        <w:rPr>
          <w:rFonts w:ascii="Times New Roman" w:hAnsi="Times New Roman" w:cs="Times New Roman"/>
          <w:sz w:val="24"/>
          <w:szCs w:val="24"/>
        </w:rPr>
        <w:t xml:space="preserve"> </w:t>
      </w:r>
      <w:r w:rsidR="00597C0B">
        <w:rPr>
          <w:rFonts w:ascii="Times New Roman" w:hAnsi="Times New Roman" w:cs="Times New Roman"/>
          <w:sz w:val="24"/>
          <w:szCs w:val="24"/>
        </w:rPr>
        <w:t xml:space="preserve">J restrained the appellant from demolishing or evicting the first respondent herein from the premises without a court order. </w:t>
      </w:r>
    </w:p>
    <w:p w14:paraId="3B936F09" w14:textId="0529D92E" w:rsidR="003B7492" w:rsidRDefault="00597C0B" w:rsidP="00EE5851">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application in the court </w:t>
      </w:r>
      <w:r w:rsidRPr="00597C0B">
        <w:rPr>
          <w:rFonts w:ascii="Times New Roman" w:hAnsi="Times New Roman" w:cs="Times New Roman"/>
          <w:i/>
          <w:iCs/>
          <w:sz w:val="24"/>
          <w:szCs w:val="24"/>
        </w:rPr>
        <w:t>a quo</w:t>
      </w:r>
      <w:r>
        <w:rPr>
          <w:rFonts w:ascii="Times New Roman" w:hAnsi="Times New Roman" w:cs="Times New Roman"/>
          <w:sz w:val="24"/>
          <w:szCs w:val="24"/>
        </w:rPr>
        <w:t xml:space="preserve"> was filed first, it was only argued after </w:t>
      </w:r>
      <w:r w:rsidR="00FE5004" w:rsidRPr="00FE5004">
        <w:rPr>
          <w:rFonts w:ascii="Times New Roman" w:hAnsi="Times New Roman" w:cs="Times New Roman"/>
          <w:smallCaps/>
          <w:sz w:val="24"/>
          <w:szCs w:val="24"/>
        </w:rPr>
        <w:t>chinamora</w:t>
      </w:r>
      <w:r w:rsidR="00FE5004">
        <w:rPr>
          <w:rFonts w:ascii="Times New Roman" w:hAnsi="Times New Roman" w:cs="Times New Roman"/>
          <w:sz w:val="24"/>
          <w:szCs w:val="24"/>
        </w:rPr>
        <w:t xml:space="preserve"> </w:t>
      </w:r>
      <w:r>
        <w:rPr>
          <w:rFonts w:ascii="Times New Roman" w:hAnsi="Times New Roman" w:cs="Times New Roman"/>
          <w:sz w:val="24"/>
          <w:szCs w:val="24"/>
        </w:rPr>
        <w:t xml:space="preserve">J had granted the interim relief on 4 November 2022. The ruling being appealed against was only granted on </w:t>
      </w:r>
      <w:r w:rsidR="003B7492">
        <w:rPr>
          <w:rFonts w:ascii="Times New Roman" w:hAnsi="Times New Roman" w:cs="Times New Roman"/>
          <w:sz w:val="24"/>
          <w:szCs w:val="24"/>
        </w:rPr>
        <w:t>23 November 2023. It must have been clear to the learned magistrate that the same relief that was being sought before him had already been granted by a superior court, albeit, on a temporary basis. On the return date, the first respondent also sought the confirmation of that interim relief. Under those circumstances, the court ought to have proceeded with caution and stayed the proceedings before it or remove</w:t>
      </w:r>
      <w:r w:rsidR="00E60F76">
        <w:rPr>
          <w:rFonts w:ascii="Times New Roman" w:hAnsi="Times New Roman" w:cs="Times New Roman"/>
          <w:sz w:val="24"/>
          <w:szCs w:val="24"/>
        </w:rPr>
        <w:t>d</w:t>
      </w:r>
      <w:r w:rsidR="003B7492">
        <w:rPr>
          <w:rFonts w:ascii="Times New Roman" w:hAnsi="Times New Roman" w:cs="Times New Roman"/>
          <w:sz w:val="24"/>
          <w:szCs w:val="24"/>
        </w:rPr>
        <w:t xml:space="preserve"> them from the roll pending the resolution of the High Court matter. </w:t>
      </w:r>
    </w:p>
    <w:p w14:paraId="047D37AC" w14:textId="77777777" w:rsidR="00D60EE6" w:rsidRPr="00CF2416" w:rsidRDefault="0061607B" w:rsidP="00EE5851">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heads of argument, the first respondent also argued that the matter before the court </w:t>
      </w:r>
      <w:r w:rsidRPr="00D60EE6">
        <w:rPr>
          <w:rFonts w:ascii="Times New Roman" w:hAnsi="Times New Roman" w:cs="Times New Roman"/>
          <w:i/>
          <w:iCs/>
          <w:sz w:val="24"/>
          <w:szCs w:val="24"/>
        </w:rPr>
        <w:t>a quo</w:t>
      </w:r>
      <w:r>
        <w:rPr>
          <w:rFonts w:ascii="Times New Roman" w:hAnsi="Times New Roman" w:cs="Times New Roman"/>
          <w:sz w:val="24"/>
          <w:szCs w:val="24"/>
        </w:rPr>
        <w:t xml:space="preserve"> </w:t>
      </w:r>
      <w:r w:rsidR="00D60EE6" w:rsidRPr="00CF2416">
        <w:rPr>
          <w:rFonts w:ascii="Times New Roman" w:hAnsi="Times New Roman" w:cs="Times New Roman"/>
          <w:sz w:val="24"/>
          <w:szCs w:val="24"/>
        </w:rPr>
        <w:t xml:space="preserve">was one for a prohibitory interdict, while the one before this court was one for a </w:t>
      </w:r>
      <w:r w:rsidR="00D60EE6" w:rsidRPr="00CF2416">
        <w:rPr>
          <w:rFonts w:ascii="Times New Roman" w:hAnsi="Times New Roman" w:cs="Times New Roman"/>
          <w:i/>
          <w:iCs/>
          <w:sz w:val="24"/>
          <w:szCs w:val="24"/>
        </w:rPr>
        <w:t>declaratur</w:t>
      </w:r>
      <w:r w:rsidR="00D60EE6" w:rsidRPr="00CF2416">
        <w:rPr>
          <w:rFonts w:ascii="Times New Roman" w:hAnsi="Times New Roman" w:cs="Times New Roman"/>
          <w:sz w:val="24"/>
          <w:szCs w:val="24"/>
        </w:rPr>
        <w:t xml:space="preserve"> and consequential relief, which the lower court had no jurisdiction to hear and grant. </w:t>
      </w:r>
    </w:p>
    <w:p w14:paraId="0DFBA444" w14:textId="3D074D5B" w:rsidR="0061607B" w:rsidRPr="00CF2416" w:rsidRDefault="00D60EE6" w:rsidP="00EE5851">
      <w:pPr>
        <w:tabs>
          <w:tab w:val="left" w:pos="993"/>
        </w:tabs>
        <w:spacing w:after="0" w:line="360" w:lineRule="auto"/>
        <w:jc w:val="both"/>
        <w:rPr>
          <w:rFonts w:ascii="Times New Roman" w:hAnsi="Times New Roman" w:cs="Times New Roman"/>
          <w:sz w:val="24"/>
          <w:szCs w:val="24"/>
        </w:rPr>
      </w:pPr>
      <w:r w:rsidRPr="00CF2416">
        <w:rPr>
          <w:rFonts w:ascii="Times New Roman" w:hAnsi="Times New Roman" w:cs="Times New Roman"/>
          <w:sz w:val="24"/>
          <w:szCs w:val="24"/>
        </w:rPr>
        <w:tab/>
        <w:t xml:space="preserve">The first respondent’s submission, with respect, does not reflect the correct position of the law. </w:t>
      </w:r>
      <w:r w:rsidR="00623821" w:rsidRPr="00CF2416">
        <w:rPr>
          <w:rFonts w:ascii="Times New Roman" w:hAnsi="Times New Roman" w:cs="Times New Roman"/>
          <w:sz w:val="24"/>
          <w:szCs w:val="24"/>
        </w:rPr>
        <w:t>Section 14(1)(g) of the Magistrates Court Act states as follows:</w:t>
      </w:r>
    </w:p>
    <w:p w14:paraId="582591EF" w14:textId="4C38CF84" w:rsidR="00F87781" w:rsidRPr="004226B5" w:rsidRDefault="00623821" w:rsidP="00376DF0">
      <w:pPr>
        <w:autoSpaceDE w:val="0"/>
        <w:autoSpaceDN w:val="0"/>
        <w:adjustRightInd w:val="0"/>
        <w:spacing w:after="0" w:line="240" w:lineRule="auto"/>
        <w:rPr>
          <w:rFonts w:ascii="Times New Roman" w:hAnsi="Times New Roman" w:cs="Times New Roman"/>
          <w:b/>
          <w:bCs/>
        </w:rPr>
      </w:pPr>
      <w:r w:rsidRPr="00CF2416">
        <w:rPr>
          <w:rFonts w:ascii="Times New Roman" w:hAnsi="Times New Roman" w:cs="Times New Roman"/>
          <w:sz w:val="24"/>
          <w:szCs w:val="24"/>
        </w:rPr>
        <w:tab/>
      </w:r>
      <w:r w:rsidR="00E43FE0" w:rsidRPr="004226B5">
        <w:rPr>
          <w:rFonts w:ascii="Times New Roman" w:hAnsi="Times New Roman" w:cs="Times New Roman"/>
        </w:rPr>
        <w:t>“</w:t>
      </w:r>
      <w:r w:rsidR="00F87781" w:rsidRPr="004226B5">
        <w:rPr>
          <w:rFonts w:ascii="Times New Roman" w:hAnsi="Times New Roman" w:cs="Times New Roman"/>
          <w:b/>
          <w:bCs/>
        </w:rPr>
        <w:t>14 When court has no jurisdiction</w:t>
      </w:r>
    </w:p>
    <w:p w14:paraId="345C6680" w14:textId="77777777" w:rsidR="00F87781" w:rsidRPr="004226B5" w:rsidRDefault="00F87781" w:rsidP="00376DF0">
      <w:pPr>
        <w:autoSpaceDE w:val="0"/>
        <w:autoSpaceDN w:val="0"/>
        <w:adjustRightInd w:val="0"/>
        <w:spacing w:after="0" w:line="240" w:lineRule="auto"/>
        <w:ind w:firstLine="720"/>
        <w:rPr>
          <w:rFonts w:ascii="Times New Roman" w:hAnsi="Times New Roman" w:cs="Times New Roman"/>
        </w:rPr>
      </w:pPr>
      <w:r w:rsidRPr="004226B5">
        <w:rPr>
          <w:rFonts w:ascii="Times New Roman" w:hAnsi="Times New Roman" w:cs="Times New Roman"/>
        </w:rPr>
        <w:t>(1) No court shall have jurisdiction in or cognisance of any action or suit wherein—</w:t>
      </w:r>
    </w:p>
    <w:p w14:paraId="2359C9B4" w14:textId="6922E4F9" w:rsidR="00F87781" w:rsidRPr="004226B5" w:rsidRDefault="00F87781" w:rsidP="00E43FE0">
      <w:pPr>
        <w:autoSpaceDE w:val="0"/>
        <w:autoSpaceDN w:val="0"/>
        <w:adjustRightInd w:val="0"/>
        <w:spacing w:after="0" w:line="240" w:lineRule="auto"/>
        <w:ind w:firstLine="720"/>
        <w:rPr>
          <w:rFonts w:ascii="Times New Roman" w:hAnsi="Times New Roman" w:cs="Times New Roman"/>
        </w:rPr>
      </w:pPr>
      <w:r w:rsidRPr="004226B5">
        <w:rPr>
          <w:rFonts w:ascii="Times New Roman" w:hAnsi="Times New Roman" w:cs="Times New Roman"/>
        </w:rPr>
        <w:t>(</w:t>
      </w:r>
      <w:r w:rsidRPr="004226B5">
        <w:rPr>
          <w:rFonts w:ascii="Times New Roman" w:hAnsi="Times New Roman" w:cs="Times New Roman"/>
          <w:i/>
          <w:iCs/>
        </w:rPr>
        <w:t>a</w:t>
      </w:r>
      <w:r w:rsidRPr="004226B5">
        <w:rPr>
          <w:rFonts w:ascii="Times New Roman" w:hAnsi="Times New Roman" w:cs="Times New Roman"/>
        </w:rPr>
        <w:t xml:space="preserve">) </w:t>
      </w:r>
      <w:r w:rsidR="00E43FE0" w:rsidRPr="004226B5">
        <w:rPr>
          <w:rFonts w:ascii="Times New Roman" w:hAnsi="Times New Roman" w:cs="Times New Roman"/>
        </w:rPr>
        <w:t>…………</w:t>
      </w:r>
    </w:p>
    <w:p w14:paraId="41B09320" w14:textId="6E748881" w:rsidR="00F87781" w:rsidRPr="004226B5" w:rsidRDefault="00E43FE0" w:rsidP="00376DF0">
      <w:pPr>
        <w:autoSpaceDE w:val="0"/>
        <w:autoSpaceDN w:val="0"/>
        <w:adjustRightInd w:val="0"/>
        <w:spacing w:after="0" w:line="240" w:lineRule="auto"/>
        <w:ind w:firstLine="720"/>
        <w:rPr>
          <w:rFonts w:ascii="Times New Roman" w:hAnsi="Times New Roman" w:cs="Times New Roman"/>
        </w:rPr>
      </w:pPr>
      <w:r w:rsidRPr="004226B5">
        <w:rPr>
          <w:rFonts w:ascii="Times New Roman" w:hAnsi="Times New Roman" w:cs="Times New Roman"/>
        </w:rPr>
        <w:t>……………</w:t>
      </w:r>
      <w:r w:rsidR="00F87781" w:rsidRPr="004226B5">
        <w:rPr>
          <w:rFonts w:ascii="Times New Roman" w:hAnsi="Times New Roman" w:cs="Times New Roman"/>
        </w:rPr>
        <w:t>; or</w:t>
      </w:r>
    </w:p>
    <w:p w14:paraId="2032F39D" w14:textId="40E7A3C3" w:rsidR="00623821" w:rsidRPr="004226B5" w:rsidRDefault="00F87781" w:rsidP="008932E4">
      <w:pPr>
        <w:autoSpaceDE w:val="0"/>
        <w:autoSpaceDN w:val="0"/>
        <w:adjustRightInd w:val="0"/>
        <w:spacing w:after="0" w:line="240" w:lineRule="auto"/>
        <w:ind w:left="720"/>
        <w:jc w:val="both"/>
        <w:rPr>
          <w:rFonts w:ascii="Times New Roman" w:hAnsi="Times New Roman" w:cs="Times New Roman"/>
        </w:rPr>
      </w:pPr>
      <w:r w:rsidRPr="004226B5">
        <w:rPr>
          <w:rFonts w:ascii="Times New Roman" w:hAnsi="Times New Roman" w:cs="Times New Roman"/>
        </w:rPr>
        <w:t>(</w:t>
      </w:r>
      <w:r w:rsidRPr="004226B5">
        <w:rPr>
          <w:rFonts w:ascii="Times New Roman" w:hAnsi="Times New Roman" w:cs="Times New Roman"/>
          <w:i/>
          <w:iCs/>
        </w:rPr>
        <w:t>g</w:t>
      </w:r>
      <w:r w:rsidRPr="004226B5">
        <w:rPr>
          <w:rFonts w:ascii="Times New Roman" w:hAnsi="Times New Roman" w:cs="Times New Roman"/>
        </w:rPr>
        <w:t xml:space="preserve">) a declaration is sought as to any existing, future or contingent right or obligation, </w:t>
      </w:r>
      <w:r w:rsidRPr="004226B5">
        <w:rPr>
          <w:rFonts w:ascii="Times New Roman" w:hAnsi="Times New Roman" w:cs="Times New Roman"/>
          <w:u w:val="single"/>
        </w:rPr>
        <w:t>where the person</w:t>
      </w:r>
      <w:r w:rsidR="00376DF0" w:rsidRPr="004226B5">
        <w:rPr>
          <w:rFonts w:ascii="Times New Roman" w:hAnsi="Times New Roman" w:cs="Times New Roman"/>
          <w:u w:val="single"/>
        </w:rPr>
        <w:t xml:space="preserve"> </w:t>
      </w:r>
      <w:r w:rsidRPr="004226B5">
        <w:rPr>
          <w:rFonts w:ascii="Times New Roman" w:hAnsi="Times New Roman" w:cs="Times New Roman"/>
          <w:u w:val="single"/>
        </w:rPr>
        <w:t>seeking the declaration does not or cannot claim any relief</w:t>
      </w:r>
      <w:r w:rsidRPr="004226B5">
        <w:rPr>
          <w:rFonts w:ascii="Times New Roman" w:hAnsi="Times New Roman" w:cs="Times New Roman"/>
        </w:rPr>
        <w:t xml:space="preserve"> consequential upon such declaration</w:t>
      </w:r>
      <w:r w:rsidR="00E43FE0" w:rsidRPr="004226B5">
        <w:rPr>
          <w:rFonts w:ascii="Times New Roman" w:hAnsi="Times New Roman" w:cs="Times New Roman"/>
        </w:rPr>
        <w:t>…</w:t>
      </w:r>
      <w:r w:rsidRPr="004226B5">
        <w:rPr>
          <w:rFonts w:ascii="Times New Roman" w:hAnsi="Times New Roman" w:cs="Times New Roman"/>
        </w:rPr>
        <w:t>:</w:t>
      </w:r>
      <w:r w:rsidR="00E43FE0" w:rsidRPr="004226B5">
        <w:rPr>
          <w:rFonts w:ascii="Times New Roman" w:hAnsi="Times New Roman" w:cs="Times New Roman"/>
        </w:rPr>
        <w:t>”</w:t>
      </w:r>
      <w:r w:rsidR="00F33C79" w:rsidRPr="004226B5">
        <w:rPr>
          <w:rFonts w:ascii="Times New Roman" w:hAnsi="Times New Roman" w:cs="Times New Roman"/>
        </w:rPr>
        <w:t xml:space="preserve"> (Underlining for emphasis)</w:t>
      </w:r>
    </w:p>
    <w:p w14:paraId="3A71651A" w14:textId="77777777" w:rsidR="00376DF0" w:rsidRDefault="00376DF0" w:rsidP="00376DF0">
      <w:pPr>
        <w:autoSpaceDE w:val="0"/>
        <w:autoSpaceDN w:val="0"/>
        <w:adjustRightInd w:val="0"/>
        <w:spacing w:after="0" w:line="240" w:lineRule="auto"/>
        <w:ind w:left="720"/>
        <w:rPr>
          <w:rFonts w:ascii="Times New Roman" w:hAnsi="Times New Roman" w:cs="Times New Roman"/>
          <w:sz w:val="21"/>
          <w:szCs w:val="21"/>
        </w:rPr>
      </w:pPr>
    </w:p>
    <w:p w14:paraId="54E79BC4" w14:textId="5F3484A2" w:rsidR="00676889" w:rsidRDefault="00676889" w:rsidP="00E43FE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14(1)(g) of the Magistrates Court Act can be juxtaposed against s 14 of the High Court Act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which states as follows:</w:t>
      </w:r>
    </w:p>
    <w:p w14:paraId="05B7A5F0" w14:textId="115C3402" w:rsidR="00F33C79" w:rsidRPr="00F33C79" w:rsidRDefault="00F33C79" w:rsidP="00F33C79">
      <w:pPr>
        <w:autoSpaceDE w:val="0"/>
        <w:autoSpaceDN w:val="0"/>
        <w:adjustRightInd w:val="0"/>
        <w:spacing w:after="0" w:line="240" w:lineRule="auto"/>
        <w:ind w:firstLine="720"/>
        <w:jc w:val="both"/>
        <w:rPr>
          <w:rFonts w:ascii="Times New Roman" w:hAnsi="Times New Roman" w:cs="Times New Roman"/>
          <w:b/>
          <w:bCs/>
        </w:rPr>
      </w:pPr>
      <w:r>
        <w:rPr>
          <w:rFonts w:ascii="Times New Roman" w:hAnsi="Times New Roman" w:cs="Times New Roman"/>
          <w:b/>
          <w:bCs/>
        </w:rPr>
        <w:t>“</w:t>
      </w:r>
      <w:r w:rsidRPr="00F33C79">
        <w:rPr>
          <w:rFonts w:ascii="Times New Roman" w:hAnsi="Times New Roman" w:cs="Times New Roman"/>
          <w:b/>
          <w:bCs/>
        </w:rPr>
        <w:t>14 High Court may determine future or contingent rights</w:t>
      </w:r>
    </w:p>
    <w:p w14:paraId="7DA04A1F" w14:textId="52FF386A" w:rsidR="00676889" w:rsidRPr="00F33C79" w:rsidRDefault="00F33C79" w:rsidP="00F33C79">
      <w:pPr>
        <w:autoSpaceDE w:val="0"/>
        <w:autoSpaceDN w:val="0"/>
        <w:adjustRightInd w:val="0"/>
        <w:spacing w:after="0" w:line="240" w:lineRule="auto"/>
        <w:ind w:left="720"/>
        <w:jc w:val="both"/>
        <w:rPr>
          <w:rFonts w:ascii="Times New Roman" w:hAnsi="Times New Roman" w:cs="Times New Roman"/>
        </w:rPr>
      </w:pPr>
      <w:r w:rsidRPr="00F33C79">
        <w:rPr>
          <w:rFonts w:ascii="Times New Roman" w:hAnsi="Times New Roman" w:cs="Times New Roman"/>
        </w:rPr>
        <w:t xml:space="preserve">The High Court may, in its discretion, at the instance of any interested person, inquire into and determine any existing, future or contingent right or obligation, </w:t>
      </w:r>
      <w:r w:rsidRPr="00F33C79">
        <w:rPr>
          <w:rFonts w:ascii="Times New Roman" w:hAnsi="Times New Roman" w:cs="Times New Roman"/>
          <w:u w:val="single"/>
        </w:rPr>
        <w:t>notwithstanding that such person cannot claim any relief consequential upon such determination</w:t>
      </w:r>
      <w:r w:rsidRPr="00F33C79">
        <w:rPr>
          <w:rFonts w:ascii="Times New Roman" w:hAnsi="Times New Roman" w:cs="Times New Roman"/>
        </w:rPr>
        <w:t>.</w:t>
      </w:r>
      <w:r>
        <w:rPr>
          <w:rFonts w:ascii="Times New Roman" w:hAnsi="Times New Roman" w:cs="Times New Roman"/>
        </w:rPr>
        <w:t>”</w:t>
      </w:r>
    </w:p>
    <w:p w14:paraId="00AEA854" w14:textId="77777777" w:rsidR="00F33C79" w:rsidRPr="00F33C79" w:rsidRDefault="00F33C79" w:rsidP="00F33C79">
      <w:pPr>
        <w:autoSpaceDE w:val="0"/>
        <w:autoSpaceDN w:val="0"/>
        <w:adjustRightInd w:val="0"/>
        <w:spacing w:after="0" w:line="240" w:lineRule="auto"/>
        <w:ind w:left="720"/>
        <w:jc w:val="both"/>
        <w:rPr>
          <w:rFonts w:ascii="Times New Roman" w:hAnsi="Times New Roman" w:cs="Times New Roman"/>
        </w:rPr>
      </w:pPr>
    </w:p>
    <w:p w14:paraId="5EB97960" w14:textId="763F623C" w:rsidR="00376DF0" w:rsidRPr="00C855AE" w:rsidRDefault="00E43FE0" w:rsidP="00E43FE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our reading of the above provision, </w:t>
      </w:r>
      <w:r w:rsidR="00E60F76">
        <w:rPr>
          <w:rFonts w:ascii="Times New Roman" w:hAnsi="Times New Roman" w:cs="Times New Roman"/>
          <w:sz w:val="24"/>
          <w:szCs w:val="24"/>
        </w:rPr>
        <w:t xml:space="preserve">our view is that </w:t>
      </w:r>
      <w:r>
        <w:rPr>
          <w:rFonts w:ascii="Times New Roman" w:hAnsi="Times New Roman" w:cs="Times New Roman"/>
          <w:sz w:val="24"/>
          <w:szCs w:val="24"/>
        </w:rPr>
        <w:t>the Magistrates Court is</w:t>
      </w:r>
      <w:r w:rsidR="00E60F76">
        <w:rPr>
          <w:rFonts w:ascii="Times New Roman" w:hAnsi="Times New Roman" w:cs="Times New Roman"/>
          <w:sz w:val="24"/>
          <w:szCs w:val="24"/>
        </w:rPr>
        <w:t xml:space="preserve"> only</w:t>
      </w:r>
      <w:r>
        <w:rPr>
          <w:rFonts w:ascii="Times New Roman" w:hAnsi="Times New Roman" w:cs="Times New Roman"/>
          <w:sz w:val="24"/>
          <w:szCs w:val="24"/>
        </w:rPr>
        <w:t xml:space="preserve"> endowed with jurisdiction to grant a </w:t>
      </w:r>
      <w:r w:rsidRPr="00E43FE0">
        <w:rPr>
          <w:rFonts w:ascii="Times New Roman" w:hAnsi="Times New Roman" w:cs="Times New Roman"/>
          <w:i/>
          <w:iCs/>
          <w:sz w:val="24"/>
          <w:szCs w:val="24"/>
        </w:rPr>
        <w:t>declaratur</w:t>
      </w:r>
      <w:r>
        <w:rPr>
          <w:rFonts w:ascii="Times New Roman" w:hAnsi="Times New Roman" w:cs="Times New Roman"/>
          <w:i/>
          <w:iCs/>
          <w:sz w:val="24"/>
          <w:szCs w:val="24"/>
        </w:rPr>
        <w:t xml:space="preserve">, </w:t>
      </w:r>
      <w:r w:rsidR="00C855AE">
        <w:rPr>
          <w:rFonts w:ascii="Times New Roman" w:hAnsi="Times New Roman" w:cs="Times New Roman"/>
          <w:sz w:val="24"/>
          <w:szCs w:val="24"/>
        </w:rPr>
        <w:t xml:space="preserve">if </w:t>
      </w:r>
      <w:r w:rsidR="00E60F76">
        <w:rPr>
          <w:rFonts w:ascii="Times New Roman" w:hAnsi="Times New Roman" w:cs="Times New Roman"/>
          <w:sz w:val="24"/>
          <w:szCs w:val="24"/>
        </w:rPr>
        <w:t>there is a concomitant c</w:t>
      </w:r>
      <w:r>
        <w:rPr>
          <w:rFonts w:ascii="Times New Roman" w:hAnsi="Times New Roman" w:cs="Times New Roman"/>
          <w:sz w:val="24"/>
          <w:szCs w:val="24"/>
        </w:rPr>
        <w:t xml:space="preserve">laim for </w:t>
      </w:r>
      <w:r>
        <w:rPr>
          <w:rFonts w:ascii="Times New Roman" w:hAnsi="Times New Roman" w:cs="Times New Roman"/>
          <w:sz w:val="24"/>
          <w:szCs w:val="24"/>
        </w:rPr>
        <w:lastRenderedPageBreak/>
        <w:t xml:space="preserve">consequential relief. That </w:t>
      </w:r>
      <w:r w:rsidR="00C855AE">
        <w:rPr>
          <w:rFonts w:ascii="Times New Roman" w:hAnsi="Times New Roman" w:cs="Times New Roman"/>
          <w:sz w:val="24"/>
          <w:szCs w:val="24"/>
        </w:rPr>
        <w:t>Magistrates C</w:t>
      </w:r>
      <w:r>
        <w:rPr>
          <w:rFonts w:ascii="Times New Roman" w:hAnsi="Times New Roman" w:cs="Times New Roman"/>
          <w:sz w:val="24"/>
          <w:szCs w:val="24"/>
        </w:rPr>
        <w:t xml:space="preserve">ourt </w:t>
      </w:r>
      <w:r w:rsidR="00C855AE">
        <w:rPr>
          <w:rFonts w:ascii="Times New Roman" w:hAnsi="Times New Roman" w:cs="Times New Roman"/>
          <w:sz w:val="24"/>
          <w:szCs w:val="24"/>
        </w:rPr>
        <w:t xml:space="preserve">does </w:t>
      </w:r>
      <w:r>
        <w:rPr>
          <w:rFonts w:ascii="Times New Roman" w:hAnsi="Times New Roman" w:cs="Times New Roman"/>
          <w:sz w:val="24"/>
          <w:szCs w:val="24"/>
        </w:rPr>
        <w:t xml:space="preserve">not have jurisdiction to grant a </w:t>
      </w:r>
      <w:r w:rsidRPr="00676889">
        <w:rPr>
          <w:rFonts w:ascii="Times New Roman" w:hAnsi="Times New Roman" w:cs="Times New Roman"/>
          <w:i/>
          <w:iCs/>
          <w:sz w:val="24"/>
          <w:szCs w:val="24"/>
        </w:rPr>
        <w:t>declaratur</w:t>
      </w:r>
      <w:r w:rsidR="00676889">
        <w:rPr>
          <w:rFonts w:ascii="Times New Roman" w:hAnsi="Times New Roman" w:cs="Times New Roman"/>
          <w:i/>
          <w:iCs/>
          <w:sz w:val="24"/>
          <w:szCs w:val="24"/>
        </w:rPr>
        <w:t xml:space="preserve">, </w:t>
      </w:r>
      <w:r w:rsidR="00676889">
        <w:rPr>
          <w:rFonts w:ascii="Times New Roman" w:hAnsi="Times New Roman" w:cs="Times New Roman"/>
          <w:sz w:val="24"/>
          <w:szCs w:val="24"/>
        </w:rPr>
        <w:t xml:space="preserve">where a litigant does not or cannot claim consequential relief pursuant to such declaration. On the other hand, s 14 of the High Court Act permits the High Court to grant a </w:t>
      </w:r>
      <w:r w:rsidR="00676889" w:rsidRPr="00676889">
        <w:rPr>
          <w:rFonts w:ascii="Times New Roman" w:hAnsi="Times New Roman" w:cs="Times New Roman"/>
          <w:i/>
          <w:iCs/>
          <w:sz w:val="24"/>
          <w:szCs w:val="24"/>
        </w:rPr>
        <w:t>declaratur</w:t>
      </w:r>
      <w:r w:rsidR="00676889">
        <w:rPr>
          <w:rFonts w:ascii="Times New Roman" w:hAnsi="Times New Roman" w:cs="Times New Roman"/>
          <w:sz w:val="24"/>
          <w:szCs w:val="24"/>
        </w:rPr>
        <w:t xml:space="preserve">, even in those circumstances where no consequential relief can be claimed pursuant to such a </w:t>
      </w:r>
      <w:r w:rsidR="00676889" w:rsidRPr="00676889">
        <w:rPr>
          <w:rFonts w:ascii="Times New Roman" w:hAnsi="Times New Roman" w:cs="Times New Roman"/>
          <w:i/>
          <w:iCs/>
          <w:sz w:val="24"/>
          <w:szCs w:val="24"/>
        </w:rPr>
        <w:t>declaratur</w:t>
      </w:r>
      <w:r w:rsidR="00676889">
        <w:rPr>
          <w:rFonts w:ascii="Times New Roman" w:hAnsi="Times New Roman" w:cs="Times New Roman"/>
          <w:sz w:val="24"/>
          <w:szCs w:val="24"/>
        </w:rPr>
        <w:t xml:space="preserve">. Thus, the powers of the High Court to grant a </w:t>
      </w:r>
      <w:r w:rsidR="00676889" w:rsidRPr="00676889">
        <w:rPr>
          <w:rFonts w:ascii="Times New Roman" w:hAnsi="Times New Roman" w:cs="Times New Roman"/>
          <w:i/>
          <w:iCs/>
          <w:sz w:val="24"/>
          <w:szCs w:val="24"/>
        </w:rPr>
        <w:t xml:space="preserve">declaratur </w:t>
      </w:r>
      <w:r w:rsidR="00676889">
        <w:rPr>
          <w:rFonts w:ascii="Times New Roman" w:hAnsi="Times New Roman" w:cs="Times New Roman"/>
          <w:sz w:val="24"/>
          <w:szCs w:val="24"/>
        </w:rPr>
        <w:t>are unlimited, whereas those of the Magistrates Court are limited to those instances where consequential relief can also be claimed pursuant to th</w:t>
      </w:r>
      <w:r w:rsidR="006B1ED4">
        <w:rPr>
          <w:rFonts w:ascii="Times New Roman" w:hAnsi="Times New Roman" w:cs="Times New Roman"/>
          <w:sz w:val="24"/>
          <w:szCs w:val="24"/>
        </w:rPr>
        <w:t>at</w:t>
      </w:r>
      <w:r w:rsidR="00676889">
        <w:rPr>
          <w:rFonts w:ascii="Times New Roman" w:hAnsi="Times New Roman" w:cs="Times New Roman"/>
          <w:sz w:val="24"/>
          <w:szCs w:val="24"/>
        </w:rPr>
        <w:t xml:space="preserve"> </w:t>
      </w:r>
      <w:r w:rsidR="00676889" w:rsidRPr="00676889">
        <w:rPr>
          <w:rFonts w:ascii="Times New Roman" w:hAnsi="Times New Roman" w:cs="Times New Roman"/>
          <w:i/>
          <w:iCs/>
          <w:sz w:val="24"/>
          <w:szCs w:val="24"/>
        </w:rPr>
        <w:t>declaratur</w:t>
      </w:r>
      <w:r w:rsidR="00676889">
        <w:rPr>
          <w:rFonts w:ascii="Times New Roman" w:hAnsi="Times New Roman" w:cs="Times New Roman"/>
          <w:sz w:val="24"/>
          <w:szCs w:val="24"/>
        </w:rPr>
        <w:t xml:space="preserve">.  </w:t>
      </w:r>
      <w:r w:rsidR="00C855AE">
        <w:rPr>
          <w:rFonts w:ascii="Times New Roman" w:hAnsi="Times New Roman" w:cs="Times New Roman"/>
          <w:sz w:val="24"/>
          <w:szCs w:val="24"/>
        </w:rPr>
        <w:t xml:space="preserve">The two courts therefore enjoy concurrent jurisdiction to grant a </w:t>
      </w:r>
      <w:r w:rsidR="00C855AE" w:rsidRPr="00C855AE">
        <w:rPr>
          <w:rFonts w:ascii="Times New Roman" w:hAnsi="Times New Roman" w:cs="Times New Roman"/>
          <w:i/>
          <w:iCs/>
          <w:sz w:val="24"/>
          <w:szCs w:val="24"/>
        </w:rPr>
        <w:t>declaratur</w:t>
      </w:r>
      <w:r w:rsidR="00C855AE">
        <w:rPr>
          <w:rFonts w:ascii="Times New Roman" w:hAnsi="Times New Roman" w:cs="Times New Roman"/>
          <w:sz w:val="24"/>
          <w:szCs w:val="24"/>
        </w:rPr>
        <w:t xml:space="preserve">, only to the extent that consequential relief is also sought pursuant to that </w:t>
      </w:r>
      <w:r w:rsidR="00C855AE" w:rsidRPr="00C855AE">
        <w:rPr>
          <w:rFonts w:ascii="Times New Roman" w:hAnsi="Times New Roman" w:cs="Times New Roman"/>
          <w:i/>
          <w:iCs/>
          <w:sz w:val="24"/>
          <w:szCs w:val="24"/>
        </w:rPr>
        <w:t>declaratur</w:t>
      </w:r>
      <w:r w:rsidR="00C855AE">
        <w:rPr>
          <w:rFonts w:ascii="Times New Roman" w:hAnsi="Times New Roman" w:cs="Times New Roman"/>
          <w:sz w:val="24"/>
          <w:szCs w:val="24"/>
        </w:rPr>
        <w:t xml:space="preserve">. </w:t>
      </w:r>
    </w:p>
    <w:p w14:paraId="4FA77A7E" w14:textId="17A0A2E0" w:rsidR="00F33C79" w:rsidRPr="0022214F" w:rsidRDefault="00F33C79" w:rsidP="00E43FE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perusal of the terms of the final order sought by the first respondent herein as the applicant in HC 7416/22, shows that it </w:t>
      </w:r>
      <w:r w:rsidR="006B1ED4">
        <w:rPr>
          <w:rFonts w:ascii="Times New Roman" w:hAnsi="Times New Roman" w:cs="Times New Roman"/>
          <w:sz w:val="24"/>
          <w:szCs w:val="24"/>
        </w:rPr>
        <w:t xml:space="preserve">was also seeking </w:t>
      </w:r>
      <w:r>
        <w:rPr>
          <w:rFonts w:ascii="Times New Roman" w:hAnsi="Times New Roman" w:cs="Times New Roman"/>
          <w:sz w:val="24"/>
          <w:szCs w:val="24"/>
        </w:rPr>
        <w:t xml:space="preserve">consequential relief pursuant </w:t>
      </w:r>
      <w:r w:rsidR="0022214F">
        <w:rPr>
          <w:rFonts w:ascii="Times New Roman" w:hAnsi="Times New Roman" w:cs="Times New Roman"/>
          <w:sz w:val="24"/>
          <w:szCs w:val="24"/>
        </w:rPr>
        <w:t xml:space="preserve">to the </w:t>
      </w:r>
      <w:r w:rsidR="006B1ED4">
        <w:rPr>
          <w:rFonts w:ascii="Times New Roman" w:hAnsi="Times New Roman" w:cs="Times New Roman"/>
          <w:sz w:val="24"/>
          <w:szCs w:val="24"/>
        </w:rPr>
        <w:t xml:space="preserve">granting of the </w:t>
      </w:r>
      <w:r w:rsidR="0022214F" w:rsidRPr="0022214F">
        <w:rPr>
          <w:rFonts w:ascii="Times New Roman" w:hAnsi="Times New Roman" w:cs="Times New Roman"/>
          <w:i/>
          <w:iCs/>
          <w:sz w:val="24"/>
          <w:szCs w:val="24"/>
        </w:rPr>
        <w:t xml:space="preserve">declaratur </w:t>
      </w:r>
      <w:r w:rsidR="0022214F">
        <w:rPr>
          <w:rFonts w:ascii="Times New Roman" w:hAnsi="Times New Roman" w:cs="Times New Roman"/>
          <w:sz w:val="24"/>
          <w:szCs w:val="24"/>
        </w:rPr>
        <w:t xml:space="preserve">that the appellant’s letter of 17 October 2022, was of no force or effect. The first respondent’s claim for a </w:t>
      </w:r>
      <w:r w:rsidR="0022214F" w:rsidRPr="0022214F">
        <w:rPr>
          <w:rFonts w:ascii="Times New Roman" w:hAnsi="Times New Roman" w:cs="Times New Roman"/>
          <w:i/>
          <w:iCs/>
          <w:sz w:val="24"/>
          <w:szCs w:val="24"/>
        </w:rPr>
        <w:t>declaratur</w:t>
      </w:r>
      <w:r w:rsidR="0022214F">
        <w:rPr>
          <w:rFonts w:ascii="Times New Roman" w:hAnsi="Times New Roman" w:cs="Times New Roman"/>
          <w:sz w:val="24"/>
          <w:szCs w:val="24"/>
        </w:rPr>
        <w:t xml:space="preserve"> could </w:t>
      </w:r>
      <w:r w:rsidR="006B1ED4">
        <w:rPr>
          <w:rFonts w:ascii="Times New Roman" w:hAnsi="Times New Roman" w:cs="Times New Roman"/>
          <w:sz w:val="24"/>
          <w:szCs w:val="24"/>
        </w:rPr>
        <w:t xml:space="preserve">therefore </w:t>
      </w:r>
      <w:r w:rsidR="0022214F">
        <w:rPr>
          <w:rFonts w:ascii="Times New Roman" w:hAnsi="Times New Roman" w:cs="Times New Roman"/>
          <w:sz w:val="24"/>
          <w:szCs w:val="24"/>
        </w:rPr>
        <w:t xml:space="preserve">be competently entertained by the court </w:t>
      </w:r>
      <w:r w:rsidR="0022214F" w:rsidRPr="006B1ED4">
        <w:rPr>
          <w:rFonts w:ascii="Times New Roman" w:hAnsi="Times New Roman" w:cs="Times New Roman"/>
          <w:i/>
          <w:iCs/>
          <w:sz w:val="24"/>
          <w:szCs w:val="24"/>
        </w:rPr>
        <w:t>a quo</w:t>
      </w:r>
      <w:r w:rsidR="0022214F">
        <w:rPr>
          <w:rFonts w:ascii="Times New Roman" w:hAnsi="Times New Roman" w:cs="Times New Roman"/>
          <w:sz w:val="24"/>
          <w:szCs w:val="24"/>
        </w:rPr>
        <w:t xml:space="preserve"> as it was accompanied by the concomitant claim for consequential relief. </w:t>
      </w:r>
    </w:p>
    <w:p w14:paraId="2641B4E1" w14:textId="1946305A" w:rsidR="00C05933" w:rsidRDefault="0022214F" w:rsidP="004226B5">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7492">
        <w:rPr>
          <w:rFonts w:ascii="Times New Roman" w:hAnsi="Times New Roman" w:cs="Times New Roman"/>
          <w:sz w:val="24"/>
          <w:szCs w:val="24"/>
        </w:rPr>
        <w:t>Th</w:t>
      </w:r>
      <w:r>
        <w:rPr>
          <w:rFonts w:ascii="Times New Roman" w:hAnsi="Times New Roman" w:cs="Times New Roman"/>
          <w:sz w:val="24"/>
          <w:szCs w:val="24"/>
        </w:rPr>
        <w:t>is court determines that the</w:t>
      </w:r>
      <w:r w:rsidR="003B7492">
        <w:rPr>
          <w:rFonts w:ascii="Times New Roman" w:hAnsi="Times New Roman" w:cs="Times New Roman"/>
          <w:sz w:val="24"/>
          <w:szCs w:val="24"/>
        </w:rPr>
        <w:t xml:space="preserve"> withdrawal of the Supreme Court appeal that was challenging the</w:t>
      </w:r>
      <w:r w:rsidR="006B1ED4">
        <w:rPr>
          <w:rFonts w:ascii="Times New Roman" w:hAnsi="Times New Roman" w:cs="Times New Roman"/>
          <w:sz w:val="24"/>
          <w:szCs w:val="24"/>
        </w:rPr>
        <w:t xml:space="preserve"> interim</w:t>
      </w:r>
      <w:r w:rsidR="003B7492">
        <w:rPr>
          <w:rFonts w:ascii="Times New Roman" w:hAnsi="Times New Roman" w:cs="Times New Roman"/>
          <w:sz w:val="24"/>
          <w:szCs w:val="24"/>
        </w:rPr>
        <w:t xml:space="preserve"> order granted by </w:t>
      </w:r>
      <w:r w:rsidR="004226B5" w:rsidRPr="004226B5">
        <w:rPr>
          <w:rFonts w:ascii="Times New Roman" w:hAnsi="Times New Roman" w:cs="Times New Roman"/>
          <w:smallCaps/>
          <w:sz w:val="24"/>
          <w:szCs w:val="24"/>
        </w:rPr>
        <w:t>chinamora</w:t>
      </w:r>
      <w:r w:rsidR="004226B5">
        <w:rPr>
          <w:rFonts w:ascii="Times New Roman" w:hAnsi="Times New Roman" w:cs="Times New Roman"/>
          <w:sz w:val="24"/>
          <w:szCs w:val="24"/>
        </w:rPr>
        <w:t xml:space="preserve"> </w:t>
      </w:r>
      <w:r w:rsidR="003B7492">
        <w:rPr>
          <w:rFonts w:ascii="Times New Roman" w:hAnsi="Times New Roman" w:cs="Times New Roman"/>
          <w:sz w:val="24"/>
          <w:szCs w:val="24"/>
        </w:rPr>
        <w:t xml:space="preserve">J, leaves that </w:t>
      </w:r>
      <w:r w:rsidR="006B1ED4">
        <w:rPr>
          <w:rFonts w:ascii="Times New Roman" w:hAnsi="Times New Roman" w:cs="Times New Roman"/>
          <w:sz w:val="24"/>
          <w:szCs w:val="24"/>
        </w:rPr>
        <w:t xml:space="preserve">provisional </w:t>
      </w:r>
      <w:r w:rsidR="003B7492">
        <w:rPr>
          <w:rFonts w:ascii="Times New Roman" w:hAnsi="Times New Roman" w:cs="Times New Roman"/>
          <w:sz w:val="24"/>
          <w:szCs w:val="24"/>
        </w:rPr>
        <w:t xml:space="preserve">order extant and binding unless it is discharged. The likelihood of conflicting decisions was therefore not a remote possibility. </w:t>
      </w:r>
      <w:r w:rsidR="004226B5">
        <w:rPr>
          <w:rFonts w:ascii="Times New Roman" w:hAnsi="Times New Roman" w:cs="Times New Roman"/>
          <w:sz w:val="24"/>
          <w:szCs w:val="24"/>
        </w:rPr>
        <w:t xml:space="preserve"> </w:t>
      </w:r>
      <w:r w:rsidR="003B7492">
        <w:rPr>
          <w:rFonts w:ascii="Times New Roman" w:hAnsi="Times New Roman" w:cs="Times New Roman"/>
          <w:sz w:val="24"/>
          <w:szCs w:val="24"/>
        </w:rPr>
        <w:t xml:space="preserve">For the foregoing reasons the court determines that there is merit in the first ground of appeal. </w:t>
      </w:r>
      <w:r w:rsidR="006B1ED4">
        <w:rPr>
          <w:rFonts w:ascii="Times New Roman" w:hAnsi="Times New Roman" w:cs="Times New Roman"/>
          <w:sz w:val="24"/>
          <w:szCs w:val="24"/>
        </w:rPr>
        <w:t xml:space="preserve">Having reached that conclusion, it was unnecessary to traverse the merits of the dispute, whose determination </w:t>
      </w:r>
      <w:r w:rsidR="00F52528">
        <w:rPr>
          <w:rFonts w:ascii="Times New Roman" w:hAnsi="Times New Roman" w:cs="Times New Roman"/>
          <w:sz w:val="24"/>
          <w:szCs w:val="24"/>
        </w:rPr>
        <w:t>must</w:t>
      </w:r>
      <w:r w:rsidR="006B1ED4">
        <w:rPr>
          <w:rFonts w:ascii="Times New Roman" w:hAnsi="Times New Roman" w:cs="Times New Roman"/>
          <w:sz w:val="24"/>
          <w:szCs w:val="24"/>
        </w:rPr>
        <w:t xml:space="preserve"> be stayed pending the resolution of the matter under HC 7416/22. </w:t>
      </w:r>
      <w:bookmarkEnd w:id="1"/>
    </w:p>
    <w:p w14:paraId="18A60264" w14:textId="77777777" w:rsidR="001045CB" w:rsidRPr="001045CB" w:rsidRDefault="001045CB" w:rsidP="001045CB">
      <w:pPr>
        <w:spacing w:after="0" w:line="480" w:lineRule="auto"/>
        <w:jc w:val="both"/>
        <w:rPr>
          <w:rFonts w:ascii="Times New Roman" w:hAnsi="Times New Roman" w:cs="Times New Roman"/>
          <w:b/>
          <w:bCs/>
          <w:sz w:val="24"/>
          <w:szCs w:val="24"/>
        </w:rPr>
      </w:pPr>
      <w:r w:rsidRPr="001045CB">
        <w:rPr>
          <w:rFonts w:ascii="Times New Roman" w:hAnsi="Times New Roman" w:cs="Times New Roman"/>
          <w:b/>
          <w:bCs/>
          <w:sz w:val="24"/>
          <w:szCs w:val="24"/>
        </w:rPr>
        <w:t>It is accordingly ordered that:</w:t>
      </w:r>
    </w:p>
    <w:p w14:paraId="33B67EEF" w14:textId="49CC4797" w:rsidR="001045CB" w:rsidRPr="00853803" w:rsidRDefault="001045CB" w:rsidP="00C90D39">
      <w:pPr>
        <w:spacing w:after="0"/>
        <w:ind w:firstLine="567"/>
        <w:jc w:val="both"/>
        <w:rPr>
          <w:rFonts w:ascii="Times New Roman" w:hAnsi="Times New Roman" w:cs="Times New Roman"/>
          <w:sz w:val="24"/>
          <w:szCs w:val="24"/>
        </w:rPr>
      </w:pPr>
      <w:r w:rsidRPr="00853803">
        <w:rPr>
          <w:rFonts w:ascii="Times New Roman" w:hAnsi="Times New Roman" w:cs="Times New Roman"/>
          <w:sz w:val="24"/>
          <w:szCs w:val="24"/>
        </w:rPr>
        <w:t>1.</w:t>
      </w:r>
      <w:r w:rsidRPr="00853803">
        <w:rPr>
          <w:rFonts w:ascii="Times New Roman" w:hAnsi="Times New Roman" w:cs="Times New Roman"/>
          <w:sz w:val="24"/>
          <w:szCs w:val="24"/>
        </w:rPr>
        <w:tab/>
        <w:t xml:space="preserve">The appeal be and is hereby allowed with </w:t>
      </w:r>
      <w:r>
        <w:rPr>
          <w:rFonts w:ascii="Times New Roman" w:hAnsi="Times New Roman" w:cs="Times New Roman"/>
          <w:sz w:val="24"/>
          <w:szCs w:val="24"/>
        </w:rPr>
        <w:t>no order as to costs</w:t>
      </w:r>
      <w:r w:rsidRPr="00853803">
        <w:rPr>
          <w:rFonts w:ascii="Times New Roman" w:hAnsi="Times New Roman" w:cs="Times New Roman"/>
          <w:sz w:val="24"/>
          <w:szCs w:val="24"/>
        </w:rPr>
        <w:t>.</w:t>
      </w:r>
    </w:p>
    <w:p w14:paraId="7B307109" w14:textId="77777777" w:rsidR="001045CB" w:rsidRPr="00853803" w:rsidRDefault="001045CB" w:rsidP="00C90D39">
      <w:pPr>
        <w:spacing w:after="0"/>
        <w:ind w:left="1437" w:hanging="870"/>
        <w:jc w:val="both"/>
        <w:rPr>
          <w:rFonts w:ascii="Times New Roman" w:hAnsi="Times New Roman" w:cs="Times New Roman"/>
          <w:sz w:val="24"/>
          <w:szCs w:val="24"/>
        </w:rPr>
      </w:pPr>
      <w:r w:rsidRPr="00853803">
        <w:rPr>
          <w:rFonts w:ascii="Times New Roman" w:hAnsi="Times New Roman" w:cs="Times New Roman"/>
          <w:sz w:val="24"/>
          <w:szCs w:val="24"/>
        </w:rPr>
        <w:t>2.</w:t>
      </w:r>
      <w:r w:rsidRPr="00853803">
        <w:rPr>
          <w:rFonts w:ascii="Times New Roman" w:hAnsi="Times New Roman" w:cs="Times New Roman"/>
          <w:sz w:val="24"/>
          <w:szCs w:val="24"/>
        </w:rPr>
        <w:tab/>
        <w:t xml:space="preserve">The judgment of the court </w:t>
      </w:r>
      <w:r w:rsidRPr="00853803">
        <w:rPr>
          <w:rFonts w:ascii="Times New Roman" w:hAnsi="Times New Roman" w:cs="Times New Roman"/>
          <w:i/>
          <w:sz w:val="24"/>
          <w:szCs w:val="24"/>
        </w:rPr>
        <w:t>a quo</w:t>
      </w:r>
      <w:r w:rsidRPr="00853803">
        <w:rPr>
          <w:rFonts w:ascii="Times New Roman" w:hAnsi="Times New Roman" w:cs="Times New Roman"/>
          <w:sz w:val="24"/>
          <w:szCs w:val="24"/>
        </w:rPr>
        <w:t xml:space="preserve"> be and is hereby set aside and substituted with the following:</w:t>
      </w:r>
    </w:p>
    <w:p w14:paraId="0C6D5AC9" w14:textId="614D3965" w:rsidR="001045CB" w:rsidRPr="00853803" w:rsidRDefault="001045CB" w:rsidP="00C90D39">
      <w:pPr>
        <w:spacing w:after="0"/>
        <w:ind w:left="1701" w:hanging="425"/>
        <w:jc w:val="both"/>
        <w:rPr>
          <w:rFonts w:ascii="Times New Roman" w:hAnsi="Times New Roman" w:cs="Times New Roman"/>
          <w:sz w:val="24"/>
          <w:szCs w:val="24"/>
        </w:rPr>
      </w:pPr>
      <w:r w:rsidRPr="00853803">
        <w:rPr>
          <w:rFonts w:ascii="Times New Roman" w:hAnsi="Times New Roman" w:cs="Times New Roman"/>
          <w:sz w:val="24"/>
          <w:szCs w:val="24"/>
        </w:rPr>
        <w:t>(a)</w:t>
      </w:r>
      <w:r w:rsidRPr="00853803">
        <w:rPr>
          <w:rFonts w:ascii="Times New Roman" w:hAnsi="Times New Roman" w:cs="Times New Roman"/>
          <w:sz w:val="24"/>
          <w:szCs w:val="24"/>
        </w:rPr>
        <w:tab/>
        <w:t xml:space="preserve">The preliminary point raised by the appellant </w:t>
      </w:r>
      <w:r>
        <w:rPr>
          <w:rFonts w:ascii="Times New Roman" w:hAnsi="Times New Roman" w:cs="Times New Roman"/>
          <w:sz w:val="24"/>
          <w:szCs w:val="24"/>
        </w:rPr>
        <w:t xml:space="preserve">that the matter was </w:t>
      </w:r>
      <w:r w:rsidRPr="00C90D39">
        <w:rPr>
          <w:rFonts w:ascii="Times New Roman" w:hAnsi="Times New Roman" w:cs="Times New Roman"/>
          <w:i/>
          <w:iCs/>
          <w:sz w:val="24"/>
          <w:szCs w:val="24"/>
        </w:rPr>
        <w:t>lis pendens</w:t>
      </w:r>
      <w:r>
        <w:rPr>
          <w:rFonts w:ascii="Times New Roman" w:hAnsi="Times New Roman" w:cs="Times New Roman"/>
          <w:sz w:val="24"/>
          <w:szCs w:val="24"/>
        </w:rPr>
        <w:t xml:space="preserve"> </w:t>
      </w:r>
      <w:r w:rsidR="00C90D39">
        <w:rPr>
          <w:rFonts w:ascii="Times New Roman" w:hAnsi="Times New Roman" w:cs="Times New Roman"/>
          <w:sz w:val="24"/>
          <w:szCs w:val="24"/>
        </w:rPr>
        <w:t>under HC 7416/22, succeeds</w:t>
      </w:r>
      <w:r w:rsidRPr="00853803">
        <w:rPr>
          <w:rFonts w:ascii="Times New Roman" w:hAnsi="Times New Roman" w:cs="Times New Roman"/>
          <w:sz w:val="24"/>
          <w:szCs w:val="24"/>
        </w:rPr>
        <w:t>.</w:t>
      </w:r>
    </w:p>
    <w:p w14:paraId="7AC2AFCD" w14:textId="0643478A" w:rsidR="001045CB" w:rsidRDefault="001045CB" w:rsidP="00C90D39">
      <w:pPr>
        <w:pStyle w:val="ListParagraph"/>
        <w:spacing w:after="0"/>
        <w:ind w:left="1701" w:hanging="425"/>
        <w:jc w:val="both"/>
        <w:rPr>
          <w:rFonts w:ascii="Times New Roman" w:hAnsi="Times New Roman" w:cs="Times New Roman"/>
          <w:sz w:val="24"/>
          <w:szCs w:val="24"/>
        </w:rPr>
      </w:pPr>
      <w:r w:rsidRPr="00853803">
        <w:rPr>
          <w:rFonts w:ascii="Times New Roman" w:hAnsi="Times New Roman" w:cs="Times New Roman"/>
          <w:sz w:val="24"/>
          <w:szCs w:val="24"/>
        </w:rPr>
        <w:t>(b)</w:t>
      </w:r>
      <w:r w:rsidRPr="00853803">
        <w:rPr>
          <w:rFonts w:ascii="Times New Roman" w:hAnsi="Times New Roman" w:cs="Times New Roman"/>
          <w:sz w:val="24"/>
          <w:szCs w:val="24"/>
        </w:rPr>
        <w:tab/>
        <w:t xml:space="preserve">The </w:t>
      </w:r>
      <w:r w:rsidR="00C90D39">
        <w:rPr>
          <w:rFonts w:ascii="Times New Roman" w:hAnsi="Times New Roman" w:cs="Times New Roman"/>
          <w:sz w:val="24"/>
          <w:szCs w:val="24"/>
        </w:rPr>
        <w:t xml:space="preserve">proceedings before this court pending under HRE C-CG 4050/22, are hereby stayed pending the determination of the matter pending under HC 7416/22. </w:t>
      </w:r>
    </w:p>
    <w:p w14:paraId="5F3084CF" w14:textId="77777777" w:rsidR="00672186" w:rsidRDefault="00672186" w:rsidP="00C90D39">
      <w:pPr>
        <w:pStyle w:val="ListParagraph"/>
        <w:spacing w:after="0"/>
        <w:ind w:left="1701" w:hanging="425"/>
        <w:jc w:val="both"/>
        <w:rPr>
          <w:rFonts w:ascii="Times New Roman" w:hAnsi="Times New Roman" w:cs="Times New Roman"/>
          <w:sz w:val="24"/>
          <w:szCs w:val="24"/>
        </w:rPr>
      </w:pPr>
    </w:p>
    <w:p w14:paraId="07E61555" w14:textId="77777777" w:rsidR="00672186" w:rsidRDefault="00672186" w:rsidP="00C90D39">
      <w:pPr>
        <w:pStyle w:val="ListParagraph"/>
        <w:spacing w:after="0"/>
        <w:ind w:left="1701" w:hanging="425"/>
        <w:jc w:val="both"/>
        <w:rPr>
          <w:rFonts w:ascii="Times New Roman" w:hAnsi="Times New Roman" w:cs="Times New Roman"/>
          <w:sz w:val="24"/>
          <w:szCs w:val="24"/>
        </w:rPr>
      </w:pPr>
    </w:p>
    <w:p w14:paraId="79195F75" w14:textId="77777777" w:rsidR="00672186" w:rsidRDefault="00672186" w:rsidP="00C90D39">
      <w:pPr>
        <w:pStyle w:val="ListParagraph"/>
        <w:spacing w:after="0"/>
        <w:ind w:left="1701" w:hanging="425"/>
        <w:jc w:val="both"/>
        <w:rPr>
          <w:rFonts w:ascii="Times New Roman" w:hAnsi="Times New Roman" w:cs="Times New Roman"/>
          <w:sz w:val="24"/>
          <w:szCs w:val="24"/>
        </w:rPr>
      </w:pPr>
    </w:p>
    <w:p w14:paraId="2BBDB043" w14:textId="77777777" w:rsidR="00672186" w:rsidRDefault="00672186" w:rsidP="00C90D39">
      <w:pPr>
        <w:pStyle w:val="ListParagraph"/>
        <w:spacing w:after="0"/>
        <w:ind w:left="1701" w:hanging="425"/>
        <w:jc w:val="both"/>
        <w:rPr>
          <w:rFonts w:ascii="Times New Roman" w:hAnsi="Times New Roman" w:cs="Times New Roman"/>
          <w:sz w:val="24"/>
          <w:szCs w:val="24"/>
        </w:rPr>
      </w:pPr>
    </w:p>
    <w:p w14:paraId="786F9F48" w14:textId="2B532867" w:rsidR="00C90D39" w:rsidRDefault="00C90D39" w:rsidP="00C90D39">
      <w:pPr>
        <w:pStyle w:val="ListParagraph"/>
        <w:spacing w:after="0"/>
        <w:ind w:left="1701" w:hanging="425"/>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 xml:space="preserve">There shall be no order as to costs. </w:t>
      </w:r>
    </w:p>
    <w:p w14:paraId="0F69E047" w14:textId="77777777" w:rsidR="00672186" w:rsidRDefault="00672186" w:rsidP="00672186">
      <w:pPr>
        <w:spacing w:after="0"/>
        <w:jc w:val="both"/>
        <w:rPr>
          <w:rFonts w:ascii="Times New Roman" w:hAnsi="Times New Roman" w:cs="Times New Roman"/>
          <w:sz w:val="24"/>
          <w:szCs w:val="24"/>
        </w:rPr>
      </w:pPr>
    </w:p>
    <w:p w14:paraId="2047A41C" w14:textId="77777777" w:rsidR="00672186" w:rsidRDefault="00672186" w:rsidP="00672186">
      <w:pPr>
        <w:spacing w:after="0"/>
        <w:jc w:val="both"/>
        <w:rPr>
          <w:rFonts w:ascii="Times New Roman" w:hAnsi="Times New Roman" w:cs="Times New Roman"/>
          <w:sz w:val="24"/>
          <w:szCs w:val="24"/>
        </w:rPr>
      </w:pPr>
    </w:p>
    <w:p w14:paraId="0CBFAE47" w14:textId="770A30E0" w:rsidR="00672186" w:rsidRDefault="00672186" w:rsidP="00672186">
      <w:pPr>
        <w:spacing w:after="0"/>
        <w:jc w:val="both"/>
        <w:rPr>
          <w:rFonts w:ascii="Times New Roman" w:hAnsi="Times New Roman" w:cs="Times New Roman"/>
          <w:sz w:val="24"/>
          <w:szCs w:val="24"/>
        </w:rPr>
      </w:pPr>
      <w:r w:rsidRPr="001524D8">
        <w:rPr>
          <w:rFonts w:ascii="Times New Roman" w:hAnsi="Times New Roman" w:cs="Times New Roman"/>
          <w:b/>
          <w:bCs/>
          <w:sz w:val="24"/>
          <w:szCs w:val="24"/>
        </w:rPr>
        <w:t>MUSITHU J:</w:t>
      </w:r>
      <w:r>
        <w:rPr>
          <w:rFonts w:ascii="Times New Roman" w:hAnsi="Times New Roman" w:cs="Times New Roman"/>
          <w:sz w:val="24"/>
          <w:szCs w:val="24"/>
        </w:rPr>
        <w:t>…………………………..</w:t>
      </w:r>
    </w:p>
    <w:p w14:paraId="30820269" w14:textId="06A330BE" w:rsidR="00672186" w:rsidRDefault="00672186" w:rsidP="0067218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166CE954" w14:textId="77777777" w:rsidR="00672186" w:rsidRDefault="00672186" w:rsidP="00672186">
      <w:pPr>
        <w:spacing w:after="0"/>
        <w:jc w:val="both"/>
        <w:rPr>
          <w:rFonts w:ascii="Times New Roman" w:hAnsi="Times New Roman" w:cs="Times New Roman"/>
          <w:sz w:val="24"/>
          <w:szCs w:val="24"/>
        </w:rPr>
      </w:pPr>
    </w:p>
    <w:p w14:paraId="12582E90" w14:textId="230910A9" w:rsidR="00672186" w:rsidRPr="00672186" w:rsidRDefault="00672186" w:rsidP="00672186">
      <w:pPr>
        <w:spacing w:after="0"/>
        <w:jc w:val="both"/>
        <w:rPr>
          <w:rFonts w:ascii="Times New Roman" w:hAnsi="Times New Roman" w:cs="Times New Roman"/>
          <w:sz w:val="24"/>
          <w:szCs w:val="24"/>
        </w:rPr>
      </w:pPr>
      <w:r w:rsidRPr="001524D8">
        <w:rPr>
          <w:rFonts w:ascii="Times New Roman" w:hAnsi="Times New Roman" w:cs="Times New Roman"/>
          <w:b/>
          <w:bCs/>
          <w:sz w:val="24"/>
          <w:szCs w:val="24"/>
        </w:rPr>
        <w:t>TSANGA J:</w:t>
      </w:r>
      <w:r>
        <w:rPr>
          <w:rFonts w:ascii="Times New Roman" w:hAnsi="Times New Roman" w:cs="Times New Roman"/>
          <w:sz w:val="24"/>
          <w:szCs w:val="24"/>
        </w:rPr>
        <w:t>……………………………AGREES</w:t>
      </w:r>
    </w:p>
    <w:p w14:paraId="620AD61C" w14:textId="505A747A" w:rsidR="00E5448E" w:rsidRPr="004226B5" w:rsidRDefault="001045CB" w:rsidP="004226B5">
      <w:pPr>
        <w:spacing w:after="0"/>
        <w:ind w:left="1440" w:hanging="720"/>
        <w:jc w:val="both"/>
        <w:rPr>
          <w:rFonts w:ascii="Times New Roman" w:hAnsi="Times New Roman" w:cs="Times New Roman"/>
          <w:sz w:val="24"/>
          <w:szCs w:val="24"/>
        </w:rPr>
      </w:pPr>
      <w:r w:rsidRPr="00853803">
        <w:rPr>
          <w:rFonts w:ascii="Times New Roman" w:hAnsi="Times New Roman" w:cs="Times New Roman"/>
          <w:sz w:val="24"/>
          <w:szCs w:val="24"/>
        </w:rPr>
        <w:tab/>
      </w:r>
    </w:p>
    <w:p w14:paraId="7973C3A0" w14:textId="77777777" w:rsidR="008420FF" w:rsidRDefault="008420FF" w:rsidP="00E5448E">
      <w:pPr>
        <w:spacing w:after="0" w:line="240" w:lineRule="auto"/>
        <w:jc w:val="both"/>
        <w:rPr>
          <w:rFonts w:ascii="Times New Roman" w:hAnsi="Times New Roman" w:cs="Times New Roman"/>
          <w:i/>
          <w:iCs/>
          <w:sz w:val="24"/>
          <w:szCs w:val="24"/>
        </w:rPr>
      </w:pPr>
    </w:p>
    <w:p w14:paraId="49548F59" w14:textId="04562FC8" w:rsidR="00FB5AEA" w:rsidRDefault="00904A95" w:rsidP="00E5448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Gambe Law Group</w:t>
      </w:r>
      <w:r w:rsidR="00FB5AEA">
        <w:rPr>
          <w:rFonts w:ascii="Times New Roman" w:hAnsi="Times New Roman" w:cs="Times New Roman"/>
          <w:sz w:val="24"/>
          <w:szCs w:val="24"/>
        </w:rPr>
        <w:t>, legal practitioners for the app</w:t>
      </w:r>
      <w:r>
        <w:rPr>
          <w:rFonts w:ascii="Times New Roman" w:hAnsi="Times New Roman" w:cs="Times New Roman"/>
          <w:sz w:val="24"/>
          <w:szCs w:val="24"/>
        </w:rPr>
        <w:t xml:space="preserve">ellant </w:t>
      </w:r>
    </w:p>
    <w:p w14:paraId="4C0C347B" w14:textId="0607331C" w:rsidR="00FB5AEA" w:rsidRDefault="00904A95" w:rsidP="00E5448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Tabana &amp; Marwa</w:t>
      </w:r>
      <w:r w:rsidR="00FB5AEA">
        <w:rPr>
          <w:rFonts w:ascii="Times New Roman" w:hAnsi="Times New Roman" w:cs="Times New Roman"/>
          <w:sz w:val="24"/>
          <w:szCs w:val="24"/>
        </w:rPr>
        <w:t xml:space="preserve">, legal practitioners for the </w:t>
      </w:r>
      <w:r>
        <w:rPr>
          <w:rFonts w:ascii="Times New Roman" w:hAnsi="Times New Roman" w:cs="Times New Roman"/>
          <w:sz w:val="24"/>
          <w:szCs w:val="24"/>
        </w:rPr>
        <w:t>1</w:t>
      </w:r>
      <w:r w:rsidRPr="00904A9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FB5AEA">
        <w:rPr>
          <w:rFonts w:ascii="Times New Roman" w:hAnsi="Times New Roman" w:cs="Times New Roman"/>
          <w:sz w:val="24"/>
          <w:szCs w:val="24"/>
        </w:rPr>
        <w:t>respondent</w:t>
      </w:r>
    </w:p>
    <w:p w14:paraId="1CB1332B" w14:textId="77777777" w:rsidR="00FB5AEA" w:rsidRDefault="00FB5AEA" w:rsidP="008420FF">
      <w:pPr>
        <w:spacing w:line="360" w:lineRule="auto"/>
        <w:jc w:val="both"/>
        <w:rPr>
          <w:rFonts w:ascii="Times New Roman" w:hAnsi="Times New Roman" w:cs="Times New Roman"/>
          <w:sz w:val="24"/>
          <w:szCs w:val="24"/>
        </w:rPr>
      </w:pPr>
    </w:p>
    <w:sectPr w:rsidR="00FB5AEA" w:rsidSect="003A77E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15B71" w14:textId="77777777" w:rsidR="004C66B8" w:rsidRDefault="004C66B8" w:rsidP="00EA00E7">
      <w:pPr>
        <w:spacing w:after="0" w:line="240" w:lineRule="auto"/>
      </w:pPr>
      <w:r>
        <w:separator/>
      </w:r>
    </w:p>
  </w:endnote>
  <w:endnote w:type="continuationSeparator" w:id="0">
    <w:p w14:paraId="65EADA49" w14:textId="77777777" w:rsidR="004C66B8" w:rsidRDefault="004C66B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5F7D2" w14:textId="77777777" w:rsidR="004C66B8" w:rsidRDefault="004C66B8" w:rsidP="00EA00E7">
      <w:pPr>
        <w:spacing w:after="0" w:line="240" w:lineRule="auto"/>
      </w:pPr>
      <w:r>
        <w:separator/>
      </w:r>
    </w:p>
  </w:footnote>
  <w:footnote w:type="continuationSeparator" w:id="0">
    <w:p w14:paraId="0180C439" w14:textId="77777777" w:rsidR="004C66B8" w:rsidRDefault="004C66B8" w:rsidP="00EA00E7">
      <w:pPr>
        <w:spacing w:after="0" w:line="240" w:lineRule="auto"/>
      </w:pPr>
      <w:r>
        <w:continuationSeparator/>
      </w:r>
    </w:p>
  </w:footnote>
  <w:footnote w:id="1">
    <w:p w14:paraId="68F48F0C" w14:textId="39A8CA81" w:rsidR="008513C0" w:rsidRPr="008513C0" w:rsidRDefault="008513C0">
      <w:pPr>
        <w:pStyle w:val="FootnoteText"/>
        <w:rPr>
          <w:rFonts w:ascii="Times New Roman" w:hAnsi="Times New Roman" w:cs="Times New Roman"/>
        </w:rPr>
      </w:pPr>
      <w:r w:rsidRPr="008513C0">
        <w:rPr>
          <w:rStyle w:val="FootnoteReference"/>
          <w:rFonts w:ascii="Times New Roman" w:hAnsi="Times New Roman" w:cs="Times New Roman"/>
        </w:rPr>
        <w:footnoteRef/>
      </w:r>
      <w:r w:rsidRPr="008513C0">
        <w:rPr>
          <w:rFonts w:ascii="Times New Roman" w:hAnsi="Times New Roman" w:cs="Times New Roman"/>
        </w:rPr>
        <w:t xml:space="preserve"> Fifth Edition Vol 2 at p 605 </w:t>
      </w:r>
    </w:p>
  </w:footnote>
  <w:footnote w:id="2">
    <w:p w14:paraId="2522A8E6" w14:textId="401C8C1C" w:rsidR="00C34091" w:rsidRPr="00C34091" w:rsidRDefault="00C34091">
      <w:pPr>
        <w:pStyle w:val="FootnoteText"/>
        <w:rPr>
          <w:rFonts w:ascii="Times New Roman" w:hAnsi="Times New Roman" w:cs="Times New Roman"/>
        </w:rPr>
      </w:pPr>
      <w:r w:rsidRPr="00C34091">
        <w:rPr>
          <w:rStyle w:val="FootnoteReference"/>
          <w:rFonts w:ascii="Times New Roman" w:hAnsi="Times New Roman" w:cs="Times New Roman"/>
        </w:rPr>
        <w:footnoteRef/>
      </w:r>
      <w:r w:rsidRPr="00C34091">
        <w:rPr>
          <w:rFonts w:ascii="Times New Roman" w:hAnsi="Times New Roman" w:cs="Times New Roman"/>
        </w:rPr>
        <w:t xml:space="preserve"> Page 7 of the record of proceedings</w:t>
      </w:r>
    </w:p>
  </w:footnote>
  <w:footnote w:id="3">
    <w:p w14:paraId="4FB8D07B" w14:textId="39F5C26A" w:rsidR="00676889" w:rsidRPr="00676889" w:rsidRDefault="00676889">
      <w:pPr>
        <w:pStyle w:val="FootnoteText"/>
        <w:rPr>
          <w:rFonts w:ascii="Times New Roman" w:hAnsi="Times New Roman" w:cs="Times New Roman"/>
          <w:i/>
          <w:iCs/>
          <w:lang w:val="en-US"/>
        </w:rPr>
      </w:pPr>
      <w:r w:rsidRPr="00676889">
        <w:rPr>
          <w:rStyle w:val="FootnoteReference"/>
          <w:rFonts w:ascii="Times New Roman" w:hAnsi="Times New Roman" w:cs="Times New Roman"/>
          <w:i/>
          <w:iCs/>
        </w:rPr>
        <w:footnoteRef/>
      </w:r>
      <w:r w:rsidRPr="00676889">
        <w:rPr>
          <w:rFonts w:ascii="Times New Roman" w:hAnsi="Times New Roman" w:cs="Times New Roman"/>
          <w:i/>
          <w:iCs/>
        </w:rPr>
        <w:t xml:space="preserve"> </w:t>
      </w:r>
      <w:r w:rsidRPr="00676889">
        <w:rPr>
          <w:rFonts w:ascii="Times New Roman" w:hAnsi="Times New Roman" w:cs="Times New Roman"/>
          <w:i/>
          <w:iCs/>
          <w:lang w:val="en-US"/>
        </w:rPr>
        <w:t>[Chapter 7:06]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611EFCF3"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5408CB">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5A7DE2CB"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8605B4">
          <w:rPr>
            <w:rFonts w:ascii="Times New Roman" w:hAnsi="Times New Roman" w:cs="Times New Roman"/>
            <w:sz w:val="24"/>
            <w:szCs w:val="24"/>
          </w:rPr>
          <w:t>415-24</w:t>
        </w:r>
      </w:p>
      <w:p w14:paraId="1E05EEBD" w14:textId="45E62D14"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Case No HC</w:t>
        </w:r>
        <w:r w:rsidR="00AA7D34">
          <w:rPr>
            <w:rFonts w:ascii="Times New Roman" w:hAnsi="Times New Roman" w:cs="Times New Roman"/>
            <w:sz w:val="24"/>
            <w:szCs w:val="24"/>
          </w:rPr>
          <w:t xml:space="preserve"> </w:t>
        </w:r>
        <w:r w:rsidR="00022593">
          <w:rPr>
            <w:rFonts w:ascii="Times New Roman" w:hAnsi="Times New Roman" w:cs="Times New Roman"/>
            <w:sz w:val="24"/>
            <w:szCs w:val="24"/>
          </w:rPr>
          <w:t>440</w:t>
        </w:r>
        <w:r w:rsidR="00EC4CC2">
          <w:rPr>
            <w:rFonts w:ascii="Times New Roman" w:hAnsi="Times New Roman" w:cs="Times New Roman"/>
            <w:sz w:val="24"/>
            <w:szCs w:val="24"/>
          </w:rPr>
          <w:t>/22</w:t>
        </w:r>
      </w:p>
      <w:p w14:paraId="1048E6DB" w14:textId="64A47F35" w:rsidR="00FD619D" w:rsidRPr="00E544F4" w:rsidRDefault="004C66B8">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3993A19"/>
    <w:multiLevelType w:val="hybridMultilevel"/>
    <w:tmpl w:val="74CAD794"/>
    <w:lvl w:ilvl="0" w:tplc="0ADE21E6">
      <w:start w:val="1"/>
      <w:numFmt w:val="upperLetter"/>
      <w:lvlText w:val="%1."/>
      <w:lvlJc w:val="left"/>
      <w:pPr>
        <w:ind w:left="720" w:hanging="360"/>
      </w:pPr>
      <w:rPr>
        <w:rFonts w:hint="default"/>
        <w:i w:val="0"/>
        <w:i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6C2372"/>
    <w:multiLevelType w:val="hybridMultilevel"/>
    <w:tmpl w:val="06322AEC"/>
    <w:lvl w:ilvl="0" w:tplc="C87255F4">
      <w:start w:val="1"/>
      <w:numFmt w:val="decimal"/>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3" w15:restartNumberingAfterBreak="0">
    <w:nsid w:val="075E4905"/>
    <w:multiLevelType w:val="hybridMultilevel"/>
    <w:tmpl w:val="273ECD9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02A2E93"/>
    <w:multiLevelType w:val="hybridMultilevel"/>
    <w:tmpl w:val="B7E69AE8"/>
    <w:lvl w:ilvl="0" w:tplc="DF0671FE">
      <w:start w:val="1"/>
      <w:numFmt w:val="decimal"/>
      <w:lvlText w:val="%1."/>
      <w:lvlJc w:val="left"/>
      <w:pPr>
        <w:ind w:left="1356" w:hanging="360"/>
      </w:pPr>
      <w:rPr>
        <w:rFonts w:hint="default"/>
      </w:rPr>
    </w:lvl>
    <w:lvl w:ilvl="1" w:tplc="30090019" w:tentative="1">
      <w:start w:val="1"/>
      <w:numFmt w:val="lowerLetter"/>
      <w:lvlText w:val="%2."/>
      <w:lvlJc w:val="left"/>
      <w:pPr>
        <w:ind w:left="2076" w:hanging="360"/>
      </w:pPr>
    </w:lvl>
    <w:lvl w:ilvl="2" w:tplc="3009001B" w:tentative="1">
      <w:start w:val="1"/>
      <w:numFmt w:val="lowerRoman"/>
      <w:lvlText w:val="%3."/>
      <w:lvlJc w:val="right"/>
      <w:pPr>
        <w:ind w:left="2796" w:hanging="180"/>
      </w:pPr>
    </w:lvl>
    <w:lvl w:ilvl="3" w:tplc="3009000F" w:tentative="1">
      <w:start w:val="1"/>
      <w:numFmt w:val="decimal"/>
      <w:lvlText w:val="%4."/>
      <w:lvlJc w:val="left"/>
      <w:pPr>
        <w:ind w:left="3516" w:hanging="360"/>
      </w:pPr>
    </w:lvl>
    <w:lvl w:ilvl="4" w:tplc="30090019" w:tentative="1">
      <w:start w:val="1"/>
      <w:numFmt w:val="lowerLetter"/>
      <w:lvlText w:val="%5."/>
      <w:lvlJc w:val="left"/>
      <w:pPr>
        <w:ind w:left="4236" w:hanging="360"/>
      </w:pPr>
    </w:lvl>
    <w:lvl w:ilvl="5" w:tplc="3009001B" w:tentative="1">
      <w:start w:val="1"/>
      <w:numFmt w:val="lowerRoman"/>
      <w:lvlText w:val="%6."/>
      <w:lvlJc w:val="right"/>
      <w:pPr>
        <w:ind w:left="4956" w:hanging="180"/>
      </w:pPr>
    </w:lvl>
    <w:lvl w:ilvl="6" w:tplc="3009000F" w:tentative="1">
      <w:start w:val="1"/>
      <w:numFmt w:val="decimal"/>
      <w:lvlText w:val="%7."/>
      <w:lvlJc w:val="left"/>
      <w:pPr>
        <w:ind w:left="5676" w:hanging="360"/>
      </w:pPr>
    </w:lvl>
    <w:lvl w:ilvl="7" w:tplc="30090019" w:tentative="1">
      <w:start w:val="1"/>
      <w:numFmt w:val="lowerLetter"/>
      <w:lvlText w:val="%8."/>
      <w:lvlJc w:val="left"/>
      <w:pPr>
        <w:ind w:left="6396" w:hanging="360"/>
      </w:pPr>
    </w:lvl>
    <w:lvl w:ilvl="8" w:tplc="3009001B" w:tentative="1">
      <w:start w:val="1"/>
      <w:numFmt w:val="lowerRoman"/>
      <w:lvlText w:val="%9."/>
      <w:lvlJc w:val="right"/>
      <w:pPr>
        <w:ind w:left="7116" w:hanging="180"/>
      </w:pPr>
    </w:lvl>
  </w:abstractNum>
  <w:abstractNum w:abstractNumId="5" w15:restartNumberingAfterBreak="0">
    <w:nsid w:val="31A70E29"/>
    <w:multiLevelType w:val="hybridMultilevel"/>
    <w:tmpl w:val="B4084796"/>
    <w:lvl w:ilvl="0" w:tplc="DF8A529C">
      <w:start w:val="1"/>
      <w:numFmt w:val="decimal"/>
      <w:lvlText w:val="%1."/>
      <w:lvlJc w:val="left"/>
      <w:pPr>
        <w:ind w:left="562" w:hanging="420"/>
      </w:pPr>
      <w:rPr>
        <w:rFonts w:hint="default"/>
      </w:r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6" w15:restartNumberingAfterBreak="0">
    <w:nsid w:val="3C4E3585"/>
    <w:multiLevelType w:val="hybridMultilevel"/>
    <w:tmpl w:val="4C20DC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A63515E"/>
    <w:multiLevelType w:val="hybridMultilevel"/>
    <w:tmpl w:val="60B43E60"/>
    <w:lvl w:ilvl="0" w:tplc="3CFE3B54">
      <w:start w:val="1"/>
      <w:numFmt w:val="lowerRoman"/>
      <w:lvlText w:val="(%1)"/>
      <w:lvlJc w:val="left"/>
      <w:pPr>
        <w:ind w:left="1146" w:hanging="72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8" w15:restartNumberingAfterBreak="0">
    <w:nsid w:val="67697952"/>
    <w:multiLevelType w:val="hybridMultilevel"/>
    <w:tmpl w:val="DE0AE124"/>
    <w:lvl w:ilvl="0" w:tplc="965014EA">
      <w:start w:val="1"/>
      <w:numFmt w:val="lowerLetter"/>
      <w:lvlText w:val="(%1)"/>
      <w:lvlJc w:val="left"/>
      <w:pPr>
        <w:ind w:left="1356" w:hanging="360"/>
      </w:pPr>
      <w:rPr>
        <w:rFonts w:hint="default"/>
      </w:rPr>
    </w:lvl>
    <w:lvl w:ilvl="1" w:tplc="30090019" w:tentative="1">
      <w:start w:val="1"/>
      <w:numFmt w:val="lowerLetter"/>
      <w:lvlText w:val="%2."/>
      <w:lvlJc w:val="left"/>
      <w:pPr>
        <w:ind w:left="2076" w:hanging="360"/>
      </w:pPr>
    </w:lvl>
    <w:lvl w:ilvl="2" w:tplc="3009001B" w:tentative="1">
      <w:start w:val="1"/>
      <w:numFmt w:val="lowerRoman"/>
      <w:lvlText w:val="%3."/>
      <w:lvlJc w:val="right"/>
      <w:pPr>
        <w:ind w:left="2796" w:hanging="180"/>
      </w:pPr>
    </w:lvl>
    <w:lvl w:ilvl="3" w:tplc="3009000F" w:tentative="1">
      <w:start w:val="1"/>
      <w:numFmt w:val="decimal"/>
      <w:lvlText w:val="%4."/>
      <w:lvlJc w:val="left"/>
      <w:pPr>
        <w:ind w:left="3516" w:hanging="360"/>
      </w:pPr>
    </w:lvl>
    <w:lvl w:ilvl="4" w:tplc="30090019" w:tentative="1">
      <w:start w:val="1"/>
      <w:numFmt w:val="lowerLetter"/>
      <w:lvlText w:val="%5."/>
      <w:lvlJc w:val="left"/>
      <w:pPr>
        <w:ind w:left="4236" w:hanging="360"/>
      </w:pPr>
    </w:lvl>
    <w:lvl w:ilvl="5" w:tplc="3009001B" w:tentative="1">
      <w:start w:val="1"/>
      <w:numFmt w:val="lowerRoman"/>
      <w:lvlText w:val="%6."/>
      <w:lvlJc w:val="right"/>
      <w:pPr>
        <w:ind w:left="4956" w:hanging="180"/>
      </w:pPr>
    </w:lvl>
    <w:lvl w:ilvl="6" w:tplc="3009000F" w:tentative="1">
      <w:start w:val="1"/>
      <w:numFmt w:val="decimal"/>
      <w:lvlText w:val="%7."/>
      <w:lvlJc w:val="left"/>
      <w:pPr>
        <w:ind w:left="5676" w:hanging="360"/>
      </w:pPr>
    </w:lvl>
    <w:lvl w:ilvl="7" w:tplc="30090019" w:tentative="1">
      <w:start w:val="1"/>
      <w:numFmt w:val="lowerLetter"/>
      <w:lvlText w:val="%8."/>
      <w:lvlJc w:val="left"/>
      <w:pPr>
        <w:ind w:left="6396" w:hanging="360"/>
      </w:pPr>
    </w:lvl>
    <w:lvl w:ilvl="8" w:tplc="3009001B" w:tentative="1">
      <w:start w:val="1"/>
      <w:numFmt w:val="lowerRoman"/>
      <w:lvlText w:val="%9."/>
      <w:lvlJc w:val="right"/>
      <w:pPr>
        <w:ind w:left="7116" w:hanging="180"/>
      </w:pPr>
    </w:lvl>
  </w:abstractNum>
  <w:num w:numId="1">
    <w:abstractNumId w:val="3"/>
  </w:num>
  <w:num w:numId="2">
    <w:abstractNumId w:val="5"/>
  </w:num>
  <w:num w:numId="3">
    <w:abstractNumId w:val="6"/>
  </w:num>
  <w:num w:numId="4">
    <w:abstractNumId w:val="2"/>
  </w:num>
  <w:num w:numId="5">
    <w:abstractNumId w:val="4"/>
  </w:num>
  <w:num w:numId="6">
    <w:abstractNumId w:val="8"/>
  </w:num>
  <w:num w:numId="7">
    <w:abstractNumId w:val="7"/>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593"/>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195"/>
    <w:rsid w:val="000872DA"/>
    <w:rsid w:val="00087878"/>
    <w:rsid w:val="00087B0F"/>
    <w:rsid w:val="000907A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6D10"/>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505"/>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8A0"/>
    <w:rsid w:val="000B2E47"/>
    <w:rsid w:val="000B3682"/>
    <w:rsid w:val="000B3898"/>
    <w:rsid w:val="000B3DBE"/>
    <w:rsid w:val="000B45FB"/>
    <w:rsid w:val="000B4872"/>
    <w:rsid w:val="000B4AA5"/>
    <w:rsid w:val="000B4D07"/>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41B7"/>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45CB"/>
    <w:rsid w:val="001052A3"/>
    <w:rsid w:val="00105E94"/>
    <w:rsid w:val="00105F5E"/>
    <w:rsid w:val="00106727"/>
    <w:rsid w:val="0010675F"/>
    <w:rsid w:val="00107132"/>
    <w:rsid w:val="001071D0"/>
    <w:rsid w:val="0010720D"/>
    <w:rsid w:val="00107622"/>
    <w:rsid w:val="001077FF"/>
    <w:rsid w:val="00107B4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176C2"/>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271F4"/>
    <w:rsid w:val="001309D4"/>
    <w:rsid w:val="00131F03"/>
    <w:rsid w:val="001323FB"/>
    <w:rsid w:val="00132705"/>
    <w:rsid w:val="00132BFC"/>
    <w:rsid w:val="001331AB"/>
    <w:rsid w:val="00133A93"/>
    <w:rsid w:val="00133D94"/>
    <w:rsid w:val="00134427"/>
    <w:rsid w:val="00134539"/>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A22"/>
    <w:rsid w:val="00146C76"/>
    <w:rsid w:val="0014700C"/>
    <w:rsid w:val="00147173"/>
    <w:rsid w:val="00150AF2"/>
    <w:rsid w:val="00151853"/>
    <w:rsid w:val="00152085"/>
    <w:rsid w:val="00152284"/>
    <w:rsid w:val="001524D8"/>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24D"/>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7049"/>
    <w:rsid w:val="001A0165"/>
    <w:rsid w:val="001A01F4"/>
    <w:rsid w:val="001A0570"/>
    <w:rsid w:val="001A07DA"/>
    <w:rsid w:val="001A0E82"/>
    <w:rsid w:val="001A12AD"/>
    <w:rsid w:val="001A14C6"/>
    <w:rsid w:val="001A175F"/>
    <w:rsid w:val="001A1762"/>
    <w:rsid w:val="001A251A"/>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6E"/>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3D9C"/>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14F"/>
    <w:rsid w:val="00222200"/>
    <w:rsid w:val="00222471"/>
    <w:rsid w:val="00222D51"/>
    <w:rsid w:val="00222E14"/>
    <w:rsid w:val="00222F90"/>
    <w:rsid w:val="00222FC7"/>
    <w:rsid w:val="00223BD6"/>
    <w:rsid w:val="0022450C"/>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3D2D"/>
    <w:rsid w:val="0024423A"/>
    <w:rsid w:val="0024492D"/>
    <w:rsid w:val="00245058"/>
    <w:rsid w:val="00245B62"/>
    <w:rsid w:val="00245F2A"/>
    <w:rsid w:val="00246098"/>
    <w:rsid w:val="002463E1"/>
    <w:rsid w:val="00246AAA"/>
    <w:rsid w:val="00246ADB"/>
    <w:rsid w:val="0024705F"/>
    <w:rsid w:val="00247510"/>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37"/>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458"/>
    <w:rsid w:val="00275A06"/>
    <w:rsid w:val="00276498"/>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1CD"/>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4F26"/>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9D8"/>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DB9"/>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2898"/>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26A"/>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6DF0"/>
    <w:rsid w:val="003775FC"/>
    <w:rsid w:val="00380122"/>
    <w:rsid w:val="0038037A"/>
    <w:rsid w:val="00380B52"/>
    <w:rsid w:val="00381090"/>
    <w:rsid w:val="00381A49"/>
    <w:rsid w:val="00381D7D"/>
    <w:rsid w:val="00382174"/>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41E"/>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7E0"/>
    <w:rsid w:val="003A787D"/>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38B"/>
    <w:rsid w:val="003B6563"/>
    <w:rsid w:val="003B6925"/>
    <w:rsid w:val="003B6AFD"/>
    <w:rsid w:val="003B7492"/>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5D0D"/>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55B"/>
    <w:rsid w:val="00421F13"/>
    <w:rsid w:val="0042214B"/>
    <w:rsid w:val="00422387"/>
    <w:rsid w:val="004226B5"/>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5ADB"/>
    <w:rsid w:val="00466A63"/>
    <w:rsid w:val="00466B8C"/>
    <w:rsid w:val="00466B90"/>
    <w:rsid w:val="00467C56"/>
    <w:rsid w:val="00467DE0"/>
    <w:rsid w:val="00467DF6"/>
    <w:rsid w:val="004700A9"/>
    <w:rsid w:val="004700BF"/>
    <w:rsid w:val="004706CE"/>
    <w:rsid w:val="00470ADF"/>
    <w:rsid w:val="004713D2"/>
    <w:rsid w:val="00472780"/>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9B7"/>
    <w:rsid w:val="00493A0F"/>
    <w:rsid w:val="00493ECB"/>
    <w:rsid w:val="00494168"/>
    <w:rsid w:val="0049520A"/>
    <w:rsid w:val="004954E2"/>
    <w:rsid w:val="0049631D"/>
    <w:rsid w:val="004963B8"/>
    <w:rsid w:val="0049647A"/>
    <w:rsid w:val="00496D8D"/>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430"/>
    <w:rsid w:val="004A6C4C"/>
    <w:rsid w:val="004A7483"/>
    <w:rsid w:val="004B002F"/>
    <w:rsid w:val="004B0F07"/>
    <w:rsid w:val="004B0F6F"/>
    <w:rsid w:val="004B30FB"/>
    <w:rsid w:val="004B319B"/>
    <w:rsid w:val="004B38F9"/>
    <w:rsid w:val="004B3AB6"/>
    <w:rsid w:val="004B3D65"/>
    <w:rsid w:val="004B3D89"/>
    <w:rsid w:val="004B4B77"/>
    <w:rsid w:val="004B4EE7"/>
    <w:rsid w:val="004B4F14"/>
    <w:rsid w:val="004B5644"/>
    <w:rsid w:val="004B5B0E"/>
    <w:rsid w:val="004B5FAA"/>
    <w:rsid w:val="004B68B2"/>
    <w:rsid w:val="004C137C"/>
    <w:rsid w:val="004C16AA"/>
    <w:rsid w:val="004C1B39"/>
    <w:rsid w:val="004C24C3"/>
    <w:rsid w:val="004C3432"/>
    <w:rsid w:val="004C384C"/>
    <w:rsid w:val="004C4660"/>
    <w:rsid w:val="004C49F1"/>
    <w:rsid w:val="004C4AD7"/>
    <w:rsid w:val="004C4E8E"/>
    <w:rsid w:val="004C5058"/>
    <w:rsid w:val="004C55CF"/>
    <w:rsid w:val="004C5BEE"/>
    <w:rsid w:val="004C66B8"/>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1DF"/>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B8E"/>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5F76"/>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2E61"/>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08CB"/>
    <w:rsid w:val="005414BB"/>
    <w:rsid w:val="0054181B"/>
    <w:rsid w:val="00541F24"/>
    <w:rsid w:val="005422DE"/>
    <w:rsid w:val="00542FEB"/>
    <w:rsid w:val="00543034"/>
    <w:rsid w:val="0054333C"/>
    <w:rsid w:val="00543563"/>
    <w:rsid w:val="0054371C"/>
    <w:rsid w:val="00544739"/>
    <w:rsid w:val="00544C28"/>
    <w:rsid w:val="00544CC4"/>
    <w:rsid w:val="005455A1"/>
    <w:rsid w:val="00545D57"/>
    <w:rsid w:val="0054617A"/>
    <w:rsid w:val="00546B7D"/>
    <w:rsid w:val="00546BC1"/>
    <w:rsid w:val="0054757B"/>
    <w:rsid w:val="0055010D"/>
    <w:rsid w:val="005515B4"/>
    <w:rsid w:val="00552610"/>
    <w:rsid w:val="00553050"/>
    <w:rsid w:val="00553852"/>
    <w:rsid w:val="00554698"/>
    <w:rsid w:val="00554A06"/>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97C0B"/>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1B5"/>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5BA"/>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07B"/>
    <w:rsid w:val="00616126"/>
    <w:rsid w:val="006167CA"/>
    <w:rsid w:val="006167E6"/>
    <w:rsid w:val="00620542"/>
    <w:rsid w:val="0062100D"/>
    <w:rsid w:val="006220B6"/>
    <w:rsid w:val="00622352"/>
    <w:rsid w:val="0062268F"/>
    <w:rsid w:val="00622FF6"/>
    <w:rsid w:val="006231D9"/>
    <w:rsid w:val="00623821"/>
    <w:rsid w:val="006240A3"/>
    <w:rsid w:val="00624A29"/>
    <w:rsid w:val="00625164"/>
    <w:rsid w:val="006259B6"/>
    <w:rsid w:val="00626260"/>
    <w:rsid w:val="00626A62"/>
    <w:rsid w:val="00626ABF"/>
    <w:rsid w:val="00627E90"/>
    <w:rsid w:val="00630273"/>
    <w:rsid w:val="006306EF"/>
    <w:rsid w:val="00631434"/>
    <w:rsid w:val="006318BB"/>
    <w:rsid w:val="0063192C"/>
    <w:rsid w:val="0063195F"/>
    <w:rsid w:val="00631AEB"/>
    <w:rsid w:val="00632909"/>
    <w:rsid w:val="00632BFE"/>
    <w:rsid w:val="00633084"/>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811"/>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186"/>
    <w:rsid w:val="00672582"/>
    <w:rsid w:val="00672874"/>
    <w:rsid w:val="00672885"/>
    <w:rsid w:val="00672D97"/>
    <w:rsid w:val="00672E73"/>
    <w:rsid w:val="006738FE"/>
    <w:rsid w:val="006744EB"/>
    <w:rsid w:val="00675684"/>
    <w:rsid w:val="00675734"/>
    <w:rsid w:val="00675C8B"/>
    <w:rsid w:val="00675CCB"/>
    <w:rsid w:val="006767F6"/>
    <w:rsid w:val="00676889"/>
    <w:rsid w:val="00676D95"/>
    <w:rsid w:val="00680380"/>
    <w:rsid w:val="00680526"/>
    <w:rsid w:val="006809BF"/>
    <w:rsid w:val="00680BB2"/>
    <w:rsid w:val="00681752"/>
    <w:rsid w:val="00682D51"/>
    <w:rsid w:val="0068304B"/>
    <w:rsid w:val="00683492"/>
    <w:rsid w:val="00683D9F"/>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1ED4"/>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01F"/>
    <w:rsid w:val="006C1112"/>
    <w:rsid w:val="006C24F8"/>
    <w:rsid w:val="006C2506"/>
    <w:rsid w:val="006C3A56"/>
    <w:rsid w:val="006C3B59"/>
    <w:rsid w:val="006C3E4A"/>
    <w:rsid w:val="006C3E4B"/>
    <w:rsid w:val="006C42C9"/>
    <w:rsid w:val="006C47F2"/>
    <w:rsid w:val="006C4872"/>
    <w:rsid w:val="006C4F00"/>
    <w:rsid w:val="006C57AD"/>
    <w:rsid w:val="006C5C28"/>
    <w:rsid w:val="006C6532"/>
    <w:rsid w:val="006C6622"/>
    <w:rsid w:val="006C6E9F"/>
    <w:rsid w:val="006C7BD7"/>
    <w:rsid w:val="006C7C3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72"/>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01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B13"/>
    <w:rsid w:val="00731ED9"/>
    <w:rsid w:val="00731FB7"/>
    <w:rsid w:val="007321D9"/>
    <w:rsid w:val="00732D0A"/>
    <w:rsid w:val="007334E8"/>
    <w:rsid w:val="00733684"/>
    <w:rsid w:val="00733853"/>
    <w:rsid w:val="00733CAD"/>
    <w:rsid w:val="00733CFC"/>
    <w:rsid w:val="00734482"/>
    <w:rsid w:val="007345B9"/>
    <w:rsid w:val="00734980"/>
    <w:rsid w:val="00734D46"/>
    <w:rsid w:val="00735629"/>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39F"/>
    <w:rsid w:val="007B3FDD"/>
    <w:rsid w:val="007B40A8"/>
    <w:rsid w:val="007B4117"/>
    <w:rsid w:val="007B4A86"/>
    <w:rsid w:val="007B4BB0"/>
    <w:rsid w:val="007B5582"/>
    <w:rsid w:val="007B5D7D"/>
    <w:rsid w:val="007B5E60"/>
    <w:rsid w:val="007B66A5"/>
    <w:rsid w:val="007B72FD"/>
    <w:rsid w:val="007B75D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D7495"/>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4D86"/>
    <w:rsid w:val="00805114"/>
    <w:rsid w:val="0080564D"/>
    <w:rsid w:val="008056D3"/>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697"/>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30"/>
    <w:rsid w:val="00833766"/>
    <w:rsid w:val="0083519A"/>
    <w:rsid w:val="00835C98"/>
    <w:rsid w:val="00836391"/>
    <w:rsid w:val="00837DA8"/>
    <w:rsid w:val="008404E2"/>
    <w:rsid w:val="00841148"/>
    <w:rsid w:val="008416A7"/>
    <w:rsid w:val="0084181D"/>
    <w:rsid w:val="008420FF"/>
    <w:rsid w:val="008422D6"/>
    <w:rsid w:val="008424DA"/>
    <w:rsid w:val="008425AA"/>
    <w:rsid w:val="008429A7"/>
    <w:rsid w:val="0084318C"/>
    <w:rsid w:val="008432EA"/>
    <w:rsid w:val="00843D5C"/>
    <w:rsid w:val="0084451C"/>
    <w:rsid w:val="008449B8"/>
    <w:rsid w:val="0084544F"/>
    <w:rsid w:val="00846CB6"/>
    <w:rsid w:val="008475E3"/>
    <w:rsid w:val="008512C2"/>
    <w:rsid w:val="008513C0"/>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05B4"/>
    <w:rsid w:val="00861065"/>
    <w:rsid w:val="00861D9F"/>
    <w:rsid w:val="0086259B"/>
    <w:rsid w:val="0086283D"/>
    <w:rsid w:val="008629FE"/>
    <w:rsid w:val="008630A4"/>
    <w:rsid w:val="0086320F"/>
    <w:rsid w:val="008638BB"/>
    <w:rsid w:val="0086428B"/>
    <w:rsid w:val="00864E8A"/>
    <w:rsid w:val="008651F8"/>
    <w:rsid w:val="00865FFF"/>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2E4"/>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95"/>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4FE0"/>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48"/>
    <w:rsid w:val="009032DD"/>
    <w:rsid w:val="00903814"/>
    <w:rsid w:val="009039F3"/>
    <w:rsid w:val="00904146"/>
    <w:rsid w:val="009041A9"/>
    <w:rsid w:val="00904A95"/>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17"/>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3C8"/>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23F6"/>
    <w:rsid w:val="00973B34"/>
    <w:rsid w:val="00973EF0"/>
    <w:rsid w:val="009755FD"/>
    <w:rsid w:val="00976041"/>
    <w:rsid w:val="009764F1"/>
    <w:rsid w:val="00976625"/>
    <w:rsid w:val="009769F4"/>
    <w:rsid w:val="00977086"/>
    <w:rsid w:val="00977733"/>
    <w:rsid w:val="00977961"/>
    <w:rsid w:val="00977C21"/>
    <w:rsid w:val="00980346"/>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13B"/>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404A"/>
    <w:rsid w:val="009F58E6"/>
    <w:rsid w:val="009F632A"/>
    <w:rsid w:val="009F67D7"/>
    <w:rsid w:val="009F67F3"/>
    <w:rsid w:val="009F7DC9"/>
    <w:rsid w:val="00A004C8"/>
    <w:rsid w:val="00A00D0A"/>
    <w:rsid w:val="00A017C5"/>
    <w:rsid w:val="00A01A2C"/>
    <w:rsid w:val="00A02040"/>
    <w:rsid w:val="00A023C4"/>
    <w:rsid w:val="00A0367E"/>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181"/>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5C03"/>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DE2"/>
    <w:rsid w:val="00A940AE"/>
    <w:rsid w:val="00A94249"/>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A7D34"/>
    <w:rsid w:val="00AB02C7"/>
    <w:rsid w:val="00AB0FF0"/>
    <w:rsid w:val="00AB1656"/>
    <w:rsid w:val="00AB22EC"/>
    <w:rsid w:val="00AB2D42"/>
    <w:rsid w:val="00AB2E3B"/>
    <w:rsid w:val="00AB2E6C"/>
    <w:rsid w:val="00AB4B33"/>
    <w:rsid w:val="00AB5350"/>
    <w:rsid w:val="00AB5412"/>
    <w:rsid w:val="00AB55BF"/>
    <w:rsid w:val="00AB5E6B"/>
    <w:rsid w:val="00AB64C4"/>
    <w:rsid w:val="00AB6ABF"/>
    <w:rsid w:val="00AB6B0D"/>
    <w:rsid w:val="00AB73FC"/>
    <w:rsid w:val="00AB783D"/>
    <w:rsid w:val="00AB7F86"/>
    <w:rsid w:val="00AB7FC7"/>
    <w:rsid w:val="00AC0BB9"/>
    <w:rsid w:val="00AC0C10"/>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5AA"/>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6E7"/>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4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2CD"/>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4AE"/>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6F04"/>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8A4"/>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2FC"/>
    <w:rsid w:val="00C013C7"/>
    <w:rsid w:val="00C0169E"/>
    <w:rsid w:val="00C019B8"/>
    <w:rsid w:val="00C01D5D"/>
    <w:rsid w:val="00C02092"/>
    <w:rsid w:val="00C022B7"/>
    <w:rsid w:val="00C026BC"/>
    <w:rsid w:val="00C02E9E"/>
    <w:rsid w:val="00C03525"/>
    <w:rsid w:val="00C03C7E"/>
    <w:rsid w:val="00C049DD"/>
    <w:rsid w:val="00C0569D"/>
    <w:rsid w:val="00C056B5"/>
    <w:rsid w:val="00C05933"/>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6E1"/>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091"/>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5C31"/>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5AE"/>
    <w:rsid w:val="00C85C83"/>
    <w:rsid w:val="00C85F55"/>
    <w:rsid w:val="00C85F8C"/>
    <w:rsid w:val="00C864ED"/>
    <w:rsid w:val="00C8684A"/>
    <w:rsid w:val="00C868E2"/>
    <w:rsid w:val="00C877D8"/>
    <w:rsid w:val="00C87CC9"/>
    <w:rsid w:val="00C87EC8"/>
    <w:rsid w:val="00C903F9"/>
    <w:rsid w:val="00C90576"/>
    <w:rsid w:val="00C90C44"/>
    <w:rsid w:val="00C90D39"/>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39E"/>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416"/>
    <w:rsid w:val="00CF2B2E"/>
    <w:rsid w:val="00CF2FAD"/>
    <w:rsid w:val="00CF31C3"/>
    <w:rsid w:val="00CF3F70"/>
    <w:rsid w:val="00CF40AB"/>
    <w:rsid w:val="00CF44C0"/>
    <w:rsid w:val="00CF44F7"/>
    <w:rsid w:val="00CF48C1"/>
    <w:rsid w:val="00CF6278"/>
    <w:rsid w:val="00CF6916"/>
    <w:rsid w:val="00CF6970"/>
    <w:rsid w:val="00CF6B0C"/>
    <w:rsid w:val="00CF6F88"/>
    <w:rsid w:val="00CF708B"/>
    <w:rsid w:val="00CF75AB"/>
    <w:rsid w:val="00CF7D7C"/>
    <w:rsid w:val="00D00176"/>
    <w:rsid w:val="00D0041D"/>
    <w:rsid w:val="00D00AE0"/>
    <w:rsid w:val="00D00D98"/>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306"/>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2D30"/>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CE"/>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3F98"/>
    <w:rsid w:val="00D56098"/>
    <w:rsid w:val="00D560B6"/>
    <w:rsid w:val="00D561B8"/>
    <w:rsid w:val="00D56BD1"/>
    <w:rsid w:val="00D56DBA"/>
    <w:rsid w:val="00D572B7"/>
    <w:rsid w:val="00D575DA"/>
    <w:rsid w:val="00D57988"/>
    <w:rsid w:val="00D57BB1"/>
    <w:rsid w:val="00D57CB6"/>
    <w:rsid w:val="00D603DC"/>
    <w:rsid w:val="00D60ADD"/>
    <w:rsid w:val="00D60EE6"/>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5D88"/>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1797"/>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0844"/>
    <w:rsid w:val="00DD127E"/>
    <w:rsid w:val="00DD228C"/>
    <w:rsid w:val="00DD2354"/>
    <w:rsid w:val="00DD38AC"/>
    <w:rsid w:val="00DD4690"/>
    <w:rsid w:val="00DD550B"/>
    <w:rsid w:val="00DD5D3D"/>
    <w:rsid w:val="00DD685F"/>
    <w:rsid w:val="00DD6AD1"/>
    <w:rsid w:val="00DD75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0AF7"/>
    <w:rsid w:val="00E01666"/>
    <w:rsid w:val="00E01B9C"/>
    <w:rsid w:val="00E02310"/>
    <w:rsid w:val="00E03055"/>
    <w:rsid w:val="00E0327E"/>
    <w:rsid w:val="00E038D3"/>
    <w:rsid w:val="00E038EE"/>
    <w:rsid w:val="00E03C1F"/>
    <w:rsid w:val="00E03CA6"/>
    <w:rsid w:val="00E03E84"/>
    <w:rsid w:val="00E04893"/>
    <w:rsid w:val="00E04E30"/>
    <w:rsid w:val="00E05589"/>
    <w:rsid w:val="00E05D82"/>
    <w:rsid w:val="00E06CCA"/>
    <w:rsid w:val="00E07424"/>
    <w:rsid w:val="00E07BB8"/>
    <w:rsid w:val="00E1038F"/>
    <w:rsid w:val="00E103F1"/>
    <w:rsid w:val="00E106B6"/>
    <w:rsid w:val="00E10E54"/>
    <w:rsid w:val="00E11015"/>
    <w:rsid w:val="00E118F8"/>
    <w:rsid w:val="00E12379"/>
    <w:rsid w:val="00E132DE"/>
    <w:rsid w:val="00E142EC"/>
    <w:rsid w:val="00E14DA4"/>
    <w:rsid w:val="00E1521B"/>
    <w:rsid w:val="00E156EC"/>
    <w:rsid w:val="00E15949"/>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5DB"/>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7D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3FE0"/>
    <w:rsid w:val="00E449E0"/>
    <w:rsid w:val="00E45F57"/>
    <w:rsid w:val="00E462D8"/>
    <w:rsid w:val="00E46AF6"/>
    <w:rsid w:val="00E47A0A"/>
    <w:rsid w:val="00E47BDA"/>
    <w:rsid w:val="00E47F6C"/>
    <w:rsid w:val="00E5015F"/>
    <w:rsid w:val="00E50816"/>
    <w:rsid w:val="00E5166E"/>
    <w:rsid w:val="00E516A3"/>
    <w:rsid w:val="00E518AB"/>
    <w:rsid w:val="00E52378"/>
    <w:rsid w:val="00E52463"/>
    <w:rsid w:val="00E52979"/>
    <w:rsid w:val="00E52AD7"/>
    <w:rsid w:val="00E53FBB"/>
    <w:rsid w:val="00E541AA"/>
    <w:rsid w:val="00E54449"/>
    <w:rsid w:val="00E5448E"/>
    <w:rsid w:val="00E544F4"/>
    <w:rsid w:val="00E54C07"/>
    <w:rsid w:val="00E550EB"/>
    <w:rsid w:val="00E55614"/>
    <w:rsid w:val="00E55901"/>
    <w:rsid w:val="00E55A92"/>
    <w:rsid w:val="00E55CBF"/>
    <w:rsid w:val="00E5720F"/>
    <w:rsid w:val="00E60D0D"/>
    <w:rsid w:val="00E60F76"/>
    <w:rsid w:val="00E61674"/>
    <w:rsid w:val="00E6175A"/>
    <w:rsid w:val="00E617AE"/>
    <w:rsid w:val="00E61D52"/>
    <w:rsid w:val="00E62092"/>
    <w:rsid w:val="00E62CD1"/>
    <w:rsid w:val="00E62D9B"/>
    <w:rsid w:val="00E631FD"/>
    <w:rsid w:val="00E64707"/>
    <w:rsid w:val="00E65758"/>
    <w:rsid w:val="00E66082"/>
    <w:rsid w:val="00E660C4"/>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BE"/>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6FEB"/>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1F5B"/>
    <w:rsid w:val="00EC250F"/>
    <w:rsid w:val="00EC29BA"/>
    <w:rsid w:val="00EC2CE5"/>
    <w:rsid w:val="00EC337F"/>
    <w:rsid w:val="00EC3E75"/>
    <w:rsid w:val="00EC48E7"/>
    <w:rsid w:val="00EC4C68"/>
    <w:rsid w:val="00EC4CC2"/>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851"/>
    <w:rsid w:val="00EE5CE4"/>
    <w:rsid w:val="00EE64A4"/>
    <w:rsid w:val="00EE71F2"/>
    <w:rsid w:val="00EE7328"/>
    <w:rsid w:val="00EE7875"/>
    <w:rsid w:val="00EE7CFF"/>
    <w:rsid w:val="00EF0A18"/>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229"/>
    <w:rsid w:val="00F06752"/>
    <w:rsid w:val="00F06B83"/>
    <w:rsid w:val="00F06D16"/>
    <w:rsid w:val="00F06E21"/>
    <w:rsid w:val="00F07542"/>
    <w:rsid w:val="00F1092B"/>
    <w:rsid w:val="00F11F87"/>
    <w:rsid w:val="00F12B14"/>
    <w:rsid w:val="00F13373"/>
    <w:rsid w:val="00F13733"/>
    <w:rsid w:val="00F1488F"/>
    <w:rsid w:val="00F148B0"/>
    <w:rsid w:val="00F151A9"/>
    <w:rsid w:val="00F15646"/>
    <w:rsid w:val="00F16084"/>
    <w:rsid w:val="00F16517"/>
    <w:rsid w:val="00F166FC"/>
    <w:rsid w:val="00F169B0"/>
    <w:rsid w:val="00F16D42"/>
    <w:rsid w:val="00F16E82"/>
    <w:rsid w:val="00F17757"/>
    <w:rsid w:val="00F2012F"/>
    <w:rsid w:val="00F20E27"/>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683"/>
    <w:rsid w:val="00F32B03"/>
    <w:rsid w:val="00F32DC7"/>
    <w:rsid w:val="00F334C6"/>
    <w:rsid w:val="00F337EB"/>
    <w:rsid w:val="00F33C79"/>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2528"/>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04E"/>
    <w:rsid w:val="00F71992"/>
    <w:rsid w:val="00F71BAF"/>
    <w:rsid w:val="00F71BE3"/>
    <w:rsid w:val="00F72661"/>
    <w:rsid w:val="00F72C0B"/>
    <w:rsid w:val="00F733CE"/>
    <w:rsid w:val="00F73D19"/>
    <w:rsid w:val="00F7594B"/>
    <w:rsid w:val="00F760C5"/>
    <w:rsid w:val="00F76FEE"/>
    <w:rsid w:val="00F77133"/>
    <w:rsid w:val="00F804C7"/>
    <w:rsid w:val="00F80740"/>
    <w:rsid w:val="00F820F5"/>
    <w:rsid w:val="00F82A36"/>
    <w:rsid w:val="00F8333A"/>
    <w:rsid w:val="00F83630"/>
    <w:rsid w:val="00F841F7"/>
    <w:rsid w:val="00F85047"/>
    <w:rsid w:val="00F85B40"/>
    <w:rsid w:val="00F862D4"/>
    <w:rsid w:val="00F865F2"/>
    <w:rsid w:val="00F86A40"/>
    <w:rsid w:val="00F87095"/>
    <w:rsid w:val="00F87781"/>
    <w:rsid w:val="00F87B6E"/>
    <w:rsid w:val="00F87D87"/>
    <w:rsid w:val="00F903F0"/>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0FE2"/>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4B0E"/>
    <w:rsid w:val="00FB5AEA"/>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004"/>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3CD7-DB30-4DA8-A2DA-12BF03A7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2024-09-16T07:08:00Z</cp:lastPrinted>
  <dcterms:created xsi:type="dcterms:W3CDTF">2024-09-20T10:27:00Z</dcterms:created>
  <dcterms:modified xsi:type="dcterms:W3CDTF">2024-09-20T10:27:00Z</dcterms:modified>
</cp:coreProperties>
</file>