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7D" w:rsidRDefault="00A77D7D" w:rsidP="00C57A0C">
      <w:pPr>
        <w:spacing w:after="0" w:line="240" w:lineRule="auto"/>
        <w:jc w:val="both"/>
        <w:rPr>
          <w:rFonts w:ascii="Times New Roman" w:hAnsi="Times New Roman" w:cs="Times New Roman"/>
          <w:sz w:val="24"/>
          <w:szCs w:val="24"/>
        </w:rPr>
      </w:pPr>
      <w:bookmarkStart w:id="0" w:name="_GoBack"/>
      <w:bookmarkEnd w:id="0"/>
    </w:p>
    <w:p w:rsidR="00A77D7D" w:rsidRDefault="00A77D7D" w:rsidP="00A77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CHRISTOPHER WILLIAM BARNSLEY</w:t>
      </w:r>
    </w:p>
    <w:p w:rsidR="00A77D7D" w:rsidRDefault="007632A6" w:rsidP="00A77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A77D7D">
        <w:rPr>
          <w:rFonts w:ascii="Times New Roman" w:hAnsi="Times New Roman" w:cs="Times New Roman"/>
          <w:sz w:val="24"/>
          <w:szCs w:val="24"/>
        </w:rPr>
        <w:t>ersus</w:t>
      </w:r>
    </w:p>
    <w:p w:rsidR="00A77D7D" w:rsidRDefault="00A77D7D" w:rsidP="00A77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HARAMBE HOLDINGS (PVT) LTD AND ANOTHER</w:t>
      </w:r>
    </w:p>
    <w:p w:rsidR="00A77D7D" w:rsidRDefault="00A77D7D" w:rsidP="00A77D7D">
      <w:pPr>
        <w:spacing w:after="0" w:line="240" w:lineRule="auto"/>
        <w:jc w:val="both"/>
        <w:rPr>
          <w:rFonts w:ascii="Times New Roman" w:hAnsi="Times New Roman" w:cs="Times New Roman"/>
          <w:sz w:val="24"/>
          <w:szCs w:val="24"/>
        </w:rPr>
      </w:pPr>
    </w:p>
    <w:p w:rsidR="00A77D7D" w:rsidRDefault="00A77D7D" w:rsidP="00A77D7D">
      <w:pPr>
        <w:spacing w:after="0" w:line="240" w:lineRule="auto"/>
        <w:jc w:val="both"/>
        <w:rPr>
          <w:rFonts w:ascii="Times New Roman" w:hAnsi="Times New Roman" w:cs="Times New Roman"/>
          <w:sz w:val="24"/>
          <w:szCs w:val="24"/>
        </w:rPr>
      </w:pPr>
    </w:p>
    <w:p w:rsidR="00A77D7D" w:rsidRDefault="00A77D7D" w:rsidP="00A77D7D">
      <w:pPr>
        <w:spacing w:after="0" w:line="240" w:lineRule="auto"/>
        <w:jc w:val="both"/>
        <w:rPr>
          <w:rFonts w:ascii="Times New Roman" w:hAnsi="Times New Roman" w:cs="Times New Roman"/>
          <w:sz w:val="24"/>
          <w:szCs w:val="24"/>
        </w:rPr>
      </w:pPr>
    </w:p>
    <w:p w:rsidR="00A77D7D" w:rsidRDefault="00A77D7D" w:rsidP="00A77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77D7D" w:rsidRDefault="00A77D7D" w:rsidP="00A77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A77D7D" w:rsidRDefault="00A77D7D" w:rsidP="00A77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 </w:t>
      </w:r>
      <w:r w:rsidR="0081711B">
        <w:rPr>
          <w:rFonts w:ascii="Times New Roman" w:hAnsi="Times New Roman" w:cs="Times New Roman"/>
          <w:sz w:val="24"/>
          <w:szCs w:val="24"/>
        </w:rPr>
        <w:t xml:space="preserve">and 22 </w:t>
      </w:r>
      <w:r>
        <w:rPr>
          <w:rFonts w:ascii="Times New Roman" w:hAnsi="Times New Roman" w:cs="Times New Roman"/>
          <w:sz w:val="24"/>
          <w:szCs w:val="24"/>
        </w:rPr>
        <w:t>February 2012</w:t>
      </w:r>
    </w:p>
    <w:p w:rsidR="00A77D7D" w:rsidRDefault="00A77D7D" w:rsidP="00A77D7D">
      <w:pPr>
        <w:spacing w:after="0" w:line="240" w:lineRule="auto"/>
        <w:jc w:val="both"/>
        <w:rPr>
          <w:rFonts w:ascii="Times New Roman" w:hAnsi="Times New Roman" w:cs="Times New Roman"/>
          <w:sz w:val="24"/>
          <w:szCs w:val="24"/>
        </w:rPr>
      </w:pPr>
    </w:p>
    <w:p w:rsidR="00A77D7D" w:rsidRDefault="00A77D7D" w:rsidP="00A77D7D">
      <w:pPr>
        <w:spacing w:after="0" w:line="240" w:lineRule="auto"/>
        <w:jc w:val="both"/>
        <w:rPr>
          <w:rFonts w:ascii="Times New Roman" w:hAnsi="Times New Roman" w:cs="Times New Roman"/>
          <w:sz w:val="24"/>
          <w:szCs w:val="24"/>
        </w:rPr>
      </w:pPr>
    </w:p>
    <w:p w:rsidR="00A77D7D" w:rsidRDefault="00A77D7D" w:rsidP="00A77D7D">
      <w:pPr>
        <w:spacing w:after="0" w:line="240" w:lineRule="auto"/>
        <w:jc w:val="both"/>
        <w:rPr>
          <w:rFonts w:ascii="Times New Roman" w:hAnsi="Times New Roman" w:cs="Times New Roman"/>
          <w:sz w:val="24"/>
          <w:szCs w:val="24"/>
        </w:rPr>
      </w:pPr>
    </w:p>
    <w:p w:rsidR="00A77D7D" w:rsidRDefault="00A77D7D" w:rsidP="00A77D7D">
      <w:pPr>
        <w:spacing w:after="0" w:line="240" w:lineRule="auto"/>
        <w:jc w:val="both"/>
        <w:rPr>
          <w:rFonts w:ascii="Times New Roman" w:hAnsi="Times New Roman" w:cs="Times New Roman"/>
          <w:b/>
          <w:sz w:val="24"/>
          <w:szCs w:val="24"/>
        </w:rPr>
      </w:pPr>
      <w:r w:rsidRPr="00A77D7D">
        <w:rPr>
          <w:rFonts w:ascii="Times New Roman" w:hAnsi="Times New Roman" w:cs="Times New Roman"/>
          <w:b/>
          <w:sz w:val="24"/>
          <w:szCs w:val="24"/>
        </w:rPr>
        <w:t>Opposed Court Application</w:t>
      </w:r>
    </w:p>
    <w:p w:rsidR="00A77D7D" w:rsidRDefault="00A77D7D" w:rsidP="00A77D7D">
      <w:pPr>
        <w:spacing w:after="0" w:line="240" w:lineRule="auto"/>
        <w:jc w:val="both"/>
        <w:rPr>
          <w:rFonts w:ascii="Times New Roman" w:hAnsi="Times New Roman" w:cs="Times New Roman"/>
          <w:b/>
          <w:sz w:val="24"/>
          <w:szCs w:val="24"/>
        </w:rPr>
      </w:pPr>
    </w:p>
    <w:p w:rsidR="00A77D7D" w:rsidRPr="00A77D7D" w:rsidRDefault="00A77D7D" w:rsidP="00A77D7D">
      <w:pPr>
        <w:spacing w:after="0" w:line="240" w:lineRule="auto"/>
        <w:jc w:val="both"/>
        <w:rPr>
          <w:rFonts w:ascii="Times New Roman" w:hAnsi="Times New Roman" w:cs="Times New Roman"/>
          <w:b/>
          <w:sz w:val="24"/>
          <w:szCs w:val="24"/>
        </w:rPr>
      </w:pPr>
    </w:p>
    <w:p w:rsidR="00A77D7D" w:rsidRDefault="00A77D7D" w:rsidP="00A77D7D">
      <w:pPr>
        <w:spacing w:after="0" w:line="240" w:lineRule="auto"/>
        <w:jc w:val="both"/>
        <w:rPr>
          <w:rFonts w:ascii="Times New Roman" w:hAnsi="Times New Roman" w:cs="Times New Roman"/>
          <w:sz w:val="24"/>
          <w:szCs w:val="24"/>
        </w:rPr>
      </w:pPr>
      <w:r w:rsidRPr="00A77D7D">
        <w:rPr>
          <w:rFonts w:ascii="Times New Roman" w:hAnsi="Times New Roman" w:cs="Times New Roman"/>
          <w:i/>
          <w:sz w:val="24"/>
          <w:szCs w:val="24"/>
        </w:rPr>
        <w:t>P. Kawonde</w:t>
      </w:r>
      <w:r>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A77D7D" w:rsidRDefault="00A77D7D" w:rsidP="00A77D7D">
      <w:pPr>
        <w:spacing w:after="0" w:line="240" w:lineRule="auto"/>
        <w:jc w:val="both"/>
        <w:rPr>
          <w:rFonts w:ascii="Times New Roman" w:hAnsi="Times New Roman" w:cs="Times New Roman"/>
          <w:sz w:val="24"/>
          <w:szCs w:val="24"/>
        </w:rPr>
      </w:pPr>
      <w:r w:rsidRPr="00A77D7D">
        <w:rPr>
          <w:rFonts w:ascii="Times New Roman" w:hAnsi="Times New Roman" w:cs="Times New Roman"/>
          <w:i/>
          <w:sz w:val="24"/>
          <w:szCs w:val="24"/>
        </w:rPr>
        <w:t>N. Bvekwa</w:t>
      </w:r>
      <w:r>
        <w:rPr>
          <w:rFonts w:ascii="Times New Roman" w:hAnsi="Times New Roman" w:cs="Times New Roman"/>
          <w:i/>
          <w:sz w:val="24"/>
          <w:szCs w:val="24"/>
        </w:rPr>
        <w:t>,</w:t>
      </w:r>
      <w:r>
        <w:rPr>
          <w:rFonts w:ascii="Times New Roman" w:hAnsi="Times New Roman" w:cs="Times New Roman"/>
          <w:sz w:val="24"/>
          <w:szCs w:val="24"/>
        </w:rPr>
        <w:t xml:space="preserve"> for the respondents</w:t>
      </w:r>
    </w:p>
    <w:p w:rsidR="00A77D7D" w:rsidRDefault="00A77D7D" w:rsidP="00A77D7D">
      <w:pPr>
        <w:spacing w:after="0" w:line="240" w:lineRule="auto"/>
        <w:jc w:val="both"/>
        <w:rPr>
          <w:rFonts w:ascii="Times New Roman" w:hAnsi="Times New Roman" w:cs="Times New Roman"/>
          <w:sz w:val="24"/>
          <w:szCs w:val="24"/>
        </w:rPr>
      </w:pPr>
    </w:p>
    <w:p w:rsidR="00A77D7D" w:rsidRDefault="00A77D7D" w:rsidP="00A77D7D">
      <w:pPr>
        <w:spacing w:after="0" w:line="240" w:lineRule="auto"/>
        <w:jc w:val="both"/>
        <w:rPr>
          <w:rFonts w:ascii="Times New Roman" w:hAnsi="Times New Roman" w:cs="Times New Roman"/>
          <w:sz w:val="24"/>
          <w:szCs w:val="24"/>
        </w:rPr>
      </w:pPr>
    </w:p>
    <w:p w:rsidR="00A77D7D" w:rsidRDefault="00A77D7D" w:rsidP="00A77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w:t>
      </w:r>
      <w:r w:rsidR="00C758F3">
        <w:rPr>
          <w:rFonts w:ascii="Times New Roman" w:hAnsi="Times New Roman" w:cs="Times New Roman"/>
          <w:sz w:val="24"/>
          <w:szCs w:val="24"/>
        </w:rPr>
        <w:t>H</w:t>
      </w:r>
      <w:r>
        <w:rPr>
          <w:rFonts w:ascii="Times New Roman" w:hAnsi="Times New Roman" w:cs="Times New Roman"/>
          <w:sz w:val="24"/>
          <w:szCs w:val="24"/>
        </w:rPr>
        <w:t xml:space="preserve">ONSI J:  The applicant was employed as Group Engineering Director </w:t>
      </w:r>
      <w:r w:rsidR="0081711B">
        <w:rPr>
          <w:rFonts w:ascii="Times New Roman" w:hAnsi="Times New Roman" w:cs="Times New Roman"/>
          <w:sz w:val="24"/>
          <w:szCs w:val="24"/>
        </w:rPr>
        <w:t xml:space="preserve">by the first respondent, </w:t>
      </w:r>
      <w:r>
        <w:rPr>
          <w:rFonts w:ascii="Times New Roman" w:hAnsi="Times New Roman" w:cs="Times New Roman"/>
          <w:sz w:val="24"/>
          <w:szCs w:val="24"/>
        </w:rPr>
        <w:t xml:space="preserve">which represented itself as a holding company comprising several subsidies with the </w:t>
      </w:r>
      <w:r w:rsidR="00AD4A6D">
        <w:rPr>
          <w:rFonts w:ascii="Times New Roman" w:hAnsi="Times New Roman" w:cs="Times New Roman"/>
          <w:sz w:val="24"/>
          <w:szCs w:val="24"/>
        </w:rPr>
        <w:t xml:space="preserve">second </w:t>
      </w:r>
      <w:r>
        <w:rPr>
          <w:rFonts w:ascii="Times New Roman" w:hAnsi="Times New Roman" w:cs="Times New Roman"/>
          <w:sz w:val="24"/>
          <w:szCs w:val="24"/>
        </w:rPr>
        <w:t>respondent as its Chief Executive Officer.</w:t>
      </w:r>
    </w:p>
    <w:p w:rsidR="00A77D7D" w:rsidRDefault="00A77D7D" w:rsidP="00A77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letter of his appointment containing the terms of employment dated 7 May 2009 was signed by the </w:t>
      </w:r>
      <w:r w:rsidR="00AD4A6D">
        <w:rPr>
          <w:rFonts w:ascii="Times New Roman" w:hAnsi="Times New Roman" w:cs="Times New Roman"/>
          <w:sz w:val="24"/>
          <w:szCs w:val="24"/>
        </w:rPr>
        <w:t>second</w:t>
      </w:r>
      <w:r>
        <w:rPr>
          <w:rFonts w:ascii="Times New Roman" w:hAnsi="Times New Roman" w:cs="Times New Roman"/>
          <w:sz w:val="24"/>
          <w:szCs w:val="24"/>
        </w:rPr>
        <w:t xml:space="preserve"> respondent in his capacity as the </w:t>
      </w:r>
      <w:r w:rsidR="00964FEF">
        <w:rPr>
          <w:rFonts w:ascii="Times New Roman" w:hAnsi="Times New Roman" w:cs="Times New Roman"/>
          <w:sz w:val="24"/>
          <w:szCs w:val="24"/>
        </w:rPr>
        <w:t>C</w:t>
      </w:r>
      <w:r>
        <w:rPr>
          <w:rFonts w:ascii="Times New Roman" w:hAnsi="Times New Roman" w:cs="Times New Roman"/>
          <w:sz w:val="24"/>
          <w:szCs w:val="24"/>
        </w:rPr>
        <w:t>hief Executive Officer.  It reads as follows:</w:t>
      </w:r>
    </w:p>
    <w:p w:rsidR="00A77D7D" w:rsidRDefault="00A77D7D" w:rsidP="00A77D7D">
      <w:pPr>
        <w:spacing w:after="0" w:line="360" w:lineRule="auto"/>
        <w:jc w:val="both"/>
        <w:rPr>
          <w:rFonts w:ascii="Times New Roman" w:hAnsi="Times New Roman" w:cs="Times New Roman"/>
          <w:sz w:val="24"/>
          <w:szCs w:val="24"/>
        </w:rPr>
      </w:pPr>
    </w:p>
    <w:p w:rsidR="00A77D7D" w:rsidRPr="00906CC8" w:rsidRDefault="00A77D7D" w:rsidP="00A77D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“REF: </w:t>
      </w:r>
      <w:r w:rsidRPr="00906CC8">
        <w:rPr>
          <w:rFonts w:ascii="Times New Roman" w:hAnsi="Times New Roman" w:cs="Times New Roman"/>
          <w:sz w:val="24"/>
          <w:szCs w:val="24"/>
          <w:u w:val="single"/>
        </w:rPr>
        <w:t xml:space="preserve">APPOINTMENT TO THE POSITION OF GROUP ENGINEERING </w:t>
      </w:r>
    </w:p>
    <w:p w:rsidR="00A77D7D" w:rsidRPr="00906CC8" w:rsidRDefault="00A77D7D" w:rsidP="00A77D7D">
      <w:pPr>
        <w:spacing w:after="0" w:line="240" w:lineRule="auto"/>
        <w:jc w:val="both"/>
        <w:rPr>
          <w:rFonts w:ascii="Times New Roman" w:hAnsi="Times New Roman" w:cs="Times New Roman"/>
          <w:sz w:val="24"/>
          <w:szCs w:val="24"/>
          <w:u w:val="single"/>
        </w:rPr>
      </w:pPr>
      <w:r w:rsidRPr="00906CC8">
        <w:rPr>
          <w:rFonts w:ascii="Times New Roman" w:hAnsi="Times New Roman" w:cs="Times New Roman"/>
          <w:sz w:val="24"/>
          <w:szCs w:val="24"/>
        </w:rPr>
        <w:tab/>
      </w:r>
      <w:r w:rsidRPr="00906CC8">
        <w:rPr>
          <w:rFonts w:ascii="Times New Roman" w:hAnsi="Times New Roman" w:cs="Times New Roman"/>
          <w:sz w:val="24"/>
          <w:szCs w:val="24"/>
          <w:u w:val="single"/>
        </w:rPr>
        <w:t xml:space="preserve">DIRECTOR EFFECTIVE 1 JUNE 2009    </w:t>
      </w:r>
    </w:p>
    <w:p w:rsidR="00A77D7D" w:rsidRDefault="00A77D7D" w:rsidP="00A77D7D">
      <w:pPr>
        <w:spacing w:after="0" w:line="240" w:lineRule="auto"/>
        <w:jc w:val="both"/>
        <w:rPr>
          <w:rFonts w:ascii="Times New Roman" w:hAnsi="Times New Roman" w:cs="Times New Roman"/>
          <w:sz w:val="24"/>
          <w:szCs w:val="24"/>
        </w:rPr>
      </w:pPr>
    </w:p>
    <w:p w:rsidR="00A77D7D" w:rsidRDefault="00A77D7D" w:rsidP="009811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Following the initial discussion with me and the subsequent interview conducted at our Head office, I wish to confirm your appointment to the above position whose duties include the following:</w:t>
      </w:r>
    </w:p>
    <w:p w:rsidR="00A77D7D" w:rsidRDefault="00A77D7D" w:rsidP="00A77D7D">
      <w:pPr>
        <w:spacing w:after="0" w:line="360" w:lineRule="auto"/>
        <w:jc w:val="both"/>
        <w:rPr>
          <w:rFonts w:ascii="Times New Roman" w:hAnsi="Times New Roman" w:cs="Times New Roman"/>
          <w:sz w:val="24"/>
          <w:szCs w:val="24"/>
        </w:rPr>
      </w:pPr>
    </w:p>
    <w:p w:rsidR="00A77D7D" w:rsidRPr="00B31317" w:rsidRDefault="00A77D7D" w:rsidP="00B31317">
      <w:pPr>
        <w:pStyle w:val="ListParagraph"/>
        <w:numPr>
          <w:ilvl w:val="0"/>
          <w:numId w:val="2"/>
        </w:numPr>
        <w:spacing w:after="0" w:line="240" w:lineRule="auto"/>
        <w:jc w:val="both"/>
        <w:rPr>
          <w:rFonts w:ascii="Times New Roman" w:hAnsi="Times New Roman" w:cs="Times New Roman"/>
          <w:sz w:val="24"/>
          <w:szCs w:val="24"/>
        </w:rPr>
      </w:pPr>
      <w:r w:rsidRPr="00B31317">
        <w:rPr>
          <w:rFonts w:ascii="Times New Roman" w:hAnsi="Times New Roman" w:cs="Times New Roman"/>
          <w:sz w:val="24"/>
          <w:szCs w:val="24"/>
        </w:rPr>
        <w:t>Management of all Group Engineering Projects and Installations.</w:t>
      </w:r>
    </w:p>
    <w:p w:rsidR="00B31317" w:rsidRPr="00B31317" w:rsidRDefault="00B31317" w:rsidP="00B31317">
      <w:pPr>
        <w:pStyle w:val="ListParagraph"/>
        <w:spacing w:after="0" w:line="240" w:lineRule="auto"/>
        <w:ind w:left="1500"/>
        <w:jc w:val="both"/>
        <w:rPr>
          <w:rFonts w:ascii="Times New Roman" w:hAnsi="Times New Roman" w:cs="Times New Roman"/>
          <w:sz w:val="24"/>
          <w:szCs w:val="24"/>
        </w:rPr>
      </w:pPr>
    </w:p>
    <w:p w:rsidR="00A77D7D" w:rsidRPr="00B31317" w:rsidRDefault="00A77D7D" w:rsidP="00B31317">
      <w:pPr>
        <w:pStyle w:val="ListParagraph"/>
        <w:numPr>
          <w:ilvl w:val="0"/>
          <w:numId w:val="2"/>
        </w:numPr>
        <w:spacing w:after="0" w:line="240" w:lineRule="auto"/>
        <w:jc w:val="both"/>
        <w:rPr>
          <w:rFonts w:ascii="Times New Roman" w:hAnsi="Times New Roman" w:cs="Times New Roman"/>
          <w:sz w:val="24"/>
          <w:szCs w:val="24"/>
        </w:rPr>
      </w:pPr>
      <w:r w:rsidRPr="00B31317">
        <w:rPr>
          <w:rFonts w:ascii="Times New Roman" w:hAnsi="Times New Roman" w:cs="Times New Roman"/>
          <w:sz w:val="24"/>
          <w:szCs w:val="24"/>
        </w:rPr>
        <w:t>Production Process improvements to include a</w:t>
      </w:r>
      <w:r w:rsidR="00964FEF">
        <w:rPr>
          <w:rFonts w:ascii="Times New Roman" w:hAnsi="Times New Roman" w:cs="Times New Roman"/>
          <w:sz w:val="24"/>
          <w:szCs w:val="24"/>
        </w:rPr>
        <w:t>u</w:t>
      </w:r>
      <w:r w:rsidRPr="00B31317">
        <w:rPr>
          <w:rFonts w:ascii="Times New Roman" w:hAnsi="Times New Roman" w:cs="Times New Roman"/>
          <w:sz w:val="24"/>
          <w:szCs w:val="24"/>
        </w:rPr>
        <w:t>tomation and plant simpli</w:t>
      </w:r>
      <w:r w:rsidR="00906CC8">
        <w:rPr>
          <w:rFonts w:ascii="Times New Roman" w:hAnsi="Times New Roman" w:cs="Times New Roman"/>
          <w:sz w:val="24"/>
          <w:szCs w:val="24"/>
        </w:rPr>
        <w:t>fi</w:t>
      </w:r>
      <w:r w:rsidRPr="00B31317">
        <w:rPr>
          <w:rFonts w:ascii="Times New Roman" w:hAnsi="Times New Roman" w:cs="Times New Roman"/>
          <w:sz w:val="24"/>
          <w:szCs w:val="24"/>
        </w:rPr>
        <w:t>cations.</w:t>
      </w:r>
    </w:p>
    <w:p w:rsidR="00B31317" w:rsidRPr="00B31317" w:rsidRDefault="00B31317" w:rsidP="00B31317">
      <w:pPr>
        <w:spacing w:after="0" w:line="240" w:lineRule="auto"/>
        <w:jc w:val="both"/>
        <w:rPr>
          <w:rFonts w:ascii="Times New Roman" w:hAnsi="Times New Roman" w:cs="Times New Roman"/>
          <w:sz w:val="24"/>
          <w:szCs w:val="24"/>
        </w:rPr>
      </w:pPr>
    </w:p>
    <w:p w:rsidR="00A77D7D" w:rsidRDefault="00A77D7D" w:rsidP="00B3131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Advise and lia</w:t>
      </w:r>
      <w:r w:rsidR="00964FEF">
        <w:rPr>
          <w:rFonts w:ascii="Times New Roman" w:hAnsi="Times New Roman" w:cs="Times New Roman"/>
          <w:sz w:val="24"/>
          <w:szCs w:val="24"/>
        </w:rPr>
        <w:t>i</w:t>
      </w:r>
      <w:r>
        <w:rPr>
          <w:rFonts w:ascii="Times New Roman" w:hAnsi="Times New Roman" w:cs="Times New Roman"/>
          <w:sz w:val="24"/>
          <w:szCs w:val="24"/>
        </w:rPr>
        <w:t>son with divisions on safety matters.</w:t>
      </w:r>
    </w:p>
    <w:p w:rsidR="00B31317" w:rsidRPr="00B31317" w:rsidRDefault="00B31317" w:rsidP="00B31317">
      <w:pPr>
        <w:spacing w:after="0" w:line="240" w:lineRule="auto"/>
        <w:jc w:val="both"/>
        <w:rPr>
          <w:rFonts w:ascii="Times New Roman" w:hAnsi="Times New Roman" w:cs="Times New Roman"/>
          <w:sz w:val="24"/>
          <w:szCs w:val="24"/>
        </w:rPr>
      </w:pPr>
    </w:p>
    <w:p w:rsidR="00A77D7D" w:rsidRDefault="00A77D7D" w:rsidP="00B3131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Advise and lia</w:t>
      </w:r>
      <w:r w:rsidR="00964FEF">
        <w:rPr>
          <w:rFonts w:ascii="Times New Roman" w:hAnsi="Times New Roman" w:cs="Times New Roman"/>
          <w:sz w:val="24"/>
          <w:szCs w:val="24"/>
        </w:rPr>
        <w:t>i</w:t>
      </w:r>
      <w:r>
        <w:rPr>
          <w:rFonts w:ascii="Times New Roman" w:hAnsi="Times New Roman" w:cs="Times New Roman"/>
          <w:sz w:val="24"/>
          <w:szCs w:val="24"/>
        </w:rPr>
        <w:t>son with divisions on procurement issues.</w:t>
      </w:r>
    </w:p>
    <w:p w:rsidR="00B31317" w:rsidRPr="00B31317" w:rsidRDefault="00B31317" w:rsidP="00B31317">
      <w:pPr>
        <w:spacing w:after="0" w:line="240" w:lineRule="auto"/>
        <w:jc w:val="both"/>
        <w:rPr>
          <w:rFonts w:ascii="Times New Roman" w:hAnsi="Times New Roman" w:cs="Times New Roman"/>
          <w:sz w:val="24"/>
          <w:szCs w:val="24"/>
        </w:rPr>
      </w:pPr>
    </w:p>
    <w:p w:rsidR="00A77D7D" w:rsidRDefault="00A77D7D" w:rsidP="00B3131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Developing preventive maintenance programmes for all divisions.</w:t>
      </w:r>
    </w:p>
    <w:p w:rsidR="00A77D7D" w:rsidRDefault="00A77D7D" w:rsidP="00B3131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Building inspections for structured works.</w:t>
      </w:r>
    </w:p>
    <w:p w:rsidR="008D6337" w:rsidRPr="00B31317" w:rsidRDefault="008D6337" w:rsidP="00B31317">
      <w:pPr>
        <w:spacing w:after="0" w:line="240" w:lineRule="auto"/>
        <w:ind w:left="780"/>
        <w:jc w:val="both"/>
        <w:rPr>
          <w:rFonts w:ascii="Times New Roman" w:hAnsi="Times New Roman" w:cs="Times New Roman"/>
          <w:sz w:val="24"/>
          <w:szCs w:val="24"/>
        </w:rPr>
      </w:pPr>
    </w:p>
    <w:p w:rsidR="00A77D7D" w:rsidRDefault="00A77D7D" w:rsidP="00A77D7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Introduction to best practices in all manufacturing processes.</w:t>
      </w:r>
    </w:p>
    <w:p w:rsidR="008D6337" w:rsidRPr="008D6337" w:rsidRDefault="008D6337" w:rsidP="008D6337">
      <w:pPr>
        <w:pStyle w:val="ListParagraph"/>
        <w:rPr>
          <w:rFonts w:ascii="Times New Roman" w:hAnsi="Times New Roman" w:cs="Times New Roman"/>
          <w:sz w:val="24"/>
          <w:szCs w:val="24"/>
        </w:rPr>
      </w:pPr>
    </w:p>
    <w:p w:rsidR="008D6337" w:rsidRPr="008D6337" w:rsidRDefault="008D6337" w:rsidP="008D6337">
      <w:pPr>
        <w:pStyle w:val="ListParagraph"/>
        <w:spacing w:after="0" w:line="240" w:lineRule="auto"/>
        <w:ind w:left="1500"/>
        <w:jc w:val="both"/>
        <w:rPr>
          <w:rFonts w:ascii="Times New Roman" w:hAnsi="Times New Roman" w:cs="Times New Roman"/>
          <w:sz w:val="24"/>
          <w:szCs w:val="24"/>
        </w:rPr>
      </w:pPr>
    </w:p>
    <w:p w:rsidR="00A77D7D" w:rsidRDefault="00A77D7D" w:rsidP="009811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a Director you will be expected to undertake full executive functions for the group from time to time at </w:t>
      </w:r>
      <w:r w:rsidR="0081711B">
        <w:rPr>
          <w:rFonts w:ascii="Times New Roman" w:hAnsi="Times New Roman" w:cs="Times New Roman"/>
          <w:sz w:val="24"/>
          <w:szCs w:val="24"/>
        </w:rPr>
        <w:t>fora</w:t>
      </w:r>
      <w:r>
        <w:rPr>
          <w:rFonts w:ascii="Times New Roman" w:hAnsi="Times New Roman" w:cs="Times New Roman"/>
          <w:sz w:val="24"/>
          <w:szCs w:val="24"/>
        </w:rPr>
        <w:t xml:space="preserve"> and engagements inside and outside the group.</w:t>
      </w:r>
    </w:p>
    <w:p w:rsidR="00A77D7D" w:rsidRDefault="00A77D7D" w:rsidP="00A77D7D">
      <w:pPr>
        <w:spacing w:after="0" w:line="360" w:lineRule="auto"/>
        <w:ind w:left="360" w:firstLine="360"/>
        <w:jc w:val="both"/>
        <w:rPr>
          <w:rFonts w:ascii="Times New Roman" w:hAnsi="Times New Roman" w:cs="Times New Roman"/>
          <w:sz w:val="24"/>
          <w:szCs w:val="24"/>
        </w:rPr>
      </w:pPr>
    </w:p>
    <w:p w:rsidR="00A77D7D" w:rsidRDefault="00A77D7D" w:rsidP="00A77D7D">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Your initial package will be as follows:</w:t>
      </w:r>
    </w:p>
    <w:p w:rsidR="00A77D7D" w:rsidRDefault="00A77D7D" w:rsidP="00A77D7D">
      <w:pPr>
        <w:spacing w:after="0" w:line="360" w:lineRule="auto"/>
        <w:ind w:left="360" w:firstLine="360"/>
        <w:jc w:val="both"/>
        <w:rPr>
          <w:rFonts w:ascii="Times New Roman" w:hAnsi="Times New Roman" w:cs="Times New Roman"/>
          <w:sz w:val="24"/>
          <w:szCs w:val="24"/>
        </w:rPr>
      </w:pPr>
    </w:p>
    <w:p w:rsidR="00A77D7D" w:rsidRDefault="00A77D7D" w:rsidP="009811C1">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Basic salary: </w:t>
      </w:r>
      <w:r w:rsidR="009811C1">
        <w:rPr>
          <w:rFonts w:ascii="Times New Roman" w:hAnsi="Times New Roman" w:cs="Times New Roman"/>
          <w:sz w:val="24"/>
          <w:szCs w:val="24"/>
        </w:rPr>
        <w:tab/>
      </w:r>
      <w:r w:rsidR="009811C1">
        <w:rPr>
          <w:rFonts w:ascii="Times New Roman" w:hAnsi="Times New Roman" w:cs="Times New Roman"/>
          <w:sz w:val="24"/>
          <w:szCs w:val="24"/>
        </w:rPr>
        <w:tab/>
      </w:r>
      <w:r>
        <w:rPr>
          <w:rFonts w:ascii="Times New Roman" w:hAnsi="Times New Roman" w:cs="Times New Roman"/>
          <w:sz w:val="24"/>
          <w:szCs w:val="24"/>
        </w:rPr>
        <w:t>US$3 000-00 per month</w:t>
      </w:r>
    </w:p>
    <w:p w:rsidR="00FA4671" w:rsidRDefault="00A77D7D" w:rsidP="009811C1">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Education Allowance: US$ 500-00 per month</w:t>
      </w:r>
    </w:p>
    <w:p w:rsidR="009811C1" w:rsidRDefault="00FA4671" w:rsidP="009811C1">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Cellphone Allowance: </w:t>
      </w:r>
      <w:r w:rsidRPr="009811C1">
        <w:rPr>
          <w:rFonts w:ascii="Times New Roman" w:hAnsi="Times New Roman" w:cs="Times New Roman"/>
          <w:sz w:val="24"/>
          <w:szCs w:val="24"/>
          <w:u w:val="single"/>
        </w:rPr>
        <w:t>US$ 250-00</w:t>
      </w:r>
      <w:r>
        <w:rPr>
          <w:rFonts w:ascii="Times New Roman" w:hAnsi="Times New Roman" w:cs="Times New Roman"/>
          <w:sz w:val="24"/>
          <w:szCs w:val="24"/>
        </w:rPr>
        <w:t xml:space="preserve"> per month</w:t>
      </w:r>
    </w:p>
    <w:p w:rsidR="008F1FBA" w:rsidRDefault="008F1FBA" w:rsidP="009811C1">
      <w:pPr>
        <w:spacing w:after="0" w:line="240" w:lineRule="auto"/>
        <w:ind w:left="360" w:firstLine="360"/>
        <w:jc w:val="both"/>
        <w:rPr>
          <w:rFonts w:ascii="Times New Roman" w:hAnsi="Times New Roman" w:cs="Times New Roman"/>
          <w:sz w:val="24"/>
          <w:szCs w:val="24"/>
        </w:rPr>
      </w:pPr>
    </w:p>
    <w:p w:rsidR="00A77D7D" w:rsidRDefault="009811C1" w:rsidP="009811C1">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p>
    <w:p w:rsidR="009811C1" w:rsidRDefault="009811C1" w:rsidP="009811C1">
      <w:pPr>
        <w:spacing w:after="0" w:line="360" w:lineRule="auto"/>
        <w:jc w:val="both"/>
        <w:rPr>
          <w:rFonts w:ascii="Times New Roman" w:hAnsi="Times New Roman" w:cs="Times New Roman"/>
          <w:sz w:val="24"/>
          <w:szCs w:val="24"/>
        </w:rPr>
      </w:pPr>
    </w:p>
    <w:p w:rsidR="009811C1" w:rsidRDefault="009811C1" w:rsidP="009811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Salaries are reviewed upward periodically in line with group performance.  After your 3 months probation you will be offered participation in the share options have no doubt that you will be able to make immense contributions given your attitude to work and vast experience and that you will work well with our executive dynamic team that has created a very robust and fast growing organisation.</w:t>
      </w:r>
    </w:p>
    <w:p w:rsidR="00F877C8" w:rsidRDefault="00F877C8" w:rsidP="009811C1">
      <w:pPr>
        <w:spacing w:after="0" w:line="360" w:lineRule="auto"/>
        <w:ind w:left="720"/>
        <w:jc w:val="both"/>
        <w:rPr>
          <w:rFonts w:ascii="Times New Roman" w:hAnsi="Times New Roman" w:cs="Times New Roman"/>
          <w:sz w:val="24"/>
          <w:szCs w:val="24"/>
        </w:rPr>
      </w:pPr>
    </w:p>
    <w:p w:rsidR="00F877C8" w:rsidRDefault="00F877C8" w:rsidP="009811C1">
      <w:pPr>
        <w:spacing w:after="0" w:line="360" w:lineRule="auto"/>
        <w:ind w:left="720"/>
        <w:jc w:val="both"/>
        <w:rPr>
          <w:rFonts w:ascii="Times New Roman" w:hAnsi="Times New Roman" w:cs="Times New Roman"/>
          <w:sz w:val="24"/>
          <w:szCs w:val="24"/>
        </w:rPr>
      </w:pPr>
    </w:p>
    <w:p w:rsidR="00F877C8" w:rsidRDefault="00F877C8" w:rsidP="009811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Yours f</w:t>
      </w:r>
      <w:r w:rsidR="007632A6">
        <w:rPr>
          <w:rFonts w:ascii="Times New Roman" w:hAnsi="Times New Roman" w:cs="Times New Roman"/>
          <w:sz w:val="24"/>
          <w:szCs w:val="24"/>
        </w:rPr>
        <w:t>a</w:t>
      </w:r>
      <w:r>
        <w:rPr>
          <w:rFonts w:ascii="Times New Roman" w:hAnsi="Times New Roman" w:cs="Times New Roman"/>
          <w:sz w:val="24"/>
          <w:szCs w:val="24"/>
        </w:rPr>
        <w:t>ithfully</w:t>
      </w:r>
    </w:p>
    <w:p w:rsidR="00F877C8" w:rsidRDefault="00F877C8" w:rsidP="009811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8F1FBA">
        <w:rPr>
          <w:rFonts w:ascii="Times New Roman" w:hAnsi="Times New Roman" w:cs="Times New Roman"/>
          <w:sz w:val="24"/>
          <w:szCs w:val="24"/>
        </w:rPr>
        <w:t>.</w:t>
      </w:r>
      <w:r>
        <w:rPr>
          <w:rFonts w:ascii="Times New Roman" w:hAnsi="Times New Roman" w:cs="Times New Roman"/>
          <w:sz w:val="24"/>
          <w:szCs w:val="24"/>
        </w:rPr>
        <w:t xml:space="preserve"> Govere</w:t>
      </w:r>
    </w:p>
    <w:p w:rsidR="00F877C8" w:rsidRDefault="00F877C8" w:rsidP="009811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CHIEF EXECUTIVE OFFICER”</w:t>
      </w:r>
    </w:p>
    <w:p w:rsidR="00F877C8" w:rsidRDefault="00F877C8" w:rsidP="00F877C8">
      <w:pPr>
        <w:spacing w:after="0" w:line="360" w:lineRule="auto"/>
        <w:jc w:val="both"/>
        <w:rPr>
          <w:rFonts w:ascii="Times New Roman" w:hAnsi="Times New Roman" w:cs="Times New Roman"/>
          <w:sz w:val="24"/>
          <w:szCs w:val="24"/>
        </w:rPr>
      </w:pPr>
    </w:p>
    <w:p w:rsidR="00F877C8" w:rsidRDefault="00F877C8" w:rsidP="00F87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appointment letter, which was copied to Chief Operations Officer and Chief Finance </w:t>
      </w:r>
      <w:r w:rsidR="007632A6">
        <w:rPr>
          <w:rFonts w:ascii="Times New Roman" w:hAnsi="Times New Roman" w:cs="Times New Roman"/>
          <w:sz w:val="24"/>
          <w:szCs w:val="24"/>
        </w:rPr>
        <w:t>O</w:t>
      </w:r>
      <w:r>
        <w:rPr>
          <w:rFonts w:ascii="Times New Roman" w:hAnsi="Times New Roman" w:cs="Times New Roman"/>
          <w:sz w:val="24"/>
          <w:szCs w:val="24"/>
        </w:rPr>
        <w:t>fficer clearly refers to a “Group” of entities and “divisions” of what was presumably a family of business</w:t>
      </w:r>
      <w:r w:rsidR="0081711B">
        <w:rPr>
          <w:rFonts w:ascii="Times New Roman" w:hAnsi="Times New Roman" w:cs="Times New Roman"/>
          <w:sz w:val="24"/>
          <w:szCs w:val="24"/>
        </w:rPr>
        <w:t>es</w:t>
      </w:r>
      <w:r>
        <w:rPr>
          <w:rFonts w:ascii="Times New Roman" w:hAnsi="Times New Roman" w:cs="Times New Roman"/>
          <w:sz w:val="24"/>
          <w:szCs w:val="24"/>
        </w:rPr>
        <w:t xml:space="preserve"> falling under the umbrella of Harambe Holdings.  In addition, an organogram was generated and made available to the applicant showing the structural lay out of the group of subsidies making up the first respondent holding company.</w:t>
      </w:r>
    </w:p>
    <w:p w:rsidR="00F877C8" w:rsidRDefault="00F877C8" w:rsidP="00F87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remained in employment for 11 months and when he did not receive his salary and allowances </w:t>
      </w:r>
      <w:r w:rsidR="0081711B">
        <w:rPr>
          <w:rFonts w:ascii="Times New Roman" w:hAnsi="Times New Roman" w:cs="Times New Roman"/>
          <w:sz w:val="24"/>
          <w:szCs w:val="24"/>
        </w:rPr>
        <w:t xml:space="preserve">in </w:t>
      </w:r>
      <w:r>
        <w:rPr>
          <w:rFonts w:ascii="Times New Roman" w:hAnsi="Times New Roman" w:cs="Times New Roman"/>
          <w:sz w:val="24"/>
          <w:szCs w:val="24"/>
        </w:rPr>
        <w:t>accordance with the employment contract</w:t>
      </w:r>
      <w:r w:rsidR="0081711B">
        <w:rPr>
          <w:rFonts w:ascii="Times New Roman" w:hAnsi="Times New Roman" w:cs="Times New Roman"/>
          <w:sz w:val="24"/>
          <w:szCs w:val="24"/>
        </w:rPr>
        <w:t>,</w:t>
      </w:r>
      <w:r>
        <w:rPr>
          <w:rFonts w:ascii="Times New Roman" w:hAnsi="Times New Roman" w:cs="Times New Roman"/>
          <w:sz w:val="24"/>
          <w:szCs w:val="24"/>
        </w:rPr>
        <w:t xml:space="preserve"> he referred the dis</w:t>
      </w:r>
      <w:r w:rsidR="00CA53BD">
        <w:rPr>
          <w:rFonts w:ascii="Times New Roman" w:hAnsi="Times New Roman" w:cs="Times New Roman"/>
          <w:sz w:val="24"/>
          <w:szCs w:val="24"/>
        </w:rPr>
        <w:t>p</w:t>
      </w:r>
      <w:r>
        <w:rPr>
          <w:rFonts w:ascii="Times New Roman" w:hAnsi="Times New Roman" w:cs="Times New Roman"/>
          <w:sz w:val="24"/>
          <w:szCs w:val="24"/>
        </w:rPr>
        <w:t xml:space="preserve">ute to arbitration.  An arbitral award was issued in his favour in the sum of US$61 879-00.  He has </w:t>
      </w:r>
      <w:r>
        <w:rPr>
          <w:rFonts w:ascii="Times New Roman" w:hAnsi="Times New Roman" w:cs="Times New Roman"/>
          <w:sz w:val="24"/>
          <w:szCs w:val="24"/>
        </w:rPr>
        <w:lastRenderedPageBreak/>
        <w:t>been unable to execute against first respondent’s</w:t>
      </w:r>
      <w:r w:rsidR="0081711B">
        <w:rPr>
          <w:rFonts w:ascii="Times New Roman" w:hAnsi="Times New Roman" w:cs="Times New Roman"/>
          <w:sz w:val="24"/>
          <w:szCs w:val="24"/>
        </w:rPr>
        <w:t xml:space="preserve"> property to recover the </w:t>
      </w:r>
      <w:r>
        <w:rPr>
          <w:rFonts w:ascii="Times New Roman" w:hAnsi="Times New Roman" w:cs="Times New Roman"/>
          <w:sz w:val="24"/>
          <w:szCs w:val="24"/>
        </w:rPr>
        <w:t>judgment debt because each time an attachment of property is made, such property is claimed by a third party.</w:t>
      </w:r>
    </w:p>
    <w:p w:rsidR="00B93574" w:rsidRDefault="00F877C8" w:rsidP="00F87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has prompted the appli</w:t>
      </w:r>
      <w:r w:rsidR="004D0776">
        <w:rPr>
          <w:rFonts w:ascii="Times New Roman" w:hAnsi="Times New Roman" w:cs="Times New Roman"/>
          <w:sz w:val="24"/>
          <w:szCs w:val="24"/>
        </w:rPr>
        <w:t>cant to make this application seeking an order to compel the respondents to disclose the addresses and places of business of the subsidies of the first respondent.  In the event of failure to disclose, he</w:t>
      </w:r>
      <w:r w:rsidR="00B93574">
        <w:rPr>
          <w:rFonts w:ascii="Times New Roman" w:hAnsi="Times New Roman" w:cs="Times New Roman"/>
          <w:sz w:val="24"/>
          <w:szCs w:val="24"/>
        </w:rPr>
        <w:t xml:space="preserve"> wants the second respond</w:t>
      </w:r>
      <w:r w:rsidR="0081711B">
        <w:rPr>
          <w:rFonts w:ascii="Times New Roman" w:hAnsi="Times New Roman" w:cs="Times New Roman"/>
          <w:sz w:val="24"/>
          <w:szCs w:val="24"/>
        </w:rPr>
        <w:t>ent</w:t>
      </w:r>
      <w:r w:rsidR="00B93574">
        <w:rPr>
          <w:rFonts w:ascii="Times New Roman" w:hAnsi="Times New Roman" w:cs="Times New Roman"/>
          <w:sz w:val="24"/>
          <w:szCs w:val="24"/>
        </w:rPr>
        <w:t xml:space="preserve"> to be held personally liable for what is owed to him.</w:t>
      </w:r>
    </w:p>
    <w:p w:rsidR="00B93574" w:rsidRDefault="00B93574" w:rsidP="00F87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basis of the application is that the respondents represented to him that the first respondent was a holding company o</w:t>
      </w:r>
      <w:r w:rsidR="0081711B">
        <w:rPr>
          <w:rFonts w:ascii="Times New Roman" w:hAnsi="Times New Roman" w:cs="Times New Roman"/>
          <w:sz w:val="24"/>
          <w:szCs w:val="24"/>
        </w:rPr>
        <w:t>r</w:t>
      </w:r>
      <w:r>
        <w:rPr>
          <w:rFonts w:ascii="Times New Roman" w:hAnsi="Times New Roman" w:cs="Times New Roman"/>
          <w:sz w:val="24"/>
          <w:szCs w:val="24"/>
        </w:rPr>
        <w:t xml:space="preserve"> a </w:t>
      </w:r>
      <w:r w:rsidR="0081711B">
        <w:rPr>
          <w:rFonts w:ascii="Times New Roman" w:hAnsi="Times New Roman" w:cs="Times New Roman"/>
          <w:sz w:val="24"/>
          <w:szCs w:val="24"/>
        </w:rPr>
        <w:t>conglomeration</w:t>
      </w:r>
      <w:r>
        <w:rPr>
          <w:rFonts w:ascii="Times New Roman" w:hAnsi="Times New Roman" w:cs="Times New Roman"/>
          <w:sz w:val="24"/>
          <w:szCs w:val="24"/>
        </w:rPr>
        <w:t xml:space="preserve"> comprising </w:t>
      </w:r>
      <w:r w:rsidRPr="007632A6">
        <w:rPr>
          <w:rFonts w:ascii="Times New Roman" w:hAnsi="Times New Roman" w:cs="Times New Roman"/>
          <w:i/>
          <w:sz w:val="24"/>
          <w:szCs w:val="24"/>
        </w:rPr>
        <w:t>inter alia</w:t>
      </w:r>
      <w:r>
        <w:rPr>
          <w:rFonts w:ascii="Times New Roman" w:hAnsi="Times New Roman" w:cs="Times New Roman"/>
          <w:sz w:val="24"/>
          <w:szCs w:val="24"/>
          <w:u w:val="single"/>
        </w:rPr>
        <w:t>,</w:t>
      </w:r>
      <w:r w:rsidRPr="00B93574">
        <w:rPr>
          <w:rFonts w:ascii="Times New Roman" w:hAnsi="Times New Roman" w:cs="Times New Roman"/>
          <w:sz w:val="24"/>
          <w:szCs w:val="24"/>
        </w:rPr>
        <w:t xml:space="preserve"> of The Vinyl Tile </w:t>
      </w:r>
      <w:r w:rsidRPr="007632A6">
        <w:rPr>
          <w:rFonts w:ascii="Times New Roman" w:hAnsi="Times New Roman" w:cs="Times New Roman"/>
          <w:sz w:val="24"/>
          <w:szCs w:val="24"/>
        </w:rPr>
        <w:t>Company; Freshbak, Downings, Superbake, Ecoplastics (Pvt) Ltd, Horeca, Household</w:t>
      </w:r>
      <w:r w:rsidR="008F1FBA">
        <w:rPr>
          <w:rFonts w:ascii="Times New Roman" w:hAnsi="Times New Roman" w:cs="Times New Roman"/>
          <w:sz w:val="24"/>
          <w:szCs w:val="24"/>
        </w:rPr>
        <w:t xml:space="preserve"> </w:t>
      </w:r>
      <w:r w:rsidR="00D03A21">
        <w:rPr>
          <w:rFonts w:ascii="Times New Roman" w:hAnsi="Times New Roman" w:cs="Times New Roman"/>
          <w:sz w:val="24"/>
          <w:szCs w:val="24"/>
        </w:rPr>
        <w:t xml:space="preserve">Converters, Intertec (Pvt) Ltd </w:t>
      </w:r>
      <w:r w:rsidR="00964FEF" w:rsidRPr="007632A6">
        <w:rPr>
          <w:rFonts w:ascii="Times New Roman" w:hAnsi="Times New Roman" w:cs="Times New Roman"/>
          <w:sz w:val="24"/>
          <w:szCs w:val="24"/>
        </w:rPr>
        <w:t>&amp;</w:t>
      </w:r>
      <w:r w:rsidRPr="007632A6">
        <w:rPr>
          <w:rFonts w:ascii="Times New Roman" w:hAnsi="Times New Roman" w:cs="Times New Roman"/>
          <w:sz w:val="24"/>
          <w:szCs w:val="24"/>
        </w:rPr>
        <w:t>Tacoola Beverages (Pvt) Ltd</w:t>
      </w:r>
      <w:r>
        <w:rPr>
          <w:rFonts w:ascii="Times New Roman" w:hAnsi="Times New Roman" w:cs="Times New Roman"/>
          <w:sz w:val="24"/>
          <w:szCs w:val="24"/>
        </w:rPr>
        <w:t>. By such fraudulent misrepresentation he was persuaded to take up employment as the Group Engineering Director of these entities only for the employer to fail to pay him.</w:t>
      </w:r>
    </w:p>
    <w:p w:rsidR="00291104" w:rsidRDefault="00B93574" w:rsidP="00F87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that claim the applicant has submitted, in addition to the organogram  I have alluded to</w:t>
      </w:r>
      <w:r w:rsidR="0081711B">
        <w:rPr>
          <w:rFonts w:ascii="Times New Roman" w:hAnsi="Times New Roman" w:cs="Times New Roman"/>
          <w:sz w:val="24"/>
          <w:szCs w:val="24"/>
        </w:rPr>
        <w:t xml:space="preserve">, </w:t>
      </w:r>
      <w:r>
        <w:rPr>
          <w:rFonts w:ascii="Times New Roman" w:hAnsi="Times New Roman" w:cs="Times New Roman"/>
          <w:sz w:val="24"/>
          <w:szCs w:val="24"/>
        </w:rPr>
        <w:t xml:space="preserve">a letter-head </w:t>
      </w:r>
      <w:r w:rsidR="00291104">
        <w:rPr>
          <w:rFonts w:ascii="Times New Roman" w:hAnsi="Times New Roman" w:cs="Times New Roman"/>
          <w:sz w:val="24"/>
          <w:szCs w:val="24"/>
        </w:rPr>
        <w:t>a</w:t>
      </w:r>
      <w:r>
        <w:rPr>
          <w:rFonts w:ascii="Times New Roman" w:hAnsi="Times New Roman" w:cs="Times New Roman"/>
          <w:sz w:val="24"/>
          <w:szCs w:val="24"/>
        </w:rPr>
        <w:t>n</w:t>
      </w:r>
      <w:r w:rsidR="00291104">
        <w:rPr>
          <w:rFonts w:ascii="Times New Roman" w:hAnsi="Times New Roman" w:cs="Times New Roman"/>
          <w:sz w:val="24"/>
          <w:szCs w:val="24"/>
        </w:rPr>
        <w:t>d</w:t>
      </w:r>
      <w:r>
        <w:rPr>
          <w:rFonts w:ascii="Times New Roman" w:hAnsi="Times New Roman" w:cs="Times New Roman"/>
          <w:sz w:val="24"/>
          <w:szCs w:val="24"/>
        </w:rPr>
        <w:t xml:space="preserve"> trading brochures</w:t>
      </w:r>
      <w:r w:rsidR="00291104">
        <w:rPr>
          <w:rFonts w:ascii="Times New Roman" w:hAnsi="Times New Roman" w:cs="Times New Roman"/>
          <w:sz w:val="24"/>
          <w:szCs w:val="24"/>
        </w:rPr>
        <w:t xml:space="preserve"> of the various entities representing each entity as “a division of Harambe Holdings.”  This</w:t>
      </w:r>
      <w:r w:rsidR="0081711B">
        <w:rPr>
          <w:rFonts w:ascii="Times New Roman" w:hAnsi="Times New Roman" w:cs="Times New Roman"/>
          <w:sz w:val="24"/>
          <w:szCs w:val="24"/>
        </w:rPr>
        <w:t>,</w:t>
      </w:r>
      <w:r w:rsidR="00291104">
        <w:rPr>
          <w:rFonts w:ascii="Times New Roman" w:hAnsi="Times New Roman" w:cs="Times New Roman"/>
          <w:sz w:val="24"/>
          <w:szCs w:val="24"/>
        </w:rPr>
        <w:t xml:space="preserve"> according to the applicant</w:t>
      </w:r>
      <w:r w:rsidR="0081711B">
        <w:rPr>
          <w:rFonts w:ascii="Times New Roman" w:hAnsi="Times New Roman" w:cs="Times New Roman"/>
          <w:sz w:val="24"/>
          <w:szCs w:val="24"/>
        </w:rPr>
        <w:t>,</w:t>
      </w:r>
      <w:r w:rsidR="00291104">
        <w:rPr>
          <w:rFonts w:ascii="Times New Roman" w:hAnsi="Times New Roman" w:cs="Times New Roman"/>
          <w:sz w:val="24"/>
          <w:szCs w:val="24"/>
        </w:rPr>
        <w:t xml:space="preserve"> shows that both the first respondent and these other entities have been announcing to the whole world and indeed</w:t>
      </w:r>
      <w:r w:rsidR="00B20110">
        <w:rPr>
          <w:rFonts w:ascii="Times New Roman" w:hAnsi="Times New Roman" w:cs="Times New Roman"/>
          <w:sz w:val="24"/>
          <w:szCs w:val="24"/>
        </w:rPr>
        <w:t xml:space="preserve"> </w:t>
      </w:r>
      <w:r w:rsidR="00291104">
        <w:rPr>
          <w:rFonts w:ascii="Times New Roman" w:hAnsi="Times New Roman" w:cs="Times New Roman"/>
          <w:sz w:val="24"/>
          <w:szCs w:val="24"/>
        </w:rPr>
        <w:t xml:space="preserve">the applicant that they are one family.  He would therefore want the veil of incorporation to be lifted to expose them </w:t>
      </w:r>
      <w:r w:rsidR="0081711B">
        <w:rPr>
          <w:rFonts w:ascii="Times New Roman" w:hAnsi="Times New Roman" w:cs="Times New Roman"/>
          <w:sz w:val="24"/>
          <w:szCs w:val="24"/>
        </w:rPr>
        <w:t>for what</w:t>
      </w:r>
      <w:r w:rsidR="00291104">
        <w:rPr>
          <w:rFonts w:ascii="Times New Roman" w:hAnsi="Times New Roman" w:cs="Times New Roman"/>
          <w:sz w:val="24"/>
          <w:szCs w:val="24"/>
        </w:rPr>
        <w:t xml:space="preserve"> they are.</w:t>
      </w:r>
    </w:p>
    <w:p w:rsidR="00291104" w:rsidRDefault="00291104" w:rsidP="00F87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contested by the respondents on the basis that no fraud has been established and therefore there is no basis for lifting the co</w:t>
      </w:r>
      <w:r w:rsidR="0081711B">
        <w:rPr>
          <w:rFonts w:ascii="Times New Roman" w:hAnsi="Times New Roman" w:cs="Times New Roman"/>
          <w:sz w:val="24"/>
          <w:szCs w:val="24"/>
        </w:rPr>
        <w:t>rporate</w:t>
      </w:r>
      <w:r>
        <w:rPr>
          <w:rFonts w:ascii="Times New Roman" w:hAnsi="Times New Roman" w:cs="Times New Roman"/>
          <w:sz w:val="24"/>
          <w:szCs w:val="24"/>
        </w:rPr>
        <w:t xml:space="preserve"> veil.  In his opposing affidavit, the second respondent states in para 4 as follows:</w:t>
      </w:r>
    </w:p>
    <w:p w:rsidR="00291104" w:rsidRDefault="00291104" w:rsidP="00F877C8">
      <w:pPr>
        <w:spacing w:after="0" w:line="360" w:lineRule="auto"/>
        <w:ind w:firstLine="720"/>
        <w:jc w:val="both"/>
        <w:rPr>
          <w:rFonts w:ascii="Times New Roman" w:hAnsi="Times New Roman" w:cs="Times New Roman"/>
          <w:sz w:val="24"/>
          <w:szCs w:val="24"/>
        </w:rPr>
      </w:pPr>
    </w:p>
    <w:p w:rsidR="00291104" w:rsidRDefault="00291104" w:rsidP="00F87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correct position is that the first respondent holds shares in these companies.  I </w:t>
      </w:r>
    </w:p>
    <w:p w:rsidR="00291104" w:rsidRDefault="00291104" w:rsidP="00F87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deny that I ever told him that it carries its operations through the subsidies.  These </w:t>
      </w:r>
    </w:p>
    <w:p w:rsidR="00291104" w:rsidRDefault="00291104" w:rsidP="00F87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companies do their own business and like any other shareholder the first respondent </w:t>
      </w:r>
    </w:p>
    <w:p w:rsidR="00291104" w:rsidRDefault="00291104" w:rsidP="00F87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would get a divide</w:t>
      </w:r>
      <w:r w:rsidR="0081711B">
        <w:rPr>
          <w:rFonts w:ascii="Times New Roman" w:hAnsi="Times New Roman" w:cs="Times New Roman"/>
          <w:sz w:val="24"/>
          <w:szCs w:val="24"/>
        </w:rPr>
        <w:t>n</w:t>
      </w:r>
      <w:r>
        <w:rPr>
          <w:rFonts w:ascii="Times New Roman" w:hAnsi="Times New Roman" w:cs="Times New Roman"/>
          <w:sz w:val="24"/>
          <w:szCs w:val="24"/>
        </w:rPr>
        <w:t>d whenever it is declared.  This is not the same as operating</w:t>
      </w:r>
    </w:p>
    <w:p w:rsidR="006F09E1" w:rsidRDefault="00291104" w:rsidP="00F877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 other entities or in the name of these entities.”  </w:t>
      </w:r>
    </w:p>
    <w:p w:rsidR="006F09E1" w:rsidRDefault="006F09E1" w:rsidP="006F09E1">
      <w:pPr>
        <w:spacing w:after="0" w:line="360" w:lineRule="auto"/>
        <w:jc w:val="both"/>
        <w:rPr>
          <w:rFonts w:ascii="Times New Roman" w:hAnsi="Times New Roman" w:cs="Times New Roman"/>
          <w:sz w:val="24"/>
          <w:szCs w:val="24"/>
        </w:rPr>
      </w:pPr>
    </w:p>
    <w:p w:rsidR="00CE034B" w:rsidRDefault="006F09E1" w:rsidP="00CE03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Significantly, the </w:t>
      </w:r>
      <w:r w:rsidR="007632A6">
        <w:rPr>
          <w:rFonts w:ascii="Times New Roman" w:hAnsi="Times New Roman" w:cs="Times New Roman"/>
          <w:sz w:val="24"/>
          <w:szCs w:val="24"/>
        </w:rPr>
        <w:t>second</w:t>
      </w:r>
      <w:r>
        <w:rPr>
          <w:rFonts w:ascii="Times New Roman" w:hAnsi="Times New Roman" w:cs="Times New Roman"/>
          <w:sz w:val="24"/>
          <w:szCs w:val="24"/>
        </w:rPr>
        <w:t xml:space="preserve"> respondent does not take the court to his confiden</w:t>
      </w:r>
      <w:r w:rsidR="00CE034B">
        <w:rPr>
          <w:rFonts w:ascii="Times New Roman" w:hAnsi="Times New Roman" w:cs="Times New Roman"/>
          <w:sz w:val="24"/>
          <w:szCs w:val="24"/>
        </w:rPr>
        <w:t xml:space="preserve">ce as to the nature of the shareholding and does not even bother to produce the respective share certificates held by the </w:t>
      </w:r>
      <w:r w:rsidR="007632A6">
        <w:rPr>
          <w:rFonts w:ascii="Times New Roman" w:hAnsi="Times New Roman" w:cs="Times New Roman"/>
          <w:sz w:val="24"/>
          <w:szCs w:val="24"/>
        </w:rPr>
        <w:t>first</w:t>
      </w:r>
      <w:r w:rsidR="00CE034B">
        <w:rPr>
          <w:rFonts w:ascii="Times New Roman" w:hAnsi="Times New Roman" w:cs="Times New Roman"/>
          <w:sz w:val="24"/>
          <w:szCs w:val="24"/>
        </w:rPr>
        <w:t xml:space="preserve"> respondent.  True to his refusal to let out any information relating to the affairs of the business</w:t>
      </w:r>
      <w:r w:rsidR="0081711B">
        <w:rPr>
          <w:rFonts w:ascii="Times New Roman" w:hAnsi="Times New Roman" w:cs="Times New Roman"/>
          <w:sz w:val="24"/>
          <w:szCs w:val="24"/>
        </w:rPr>
        <w:t>es</w:t>
      </w:r>
      <w:r w:rsidR="00CE034B">
        <w:rPr>
          <w:rFonts w:ascii="Times New Roman" w:hAnsi="Times New Roman" w:cs="Times New Roman"/>
          <w:sz w:val="24"/>
          <w:szCs w:val="24"/>
        </w:rPr>
        <w:t xml:space="preserve">, the second respondent states at para 6 that “silence does not </w:t>
      </w:r>
      <w:r w:rsidR="00CE034B">
        <w:rPr>
          <w:rFonts w:ascii="Times New Roman" w:hAnsi="Times New Roman" w:cs="Times New Roman"/>
          <w:sz w:val="24"/>
          <w:szCs w:val="24"/>
        </w:rPr>
        <w:lastRenderedPageBreak/>
        <w:t>disclose any fraud” and that himself and the first respondent “have no duty to make the disclosures asked for.”</w:t>
      </w:r>
    </w:p>
    <w:p w:rsidR="00F012DC" w:rsidRDefault="00CE034B" w:rsidP="00CE03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also </w:t>
      </w:r>
      <w:r w:rsidR="0081711B">
        <w:rPr>
          <w:rFonts w:ascii="Times New Roman" w:hAnsi="Times New Roman" w:cs="Times New Roman"/>
          <w:sz w:val="24"/>
          <w:szCs w:val="24"/>
        </w:rPr>
        <w:t xml:space="preserve">half </w:t>
      </w:r>
      <w:r>
        <w:rPr>
          <w:rFonts w:ascii="Times New Roman" w:hAnsi="Times New Roman" w:cs="Times New Roman"/>
          <w:sz w:val="24"/>
          <w:szCs w:val="24"/>
        </w:rPr>
        <w:t>heartedly sought to challenge the jurisdiction of this court to entertain the application on the basis that it is a labour matter.  It is now settled that this court has jurisdiction over all matter</w:t>
      </w:r>
      <w:r w:rsidR="0081711B">
        <w:rPr>
          <w:rFonts w:ascii="Times New Roman" w:hAnsi="Times New Roman" w:cs="Times New Roman"/>
          <w:sz w:val="24"/>
          <w:szCs w:val="24"/>
        </w:rPr>
        <w:t>s</w:t>
      </w:r>
      <w:r>
        <w:rPr>
          <w:rFonts w:ascii="Times New Roman" w:hAnsi="Times New Roman" w:cs="Times New Roman"/>
          <w:sz w:val="24"/>
          <w:szCs w:val="24"/>
        </w:rPr>
        <w:t xml:space="preserve"> where the cause of </w:t>
      </w:r>
      <w:r w:rsidR="0081711B">
        <w:rPr>
          <w:rFonts w:ascii="Times New Roman" w:hAnsi="Times New Roman" w:cs="Times New Roman"/>
          <w:sz w:val="24"/>
          <w:szCs w:val="24"/>
        </w:rPr>
        <w:t>action</w:t>
      </w:r>
      <w:r>
        <w:rPr>
          <w:rFonts w:ascii="Times New Roman" w:hAnsi="Times New Roman" w:cs="Times New Roman"/>
          <w:sz w:val="24"/>
          <w:szCs w:val="24"/>
        </w:rPr>
        <w:t xml:space="preserve"> and remedy are at common </w:t>
      </w:r>
      <w:r w:rsidR="0081711B">
        <w:rPr>
          <w:rFonts w:ascii="Times New Roman" w:hAnsi="Times New Roman" w:cs="Times New Roman"/>
          <w:sz w:val="24"/>
          <w:szCs w:val="24"/>
        </w:rPr>
        <w:t>law</w:t>
      </w:r>
      <w:r>
        <w:rPr>
          <w:rFonts w:ascii="Times New Roman" w:hAnsi="Times New Roman" w:cs="Times New Roman"/>
          <w:sz w:val="24"/>
          <w:szCs w:val="24"/>
        </w:rPr>
        <w:t xml:space="preserve"> while the Labour Court retains jurisdiction on those matters provided for in the Labour Act (Cap 28:01) See </w:t>
      </w:r>
      <w:r w:rsidRPr="007632A6">
        <w:rPr>
          <w:rFonts w:ascii="Times New Roman" w:hAnsi="Times New Roman" w:cs="Times New Roman"/>
          <w:i/>
          <w:sz w:val="24"/>
          <w:szCs w:val="24"/>
        </w:rPr>
        <w:t xml:space="preserve">DHL International Ltd </w:t>
      </w:r>
      <w:r w:rsidR="007632A6">
        <w:rPr>
          <w:rFonts w:ascii="Times New Roman" w:hAnsi="Times New Roman" w:cs="Times New Roman"/>
          <w:sz w:val="24"/>
          <w:szCs w:val="24"/>
        </w:rPr>
        <w:t>v</w:t>
      </w:r>
      <w:r w:rsidR="00B20110">
        <w:rPr>
          <w:rFonts w:ascii="Times New Roman" w:hAnsi="Times New Roman" w:cs="Times New Roman"/>
          <w:sz w:val="24"/>
          <w:szCs w:val="24"/>
        </w:rPr>
        <w:t xml:space="preserve"> </w:t>
      </w:r>
      <w:r w:rsidRPr="007632A6">
        <w:rPr>
          <w:rFonts w:ascii="Times New Roman" w:hAnsi="Times New Roman" w:cs="Times New Roman"/>
          <w:i/>
          <w:sz w:val="24"/>
          <w:szCs w:val="24"/>
        </w:rPr>
        <w:t>Madzikanda</w:t>
      </w:r>
      <w:r>
        <w:rPr>
          <w:rFonts w:ascii="Times New Roman" w:hAnsi="Times New Roman" w:cs="Times New Roman"/>
          <w:sz w:val="24"/>
          <w:szCs w:val="24"/>
        </w:rPr>
        <w:t xml:space="preserve"> 2010 ZLR 201 at 204 B-D; </w:t>
      </w:r>
      <w:r w:rsidRPr="007632A6">
        <w:rPr>
          <w:rFonts w:ascii="Times New Roman" w:hAnsi="Times New Roman" w:cs="Times New Roman"/>
          <w:i/>
          <w:sz w:val="24"/>
          <w:szCs w:val="24"/>
        </w:rPr>
        <w:t>Moyo</w:t>
      </w:r>
      <w:r w:rsidR="007632A6">
        <w:rPr>
          <w:rFonts w:ascii="Times New Roman" w:hAnsi="Times New Roman" w:cs="Times New Roman"/>
          <w:sz w:val="24"/>
          <w:szCs w:val="24"/>
        </w:rPr>
        <w:t>v</w:t>
      </w:r>
      <w:r w:rsidRPr="007632A6">
        <w:rPr>
          <w:rFonts w:ascii="Times New Roman" w:hAnsi="Times New Roman" w:cs="Times New Roman"/>
          <w:i/>
          <w:sz w:val="24"/>
          <w:szCs w:val="24"/>
        </w:rPr>
        <w:t>Gw</w:t>
      </w:r>
      <w:r w:rsidR="00F012DC" w:rsidRPr="007632A6">
        <w:rPr>
          <w:rFonts w:ascii="Times New Roman" w:hAnsi="Times New Roman" w:cs="Times New Roman"/>
          <w:i/>
          <w:sz w:val="24"/>
          <w:szCs w:val="24"/>
        </w:rPr>
        <w:t xml:space="preserve">indingwi N.O </w:t>
      </w:r>
      <w:r w:rsidR="00964FEF" w:rsidRPr="007632A6">
        <w:rPr>
          <w:rFonts w:ascii="Times New Roman" w:hAnsi="Times New Roman" w:cs="Times New Roman"/>
          <w:i/>
          <w:sz w:val="24"/>
          <w:szCs w:val="24"/>
        </w:rPr>
        <w:t>&amp;</w:t>
      </w:r>
      <w:r w:rsidR="00F012DC" w:rsidRPr="007632A6">
        <w:rPr>
          <w:rFonts w:ascii="Times New Roman" w:hAnsi="Times New Roman" w:cs="Times New Roman"/>
          <w:i/>
          <w:sz w:val="24"/>
          <w:szCs w:val="24"/>
        </w:rPr>
        <w:t>Anor</w:t>
      </w:r>
      <w:r w:rsidR="00F012DC">
        <w:rPr>
          <w:rFonts w:ascii="Times New Roman" w:hAnsi="Times New Roman" w:cs="Times New Roman"/>
          <w:sz w:val="24"/>
          <w:szCs w:val="24"/>
        </w:rPr>
        <w:t xml:space="preserve"> HB 168/11 (as yet unreported). </w:t>
      </w:r>
    </w:p>
    <w:p w:rsidR="00F012DC" w:rsidRDefault="00F012DC" w:rsidP="00CE03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Happily though, </w:t>
      </w:r>
      <w:r w:rsidRPr="00964FEF">
        <w:rPr>
          <w:rFonts w:ascii="Times New Roman" w:hAnsi="Times New Roman" w:cs="Times New Roman"/>
          <w:i/>
          <w:sz w:val="24"/>
          <w:szCs w:val="24"/>
        </w:rPr>
        <w:t>Mr Bvekwa</w:t>
      </w:r>
      <w:r>
        <w:rPr>
          <w:rFonts w:ascii="Times New Roman" w:hAnsi="Times New Roman" w:cs="Times New Roman"/>
          <w:sz w:val="24"/>
          <w:szCs w:val="24"/>
        </w:rPr>
        <w:t xml:space="preserve"> for the respondents abandoned that line of argument in his submissions in court.</w:t>
      </w:r>
    </w:p>
    <w:p w:rsidR="00F012DC" w:rsidRDefault="00F012DC" w:rsidP="00CE03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cardinal principle of our company law is that a company enjoys separate legal personality</w:t>
      </w:r>
      <w:r w:rsidR="0081711B">
        <w:rPr>
          <w:rFonts w:ascii="Times New Roman" w:hAnsi="Times New Roman" w:cs="Times New Roman"/>
          <w:sz w:val="24"/>
          <w:szCs w:val="24"/>
        </w:rPr>
        <w:t>,</w:t>
      </w:r>
      <w:r>
        <w:rPr>
          <w:rFonts w:ascii="Times New Roman" w:hAnsi="Times New Roman" w:cs="Times New Roman"/>
          <w:sz w:val="24"/>
          <w:szCs w:val="24"/>
        </w:rPr>
        <w:t xml:space="preserve"> generally referred to as the legal persona principle.  For that reason</w:t>
      </w:r>
      <w:r w:rsidR="0081711B">
        <w:rPr>
          <w:rFonts w:ascii="Times New Roman" w:hAnsi="Times New Roman" w:cs="Times New Roman"/>
          <w:sz w:val="24"/>
          <w:szCs w:val="24"/>
        </w:rPr>
        <w:t>,</w:t>
      </w:r>
      <w:r>
        <w:rPr>
          <w:rFonts w:ascii="Times New Roman" w:hAnsi="Times New Roman" w:cs="Times New Roman"/>
          <w:sz w:val="24"/>
          <w:szCs w:val="24"/>
        </w:rPr>
        <w:t xml:space="preserve"> its property and its liabilities should be maintained distinct and separate from those</w:t>
      </w:r>
      <w:r w:rsidR="0081711B">
        <w:rPr>
          <w:rFonts w:ascii="Times New Roman" w:hAnsi="Times New Roman" w:cs="Times New Roman"/>
          <w:sz w:val="24"/>
          <w:szCs w:val="24"/>
        </w:rPr>
        <w:t xml:space="preserve"> of its </w:t>
      </w:r>
      <w:r>
        <w:rPr>
          <w:rFonts w:ascii="Times New Roman" w:hAnsi="Times New Roman" w:cs="Times New Roman"/>
          <w:sz w:val="24"/>
          <w:szCs w:val="24"/>
        </w:rPr>
        <w:t xml:space="preserve">members. </w:t>
      </w:r>
    </w:p>
    <w:p w:rsidR="00C4625F" w:rsidRDefault="00F012DC" w:rsidP="00CE03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courts have always readily lifted the corporate veil where the company is used as a vehicle for fraud or to justify wrong.  </w:t>
      </w:r>
      <w:r w:rsidRPr="006D3259">
        <w:rPr>
          <w:rFonts w:ascii="Times New Roman" w:hAnsi="Times New Roman" w:cs="Times New Roman"/>
          <w:i/>
          <w:sz w:val="24"/>
          <w:szCs w:val="24"/>
        </w:rPr>
        <w:t>Mr Kawonde</w:t>
      </w:r>
      <w:r>
        <w:rPr>
          <w:rFonts w:ascii="Times New Roman" w:hAnsi="Times New Roman" w:cs="Times New Roman"/>
          <w:sz w:val="24"/>
          <w:szCs w:val="24"/>
        </w:rPr>
        <w:t xml:space="preserve">, for the applicant has strongly argued that the second respondent </w:t>
      </w:r>
      <w:r w:rsidR="0081711B">
        <w:rPr>
          <w:rFonts w:ascii="Times New Roman" w:hAnsi="Times New Roman" w:cs="Times New Roman"/>
          <w:sz w:val="24"/>
          <w:szCs w:val="24"/>
        </w:rPr>
        <w:t>re</w:t>
      </w:r>
      <w:r>
        <w:rPr>
          <w:rFonts w:ascii="Times New Roman" w:hAnsi="Times New Roman" w:cs="Times New Roman"/>
          <w:sz w:val="24"/>
          <w:szCs w:val="24"/>
        </w:rPr>
        <w:t xml:space="preserve">presented to the applicant and produced an organogram to justify his representation that the entities from which the applicant now seeks relief were first respondent’s subsidies.  He submitted further that both the first and second respondents stood akimbo as all the entities </w:t>
      </w:r>
      <w:r w:rsidR="0081711B">
        <w:rPr>
          <w:rFonts w:ascii="Times New Roman" w:hAnsi="Times New Roman" w:cs="Times New Roman"/>
          <w:sz w:val="24"/>
          <w:szCs w:val="24"/>
        </w:rPr>
        <w:t>masqueraded</w:t>
      </w:r>
      <w:r w:rsidR="00C4625F">
        <w:rPr>
          <w:rFonts w:ascii="Times New Roman" w:hAnsi="Times New Roman" w:cs="Times New Roman"/>
          <w:sz w:val="24"/>
          <w:szCs w:val="24"/>
        </w:rPr>
        <w:t xml:space="preserve"> as subsidies of the first respondent even through brochures.</w:t>
      </w:r>
    </w:p>
    <w:p w:rsidR="00D804CD" w:rsidRDefault="00C4625F" w:rsidP="00CE03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instance, one of the entities advertised on its brochures as “The Vinyl Tile Company is a subsidiary of Harambe</w:t>
      </w:r>
      <w:r w:rsidR="0081711B">
        <w:rPr>
          <w:rFonts w:ascii="Times New Roman" w:hAnsi="Times New Roman" w:cs="Times New Roman"/>
          <w:sz w:val="24"/>
          <w:szCs w:val="24"/>
        </w:rPr>
        <w:t xml:space="preserve"> </w:t>
      </w:r>
      <w:r>
        <w:rPr>
          <w:rFonts w:ascii="Times New Roman" w:hAnsi="Times New Roman" w:cs="Times New Roman"/>
          <w:sz w:val="24"/>
          <w:szCs w:val="24"/>
        </w:rPr>
        <w:t>Holding</w:t>
      </w:r>
      <w:r w:rsidR="0081711B">
        <w:rPr>
          <w:rFonts w:ascii="Times New Roman" w:hAnsi="Times New Roman" w:cs="Times New Roman"/>
          <w:sz w:val="24"/>
          <w:szCs w:val="24"/>
        </w:rPr>
        <w:t>s</w:t>
      </w:r>
      <w:r>
        <w:rPr>
          <w:rFonts w:ascii="Times New Roman" w:hAnsi="Times New Roman" w:cs="Times New Roman"/>
          <w:sz w:val="24"/>
          <w:szCs w:val="24"/>
        </w:rPr>
        <w:t>, a wholly owned Zimbabwean Comp</w:t>
      </w:r>
      <w:r w:rsidR="007632A6">
        <w:rPr>
          <w:rFonts w:ascii="Times New Roman" w:hAnsi="Times New Roman" w:cs="Times New Roman"/>
          <w:sz w:val="24"/>
          <w:szCs w:val="24"/>
        </w:rPr>
        <w:t>a</w:t>
      </w:r>
      <w:r>
        <w:rPr>
          <w:rFonts w:ascii="Times New Roman" w:hAnsi="Times New Roman" w:cs="Times New Roman"/>
          <w:sz w:val="24"/>
          <w:szCs w:val="24"/>
        </w:rPr>
        <w:t xml:space="preserve">ny.”  Mr </w:t>
      </w:r>
      <w:r w:rsidRPr="007632A6">
        <w:rPr>
          <w:rFonts w:ascii="Times New Roman" w:hAnsi="Times New Roman" w:cs="Times New Roman"/>
          <w:i/>
          <w:sz w:val="24"/>
          <w:szCs w:val="24"/>
        </w:rPr>
        <w:t>Kawonde</w:t>
      </w:r>
      <w:r>
        <w:rPr>
          <w:rFonts w:ascii="Times New Roman" w:hAnsi="Times New Roman" w:cs="Times New Roman"/>
          <w:sz w:val="24"/>
          <w:szCs w:val="24"/>
        </w:rPr>
        <w:t xml:space="preserve"> insisted that the  entities are all vehicle</w:t>
      </w:r>
      <w:r w:rsidR="006723D5">
        <w:rPr>
          <w:rFonts w:ascii="Times New Roman" w:hAnsi="Times New Roman" w:cs="Times New Roman"/>
          <w:sz w:val="24"/>
          <w:szCs w:val="24"/>
        </w:rPr>
        <w:t>s</w:t>
      </w:r>
      <w:r>
        <w:rPr>
          <w:rFonts w:ascii="Times New Roman" w:hAnsi="Times New Roman" w:cs="Times New Roman"/>
          <w:sz w:val="24"/>
          <w:szCs w:val="24"/>
        </w:rPr>
        <w:t xml:space="preserve"> through which Harambe Holdings (Pvt) Ltd fraudulently avoids its obligations including the payment of the applicant’s salary and allowance</w:t>
      </w:r>
      <w:r w:rsidR="006723D5">
        <w:rPr>
          <w:rFonts w:ascii="Times New Roman" w:hAnsi="Times New Roman" w:cs="Times New Roman"/>
          <w:sz w:val="24"/>
          <w:szCs w:val="24"/>
        </w:rPr>
        <w:t>s</w:t>
      </w:r>
      <w:r w:rsidR="00D804CD">
        <w:rPr>
          <w:rFonts w:ascii="Times New Roman" w:hAnsi="Times New Roman" w:cs="Times New Roman"/>
          <w:sz w:val="24"/>
          <w:szCs w:val="24"/>
        </w:rPr>
        <w:t xml:space="preserve">.  I am persuaded by that argument.  This is particularly so as both the first and second respondents have signally failed to even produce the certificates of incorporation of these </w:t>
      </w:r>
      <w:r w:rsidR="006723D5">
        <w:rPr>
          <w:rFonts w:ascii="Times New Roman" w:hAnsi="Times New Roman" w:cs="Times New Roman"/>
          <w:sz w:val="24"/>
          <w:szCs w:val="24"/>
        </w:rPr>
        <w:t xml:space="preserve">entities and their lists </w:t>
      </w:r>
      <w:r w:rsidR="00D804CD">
        <w:rPr>
          <w:rFonts w:ascii="Times New Roman" w:hAnsi="Times New Roman" w:cs="Times New Roman"/>
          <w:sz w:val="24"/>
          <w:szCs w:val="24"/>
        </w:rPr>
        <w:t>of directors.  They have simply remained mum on anything to do with the status of both the first respondent and its subsidiaries.</w:t>
      </w:r>
    </w:p>
    <w:p w:rsidR="008F2279" w:rsidRDefault="00D804CD" w:rsidP="00CE03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holding companies my attention has been drawn to seminal words of </w:t>
      </w:r>
      <w:r w:rsidR="006723D5">
        <w:rPr>
          <w:rFonts w:ascii="Times New Roman" w:hAnsi="Times New Roman" w:cs="Times New Roman"/>
          <w:sz w:val="24"/>
          <w:szCs w:val="24"/>
        </w:rPr>
        <w:t>l</w:t>
      </w:r>
      <w:r>
        <w:rPr>
          <w:rFonts w:ascii="Times New Roman" w:hAnsi="Times New Roman" w:cs="Times New Roman"/>
          <w:sz w:val="24"/>
          <w:szCs w:val="24"/>
        </w:rPr>
        <w:t xml:space="preserve">ord Denning in </w:t>
      </w:r>
      <w:r w:rsidRPr="007632A6">
        <w:rPr>
          <w:rFonts w:ascii="Times New Roman" w:hAnsi="Times New Roman" w:cs="Times New Roman"/>
          <w:i/>
          <w:sz w:val="24"/>
          <w:szCs w:val="24"/>
        </w:rPr>
        <w:t xml:space="preserve">DHN Food Distributors Ltd </w:t>
      </w:r>
      <w:r w:rsidR="00964FEF" w:rsidRPr="007632A6">
        <w:rPr>
          <w:rFonts w:ascii="Times New Roman" w:hAnsi="Times New Roman" w:cs="Times New Roman"/>
          <w:sz w:val="24"/>
          <w:szCs w:val="24"/>
        </w:rPr>
        <w:t>v</w:t>
      </w:r>
      <w:r w:rsidR="00B20110">
        <w:rPr>
          <w:rFonts w:ascii="Times New Roman" w:hAnsi="Times New Roman" w:cs="Times New Roman"/>
          <w:sz w:val="24"/>
          <w:szCs w:val="24"/>
        </w:rPr>
        <w:t xml:space="preserve"> </w:t>
      </w:r>
      <w:r w:rsidRPr="007632A6">
        <w:rPr>
          <w:rFonts w:ascii="Times New Roman" w:hAnsi="Times New Roman" w:cs="Times New Roman"/>
          <w:i/>
          <w:sz w:val="24"/>
          <w:szCs w:val="24"/>
        </w:rPr>
        <w:t>London Borough of Tower Hamlets</w:t>
      </w:r>
      <w:r>
        <w:rPr>
          <w:rFonts w:ascii="Times New Roman" w:hAnsi="Times New Roman" w:cs="Times New Roman"/>
          <w:sz w:val="24"/>
          <w:szCs w:val="24"/>
        </w:rPr>
        <w:t>1976 (3)</w:t>
      </w:r>
      <w:r w:rsidR="008F2279">
        <w:rPr>
          <w:rFonts w:ascii="Times New Roman" w:hAnsi="Times New Roman" w:cs="Times New Roman"/>
          <w:sz w:val="24"/>
          <w:szCs w:val="24"/>
        </w:rPr>
        <w:t xml:space="preserve"> ALLER 462 (CA) at 467 where that celebrated law Lord said</w:t>
      </w:r>
      <w:r w:rsidR="006723D5">
        <w:rPr>
          <w:rFonts w:ascii="Times New Roman" w:hAnsi="Times New Roman" w:cs="Times New Roman"/>
          <w:sz w:val="24"/>
          <w:szCs w:val="24"/>
        </w:rPr>
        <w:t>;</w:t>
      </w:r>
    </w:p>
    <w:p w:rsidR="008F2279" w:rsidRDefault="008F2279" w:rsidP="00CE034B">
      <w:pPr>
        <w:spacing w:after="0" w:line="360" w:lineRule="auto"/>
        <w:ind w:firstLine="720"/>
        <w:jc w:val="both"/>
        <w:rPr>
          <w:rFonts w:ascii="Times New Roman" w:hAnsi="Times New Roman" w:cs="Times New Roman"/>
          <w:sz w:val="24"/>
          <w:szCs w:val="24"/>
        </w:rPr>
      </w:pPr>
    </w:p>
    <w:p w:rsidR="008F2279" w:rsidRDefault="008F2279" w:rsidP="006723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“Although the companies in a group are separate </w:t>
      </w:r>
      <w:r w:rsidR="006723D5">
        <w:rPr>
          <w:rFonts w:ascii="Times New Roman" w:hAnsi="Times New Roman" w:cs="Times New Roman"/>
          <w:sz w:val="24"/>
          <w:szCs w:val="24"/>
        </w:rPr>
        <w:t xml:space="preserve">legal entities, the court </w:t>
      </w:r>
      <w:r>
        <w:rPr>
          <w:rFonts w:ascii="Times New Roman" w:hAnsi="Times New Roman" w:cs="Times New Roman"/>
          <w:sz w:val="24"/>
          <w:szCs w:val="24"/>
        </w:rPr>
        <w:t>have in the mercantile context dealt</w:t>
      </w:r>
      <w:r w:rsidR="006723D5">
        <w:rPr>
          <w:rFonts w:ascii="Times New Roman" w:hAnsi="Times New Roman" w:cs="Times New Roman"/>
          <w:sz w:val="24"/>
          <w:szCs w:val="24"/>
        </w:rPr>
        <w:t xml:space="preserve"> </w:t>
      </w:r>
      <w:r>
        <w:rPr>
          <w:rFonts w:ascii="Times New Roman" w:hAnsi="Times New Roman" w:cs="Times New Roman"/>
          <w:sz w:val="24"/>
          <w:szCs w:val="24"/>
        </w:rPr>
        <w:t>with the group as an economic entity.  This lifting of the corporate veil is indicated</w:t>
      </w:r>
      <w:r w:rsidR="006723D5">
        <w:rPr>
          <w:rFonts w:ascii="Times New Roman" w:hAnsi="Times New Roman" w:cs="Times New Roman"/>
          <w:sz w:val="24"/>
          <w:szCs w:val="24"/>
        </w:rPr>
        <w:t xml:space="preserve"> </w:t>
      </w:r>
      <w:r>
        <w:rPr>
          <w:rFonts w:ascii="Times New Roman" w:hAnsi="Times New Roman" w:cs="Times New Roman"/>
          <w:sz w:val="24"/>
          <w:szCs w:val="24"/>
        </w:rPr>
        <w:t xml:space="preserve">especially when a parent company owns all the shares of </w:t>
      </w:r>
      <w:r w:rsidR="006723D5">
        <w:rPr>
          <w:rFonts w:ascii="Times New Roman" w:hAnsi="Times New Roman" w:cs="Times New Roman"/>
          <w:sz w:val="24"/>
          <w:szCs w:val="24"/>
        </w:rPr>
        <w:t>t</w:t>
      </w:r>
      <w:r>
        <w:rPr>
          <w:rFonts w:ascii="Times New Roman" w:hAnsi="Times New Roman" w:cs="Times New Roman"/>
          <w:sz w:val="24"/>
          <w:szCs w:val="24"/>
        </w:rPr>
        <w:t>he subsidiaries so much so</w:t>
      </w:r>
      <w:r w:rsidR="006723D5">
        <w:rPr>
          <w:rFonts w:ascii="Times New Roman" w:hAnsi="Times New Roman" w:cs="Times New Roman"/>
          <w:sz w:val="24"/>
          <w:szCs w:val="24"/>
        </w:rPr>
        <w:t xml:space="preserve"> </w:t>
      </w:r>
      <w:r>
        <w:rPr>
          <w:rFonts w:ascii="Times New Roman" w:hAnsi="Times New Roman" w:cs="Times New Roman"/>
          <w:sz w:val="24"/>
          <w:szCs w:val="24"/>
        </w:rPr>
        <w:t>that it can control movement of the subsidies.”</w:t>
      </w:r>
    </w:p>
    <w:p w:rsidR="008F2279" w:rsidRDefault="008F2279" w:rsidP="008F2279">
      <w:pPr>
        <w:spacing w:after="0" w:line="360" w:lineRule="auto"/>
        <w:jc w:val="both"/>
        <w:rPr>
          <w:rFonts w:ascii="Times New Roman" w:hAnsi="Times New Roman" w:cs="Times New Roman"/>
          <w:sz w:val="24"/>
          <w:szCs w:val="24"/>
        </w:rPr>
      </w:pPr>
    </w:p>
    <w:p w:rsidR="00E86FFA" w:rsidRDefault="008F2279" w:rsidP="007632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in total agreement with that pronouncement.  As stated by </w:t>
      </w:r>
      <w:r w:rsidR="007632A6">
        <w:rPr>
          <w:rFonts w:ascii="Times New Roman" w:hAnsi="Times New Roman" w:cs="Times New Roman"/>
          <w:sz w:val="24"/>
          <w:szCs w:val="24"/>
        </w:rPr>
        <w:t xml:space="preserve">CORBETT </w:t>
      </w:r>
      <w:r>
        <w:rPr>
          <w:rFonts w:ascii="Times New Roman" w:hAnsi="Times New Roman" w:cs="Times New Roman"/>
          <w:sz w:val="24"/>
          <w:szCs w:val="24"/>
        </w:rPr>
        <w:t xml:space="preserve">CJ in </w:t>
      </w:r>
      <w:r w:rsidRPr="007632A6">
        <w:rPr>
          <w:rFonts w:ascii="Times New Roman" w:hAnsi="Times New Roman" w:cs="Times New Roman"/>
          <w:i/>
          <w:sz w:val="24"/>
          <w:szCs w:val="24"/>
        </w:rPr>
        <w:t>The Shipping Corp of India Ltd</w:t>
      </w:r>
      <w:r w:rsidR="006723D5">
        <w:rPr>
          <w:rFonts w:ascii="Times New Roman" w:hAnsi="Times New Roman" w:cs="Times New Roman"/>
          <w:i/>
          <w:sz w:val="24"/>
          <w:szCs w:val="24"/>
        </w:rPr>
        <w:t xml:space="preserve"> </w:t>
      </w:r>
      <w:r w:rsidR="00964FEF" w:rsidRPr="007632A6">
        <w:rPr>
          <w:rFonts w:ascii="Times New Roman" w:hAnsi="Times New Roman" w:cs="Times New Roman"/>
          <w:sz w:val="24"/>
          <w:szCs w:val="24"/>
        </w:rPr>
        <w:t>v</w:t>
      </w:r>
      <w:r w:rsidR="006723D5">
        <w:rPr>
          <w:rFonts w:ascii="Times New Roman" w:hAnsi="Times New Roman" w:cs="Times New Roman"/>
          <w:sz w:val="24"/>
          <w:szCs w:val="24"/>
        </w:rPr>
        <w:t xml:space="preserve"> </w:t>
      </w:r>
      <w:r w:rsidRPr="007632A6">
        <w:rPr>
          <w:rFonts w:ascii="Times New Roman" w:hAnsi="Times New Roman" w:cs="Times New Roman"/>
          <w:i/>
          <w:sz w:val="24"/>
          <w:szCs w:val="24"/>
        </w:rPr>
        <w:t>Evdomon Corp and Anor</w:t>
      </w:r>
      <w:r w:rsidR="00E86FFA" w:rsidRPr="00E86FFA">
        <w:rPr>
          <w:rFonts w:ascii="Times New Roman" w:hAnsi="Times New Roman" w:cs="Times New Roman"/>
          <w:sz w:val="24"/>
          <w:szCs w:val="24"/>
        </w:rPr>
        <w:t>1994 (1) SA 550 (A) at 566C-E which was</w:t>
      </w:r>
      <w:r w:rsidR="00E86FFA">
        <w:rPr>
          <w:rFonts w:ascii="Times New Roman" w:hAnsi="Times New Roman" w:cs="Times New Roman"/>
          <w:sz w:val="24"/>
          <w:szCs w:val="24"/>
        </w:rPr>
        <w:t xml:space="preserve"> quoted with approval by S</w:t>
      </w:r>
      <w:r w:rsidR="002C0E26">
        <w:rPr>
          <w:rFonts w:ascii="Times New Roman" w:hAnsi="Times New Roman" w:cs="Times New Roman"/>
          <w:sz w:val="24"/>
          <w:szCs w:val="24"/>
        </w:rPr>
        <w:t>ANDURA</w:t>
      </w:r>
      <w:r w:rsidR="00E86FFA" w:rsidRPr="002C0E26">
        <w:rPr>
          <w:rFonts w:ascii="Times New Roman" w:hAnsi="Times New Roman" w:cs="Times New Roman"/>
          <w:sz w:val="24"/>
          <w:szCs w:val="24"/>
        </w:rPr>
        <w:t xml:space="preserve">JA </w:t>
      </w:r>
      <w:r w:rsidR="00E86FFA" w:rsidRPr="002C0E26">
        <w:rPr>
          <w:rFonts w:ascii="Times New Roman" w:hAnsi="Times New Roman" w:cs="Times New Roman"/>
          <w:i/>
          <w:sz w:val="24"/>
          <w:szCs w:val="24"/>
        </w:rPr>
        <w:t>in Van Nickerk</w:t>
      </w:r>
      <w:r w:rsidR="00B60782">
        <w:rPr>
          <w:rFonts w:ascii="Times New Roman" w:hAnsi="Times New Roman" w:cs="Times New Roman"/>
          <w:i/>
          <w:sz w:val="24"/>
          <w:szCs w:val="24"/>
        </w:rPr>
        <w:t xml:space="preserve"> </w:t>
      </w:r>
      <w:r w:rsidR="002C0E26" w:rsidRPr="007632A6">
        <w:rPr>
          <w:rFonts w:ascii="Times New Roman" w:hAnsi="Times New Roman" w:cs="Times New Roman"/>
          <w:sz w:val="24"/>
          <w:szCs w:val="24"/>
        </w:rPr>
        <w:t>v</w:t>
      </w:r>
      <w:r w:rsidR="00B60782">
        <w:rPr>
          <w:rFonts w:ascii="Times New Roman" w:hAnsi="Times New Roman" w:cs="Times New Roman"/>
          <w:sz w:val="24"/>
          <w:szCs w:val="24"/>
        </w:rPr>
        <w:t xml:space="preserve"> </w:t>
      </w:r>
      <w:r w:rsidR="00E86FFA" w:rsidRPr="002C0E26">
        <w:rPr>
          <w:rFonts w:ascii="Times New Roman" w:hAnsi="Times New Roman" w:cs="Times New Roman"/>
          <w:i/>
          <w:sz w:val="24"/>
          <w:szCs w:val="24"/>
        </w:rPr>
        <w:t>Van Niekert</w:t>
      </w:r>
      <w:r w:rsidR="006723D5">
        <w:rPr>
          <w:rFonts w:ascii="Times New Roman" w:hAnsi="Times New Roman" w:cs="Times New Roman"/>
          <w:i/>
          <w:sz w:val="24"/>
          <w:szCs w:val="24"/>
        </w:rPr>
        <w:t xml:space="preserve"> </w:t>
      </w:r>
      <w:r w:rsidR="002C0E26">
        <w:rPr>
          <w:rFonts w:ascii="Times New Roman" w:hAnsi="Times New Roman" w:cs="Times New Roman"/>
          <w:sz w:val="24"/>
          <w:szCs w:val="24"/>
        </w:rPr>
        <w:t>&amp;</w:t>
      </w:r>
      <w:r w:rsidR="006723D5">
        <w:rPr>
          <w:rFonts w:ascii="Times New Roman" w:hAnsi="Times New Roman" w:cs="Times New Roman"/>
          <w:sz w:val="24"/>
          <w:szCs w:val="24"/>
        </w:rPr>
        <w:t xml:space="preserve"> </w:t>
      </w:r>
      <w:r w:rsidR="00E86FFA" w:rsidRPr="007632A6">
        <w:rPr>
          <w:rFonts w:ascii="Times New Roman" w:hAnsi="Times New Roman" w:cs="Times New Roman"/>
          <w:i/>
          <w:sz w:val="24"/>
          <w:szCs w:val="24"/>
        </w:rPr>
        <w:t xml:space="preserve">Ors </w:t>
      </w:r>
      <w:r w:rsidR="00E86FFA" w:rsidRPr="00E86FFA">
        <w:rPr>
          <w:rFonts w:ascii="Times New Roman" w:hAnsi="Times New Roman" w:cs="Times New Roman"/>
          <w:sz w:val="24"/>
          <w:szCs w:val="24"/>
        </w:rPr>
        <w:t>1999 (1)ZLR 421 (S)</w:t>
      </w:r>
      <w:r w:rsidR="00E86FFA">
        <w:rPr>
          <w:rFonts w:ascii="Times New Roman" w:hAnsi="Times New Roman" w:cs="Times New Roman"/>
          <w:sz w:val="24"/>
          <w:szCs w:val="24"/>
        </w:rPr>
        <w:t>427 G-H to 428A:</w:t>
      </w:r>
    </w:p>
    <w:p w:rsidR="00E86FFA" w:rsidRDefault="00E86FFA" w:rsidP="008F2279">
      <w:pPr>
        <w:spacing w:after="0" w:line="360" w:lineRule="auto"/>
        <w:jc w:val="both"/>
        <w:rPr>
          <w:rFonts w:ascii="Times New Roman" w:hAnsi="Times New Roman" w:cs="Times New Roman"/>
          <w:sz w:val="24"/>
          <w:szCs w:val="24"/>
        </w:rPr>
      </w:pPr>
    </w:p>
    <w:p w:rsidR="00E86FFA" w:rsidRDefault="00E86FFA" w:rsidP="007632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6723D5">
        <w:rPr>
          <w:rFonts w:ascii="Times New Roman" w:hAnsi="Times New Roman" w:cs="Times New Roman"/>
          <w:sz w:val="24"/>
          <w:szCs w:val="24"/>
        </w:rPr>
        <w:t>I</w:t>
      </w:r>
      <w:r>
        <w:rPr>
          <w:rFonts w:ascii="Times New Roman" w:hAnsi="Times New Roman" w:cs="Times New Roman"/>
          <w:sz w:val="24"/>
          <w:szCs w:val="24"/>
        </w:rPr>
        <w:t xml:space="preserve">t is of cardinal importance to keep distinct the property rights of a company and </w:t>
      </w:r>
    </w:p>
    <w:p w:rsidR="00927585" w:rsidRDefault="00E86FFA" w:rsidP="007632A6">
      <w:pPr>
        <w:spacing w:after="0" w:line="240" w:lineRule="auto"/>
        <w:ind w:left="720" w:firstLine="120"/>
        <w:jc w:val="both"/>
        <w:rPr>
          <w:rFonts w:ascii="Times New Roman" w:hAnsi="Times New Roman" w:cs="Times New Roman"/>
          <w:sz w:val="24"/>
          <w:szCs w:val="24"/>
        </w:rPr>
      </w:pPr>
      <w:r>
        <w:rPr>
          <w:rFonts w:ascii="Times New Roman" w:hAnsi="Times New Roman" w:cs="Times New Roman"/>
          <w:sz w:val="24"/>
          <w:szCs w:val="24"/>
        </w:rPr>
        <w:t>those of its shareholders even where the latter is a single entity and that the only permissible deviation from this rule known to our law occurs in those (in pr</w:t>
      </w:r>
      <w:r w:rsidR="006723D5">
        <w:rPr>
          <w:rFonts w:ascii="Times New Roman" w:hAnsi="Times New Roman" w:cs="Times New Roman"/>
          <w:sz w:val="24"/>
          <w:szCs w:val="24"/>
        </w:rPr>
        <w:t>actice</w:t>
      </w:r>
      <w:r>
        <w:rPr>
          <w:rFonts w:ascii="Times New Roman" w:hAnsi="Times New Roman" w:cs="Times New Roman"/>
          <w:sz w:val="24"/>
          <w:szCs w:val="24"/>
        </w:rPr>
        <w:t xml:space="preserve">) rare cases where the circumstances justify ‘piercing’ or ‘lifting’ the corporate veil I do not find it necessary to consider, or attempt to define, the circumstances under which the court will pierce the corporate veil.  Suffice it to say that they would generally have to include an element of fraud or other improper conduct </w:t>
      </w:r>
      <w:r w:rsidR="006723D5">
        <w:rPr>
          <w:rFonts w:ascii="Times New Roman" w:hAnsi="Times New Roman" w:cs="Times New Roman"/>
          <w:sz w:val="24"/>
          <w:szCs w:val="24"/>
        </w:rPr>
        <w:t>in the establishment</w:t>
      </w:r>
      <w:r w:rsidR="00DC3DB8">
        <w:rPr>
          <w:rFonts w:ascii="Times New Roman" w:hAnsi="Times New Roman" w:cs="Times New Roman"/>
          <w:sz w:val="24"/>
          <w:szCs w:val="24"/>
        </w:rPr>
        <w:t xml:space="preserve"> </w:t>
      </w:r>
      <w:r>
        <w:rPr>
          <w:rFonts w:ascii="Times New Roman" w:hAnsi="Times New Roman" w:cs="Times New Roman"/>
          <w:sz w:val="24"/>
          <w:szCs w:val="24"/>
        </w:rPr>
        <w:t>or use of the company or the conduct of its affairs.</w:t>
      </w:r>
      <w:r w:rsidR="006723D5">
        <w:rPr>
          <w:rFonts w:ascii="Times New Roman" w:hAnsi="Times New Roman" w:cs="Times New Roman"/>
          <w:sz w:val="24"/>
          <w:szCs w:val="24"/>
        </w:rPr>
        <w:t>”</w:t>
      </w:r>
      <w:r>
        <w:rPr>
          <w:rFonts w:ascii="Times New Roman" w:hAnsi="Times New Roman" w:cs="Times New Roman"/>
          <w:sz w:val="24"/>
          <w:szCs w:val="24"/>
        </w:rPr>
        <w:t xml:space="preserve"> </w:t>
      </w:r>
      <w:r w:rsidR="006723D5">
        <w:rPr>
          <w:rFonts w:ascii="Times New Roman" w:hAnsi="Times New Roman" w:cs="Times New Roman"/>
          <w:sz w:val="24"/>
          <w:szCs w:val="24"/>
        </w:rPr>
        <w:t>(</w:t>
      </w:r>
      <w:r w:rsidR="00927585">
        <w:rPr>
          <w:rFonts w:ascii="Times New Roman" w:hAnsi="Times New Roman" w:cs="Times New Roman"/>
          <w:sz w:val="24"/>
          <w:szCs w:val="24"/>
        </w:rPr>
        <w:t xml:space="preserve">See also </w:t>
      </w:r>
      <w:r w:rsidR="00927585" w:rsidRPr="002C0E26">
        <w:rPr>
          <w:rFonts w:ascii="Times New Roman" w:hAnsi="Times New Roman" w:cs="Times New Roman"/>
          <w:i/>
          <w:sz w:val="24"/>
          <w:szCs w:val="24"/>
        </w:rPr>
        <w:t>Mangw</w:t>
      </w:r>
      <w:r w:rsidR="00DB4FE3" w:rsidRPr="002C0E26">
        <w:rPr>
          <w:rFonts w:ascii="Times New Roman" w:hAnsi="Times New Roman" w:cs="Times New Roman"/>
          <w:i/>
          <w:sz w:val="24"/>
          <w:szCs w:val="24"/>
        </w:rPr>
        <w:t>e</w:t>
      </w:r>
      <w:r w:rsidR="00927585" w:rsidRPr="002C0E26">
        <w:rPr>
          <w:rFonts w:ascii="Times New Roman" w:hAnsi="Times New Roman" w:cs="Times New Roman"/>
          <w:i/>
          <w:sz w:val="24"/>
          <w:szCs w:val="24"/>
        </w:rPr>
        <w:t>ndeza</w:t>
      </w:r>
      <w:r w:rsidR="00DC3DB8">
        <w:rPr>
          <w:rFonts w:ascii="Times New Roman" w:hAnsi="Times New Roman" w:cs="Times New Roman"/>
          <w:i/>
          <w:sz w:val="24"/>
          <w:szCs w:val="24"/>
        </w:rPr>
        <w:t xml:space="preserve"> </w:t>
      </w:r>
      <w:r w:rsidR="002C0E26">
        <w:rPr>
          <w:rFonts w:ascii="Times New Roman" w:hAnsi="Times New Roman" w:cs="Times New Roman"/>
          <w:sz w:val="24"/>
          <w:szCs w:val="24"/>
        </w:rPr>
        <w:t>v</w:t>
      </w:r>
      <w:r w:rsidR="00DC3DB8">
        <w:rPr>
          <w:rFonts w:ascii="Times New Roman" w:hAnsi="Times New Roman" w:cs="Times New Roman"/>
          <w:sz w:val="24"/>
          <w:szCs w:val="24"/>
        </w:rPr>
        <w:t xml:space="preserve"> </w:t>
      </w:r>
      <w:r w:rsidR="00927585" w:rsidRPr="002C0E26">
        <w:rPr>
          <w:rFonts w:ascii="Times New Roman" w:hAnsi="Times New Roman" w:cs="Times New Roman"/>
          <w:i/>
          <w:sz w:val="24"/>
          <w:szCs w:val="24"/>
        </w:rPr>
        <w:t>Mangwendeza</w:t>
      </w:r>
      <w:r w:rsidR="00927585">
        <w:rPr>
          <w:rFonts w:ascii="Times New Roman" w:hAnsi="Times New Roman" w:cs="Times New Roman"/>
          <w:sz w:val="24"/>
          <w:szCs w:val="24"/>
        </w:rPr>
        <w:t xml:space="preserve"> 2007(1) ZLR 216 (H) at 217F and </w:t>
      </w:r>
      <w:r w:rsidR="00927585" w:rsidRPr="007632A6">
        <w:rPr>
          <w:rFonts w:ascii="Times New Roman" w:hAnsi="Times New Roman" w:cs="Times New Roman"/>
          <w:i/>
          <w:sz w:val="24"/>
          <w:szCs w:val="24"/>
        </w:rPr>
        <w:t>Manyathela</w:t>
      </w:r>
      <w:r w:rsidR="00DC3DB8">
        <w:rPr>
          <w:rFonts w:ascii="Times New Roman" w:hAnsi="Times New Roman" w:cs="Times New Roman"/>
          <w:i/>
          <w:sz w:val="24"/>
          <w:szCs w:val="24"/>
        </w:rPr>
        <w:t xml:space="preserve"> </w:t>
      </w:r>
      <w:r w:rsidR="002C0E26" w:rsidRPr="007632A6">
        <w:rPr>
          <w:rFonts w:ascii="Times New Roman" w:hAnsi="Times New Roman" w:cs="Times New Roman"/>
          <w:sz w:val="24"/>
          <w:szCs w:val="24"/>
        </w:rPr>
        <w:t>v</w:t>
      </w:r>
      <w:r w:rsidR="00DC3DB8">
        <w:rPr>
          <w:rFonts w:ascii="Times New Roman" w:hAnsi="Times New Roman" w:cs="Times New Roman"/>
          <w:sz w:val="24"/>
          <w:szCs w:val="24"/>
        </w:rPr>
        <w:t xml:space="preserve"> </w:t>
      </w:r>
      <w:r w:rsidR="00927585" w:rsidRPr="007632A6">
        <w:rPr>
          <w:rFonts w:ascii="Times New Roman" w:hAnsi="Times New Roman" w:cs="Times New Roman"/>
          <w:i/>
          <w:sz w:val="24"/>
          <w:szCs w:val="24"/>
        </w:rPr>
        <w:t>Manyathela</w:t>
      </w:r>
      <w:r w:rsidR="00B60782">
        <w:rPr>
          <w:rFonts w:ascii="Times New Roman" w:hAnsi="Times New Roman" w:cs="Times New Roman"/>
          <w:i/>
          <w:sz w:val="24"/>
          <w:szCs w:val="24"/>
        </w:rPr>
        <w:t xml:space="preserve"> </w:t>
      </w:r>
      <w:r w:rsidR="00927585">
        <w:rPr>
          <w:rFonts w:ascii="Times New Roman" w:hAnsi="Times New Roman" w:cs="Times New Roman"/>
          <w:sz w:val="24"/>
          <w:szCs w:val="24"/>
        </w:rPr>
        <w:t>HB 44/11.</w:t>
      </w:r>
    </w:p>
    <w:p w:rsidR="00927585" w:rsidRDefault="00927585" w:rsidP="007632A6">
      <w:pPr>
        <w:spacing w:after="0" w:line="240" w:lineRule="auto"/>
        <w:jc w:val="both"/>
        <w:rPr>
          <w:rFonts w:ascii="Times New Roman" w:hAnsi="Times New Roman" w:cs="Times New Roman"/>
          <w:sz w:val="24"/>
          <w:szCs w:val="24"/>
        </w:rPr>
      </w:pPr>
    </w:p>
    <w:p w:rsidR="00927585" w:rsidRDefault="00927585" w:rsidP="009275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purporting to be the Chief Executive Officer of the first respondent engineered the employment of the applicant as Group Engineering Director on the understanding that he would work within a conglomeration of companies all of whom gave themselves out to the whole world as subsidiaries of the first respondent.  11 months down the line he had not been sufficiently remunerated only </w:t>
      </w:r>
      <w:r w:rsidR="006723D5">
        <w:rPr>
          <w:rFonts w:ascii="Times New Roman" w:hAnsi="Times New Roman" w:cs="Times New Roman"/>
          <w:sz w:val="24"/>
          <w:szCs w:val="24"/>
        </w:rPr>
        <w:t>f</w:t>
      </w:r>
      <w:r>
        <w:rPr>
          <w:rFonts w:ascii="Times New Roman" w:hAnsi="Times New Roman" w:cs="Times New Roman"/>
          <w:sz w:val="24"/>
          <w:szCs w:val="24"/>
        </w:rPr>
        <w:t>or the respondents to turn round and deny what they claimed to stand for at the beginning</w:t>
      </w:r>
      <w:r w:rsidR="006723D5">
        <w:rPr>
          <w:rFonts w:ascii="Times New Roman" w:hAnsi="Times New Roman" w:cs="Times New Roman"/>
          <w:sz w:val="24"/>
          <w:szCs w:val="24"/>
        </w:rPr>
        <w:t>,</w:t>
      </w:r>
      <w:r>
        <w:rPr>
          <w:rFonts w:ascii="Times New Roman" w:hAnsi="Times New Roman" w:cs="Times New Roman"/>
          <w:sz w:val="24"/>
          <w:szCs w:val="24"/>
        </w:rPr>
        <w:t xml:space="preserve"> that is, a group of companies.</w:t>
      </w:r>
    </w:p>
    <w:p w:rsidR="004918E2" w:rsidRDefault="00927585" w:rsidP="009275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made to shift his po</w:t>
      </w:r>
      <w:r w:rsidR="006723D5">
        <w:rPr>
          <w:rFonts w:ascii="Times New Roman" w:hAnsi="Times New Roman" w:cs="Times New Roman"/>
          <w:sz w:val="24"/>
          <w:szCs w:val="24"/>
        </w:rPr>
        <w:t>si</w:t>
      </w:r>
      <w:r>
        <w:rPr>
          <w:rFonts w:ascii="Times New Roman" w:hAnsi="Times New Roman" w:cs="Times New Roman"/>
          <w:sz w:val="24"/>
          <w:szCs w:val="24"/>
        </w:rPr>
        <w:t>tion to his</w:t>
      </w:r>
      <w:r w:rsidR="006723D5">
        <w:rPr>
          <w:rFonts w:ascii="Times New Roman" w:hAnsi="Times New Roman" w:cs="Times New Roman"/>
          <w:sz w:val="24"/>
          <w:szCs w:val="24"/>
        </w:rPr>
        <w:t xml:space="preserve"> prejudice</w:t>
      </w:r>
      <w:r w:rsidR="004918E2">
        <w:rPr>
          <w:rFonts w:ascii="Times New Roman" w:hAnsi="Times New Roman" w:cs="Times New Roman"/>
          <w:sz w:val="24"/>
          <w:szCs w:val="24"/>
        </w:rPr>
        <w:t xml:space="preserve"> on the strength of a representation that he was joining a group of companies, complete with an organogram to that effect, as the Group’s Engineering Director.  His duties also traversed all the entities given that the employment contract made reference to “all Group Engineering Projects and Installations”; “advise and lia</w:t>
      </w:r>
      <w:r w:rsidR="008F4920">
        <w:rPr>
          <w:rFonts w:ascii="Times New Roman" w:hAnsi="Times New Roman" w:cs="Times New Roman"/>
          <w:sz w:val="24"/>
          <w:szCs w:val="24"/>
        </w:rPr>
        <w:t>i</w:t>
      </w:r>
      <w:r w:rsidR="004918E2">
        <w:rPr>
          <w:rFonts w:ascii="Times New Roman" w:hAnsi="Times New Roman" w:cs="Times New Roman"/>
          <w:sz w:val="24"/>
          <w:szCs w:val="24"/>
        </w:rPr>
        <w:t>son with divisions”</w:t>
      </w:r>
      <w:r w:rsidR="006723D5">
        <w:rPr>
          <w:rFonts w:ascii="Times New Roman" w:hAnsi="Times New Roman" w:cs="Times New Roman"/>
          <w:sz w:val="24"/>
          <w:szCs w:val="24"/>
        </w:rPr>
        <w:t>;</w:t>
      </w:r>
      <w:r w:rsidR="004918E2">
        <w:rPr>
          <w:rFonts w:ascii="Times New Roman" w:hAnsi="Times New Roman" w:cs="Times New Roman"/>
          <w:sz w:val="24"/>
          <w:szCs w:val="24"/>
        </w:rPr>
        <w:t xml:space="preserve"> “undertake full executive functions for the group” etal.</w:t>
      </w:r>
    </w:p>
    <w:p w:rsidR="005B1E33" w:rsidRDefault="004918E2" w:rsidP="009275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this is a classic case for the lifting of the corporate veil because the applicant is alleging the reliance on the legal </w:t>
      </w:r>
      <w:r w:rsidR="006723D5">
        <w:rPr>
          <w:rFonts w:ascii="Times New Roman" w:hAnsi="Times New Roman" w:cs="Times New Roman"/>
          <w:sz w:val="24"/>
          <w:szCs w:val="24"/>
        </w:rPr>
        <w:t>personality</w:t>
      </w:r>
      <w:r>
        <w:rPr>
          <w:rFonts w:ascii="Times New Roman" w:hAnsi="Times New Roman" w:cs="Times New Roman"/>
          <w:sz w:val="24"/>
          <w:szCs w:val="24"/>
        </w:rPr>
        <w:t xml:space="preserve"> of the first respondent to defe</w:t>
      </w:r>
      <w:r w:rsidR="006723D5">
        <w:rPr>
          <w:rFonts w:ascii="Times New Roman" w:hAnsi="Times New Roman" w:cs="Times New Roman"/>
          <w:sz w:val="24"/>
          <w:szCs w:val="24"/>
        </w:rPr>
        <w:t>at</w:t>
      </w:r>
      <w:r>
        <w:rPr>
          <w:rFonts w:ascii="Times New Roman" w:hAnsi="Times New Roman" w:cs="Times New Roman"/>
          <w:sz w:val="24"/>
          <w:szCs w:val="24"/>
        </w:rPr>
        <w:t xml:space="preserve"> a lawful claim</w:t>
      </w:r>
      <w:r w:rsidR="006723D5">
        <w:rPr>
          <w:rFonts w:ascii="Times New Roman" w:hAnsi="Times New Roman" w:cs="Times New Roman"/>
          <w:sz w:val="24"/>
          <w:szCs w:val="24"/>
        </w:rPr>
        <w:t>,</w:t>
      </w:r>
      <w:r>
        <w:rPr>
          <w:rFonts w:ascii="Times New Roman" w:hAnsi="Times New Roman" w:cs="Times New Roman"/>
          <w:sz w:val="24"/>
          <w:szCs w:val="24"/>
        </w:rPr>
        <w:t xml:space="preserve"> to justify wrong and indeed to</w:t>
      </w:r>
      <w:r w:rsidR="005B1E33">
        <w:rPr>
          <w:rFonts w:ascii="Times New Roman" w:hAnsi="Times New Roman" w:cs="Times New Roman"/>
          <w:sz w:val="24"/>
          <w:szCs w:val="24"/>
        </w:rPr>
        <w:t xml:space="preserve"> protect fraud.  If this were to be allowed to perpetuate an injustice would occur.</w:t>
      </w:r>
    </w:p>
    <w:p w:rsidR="0099020E" w:rsidRDefault="005B1E33" w:rsidP="009275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remains </w:t>
      </w:r>
      <w:r w:rsidR="006723D5">
        <w:rPr>
          <w:rFonts w:ascii="Times New Roman" w:hAnsi="Times New Roman" w:cs="Times New Roman"/>
          <w:sz w:val="24"/>
          <w:szCs w:val="24"/>
        </w:rPr>
        <w:t xml:space="preserve">for me </w:t>
      </w:r>
      <w:r>
        <w:rPr>
          <w:rFonts w:ascii="Times New Roman" w:hAnsi="Times New Roman" w:cs="Times New Roman"/>
          <w:sz w:val="24"/>
          <w:szCs w:val="24"/>
        </w:rPr>
        <w:t>to deal with the issue of costs.  The respondents have been extremely un</w:t>
      </w:r>
      <w:r w:rsidR="007632A6">
        <w:rPr>
          <w:rFonts w:ascii="Times New Roman" w:hAnsi="Times New Roman" w:cs="Times New Roman"/>
          <w:sz w:val="24"/>
          <w:szCs w:val="24"/>
        </w:rPr>
        <w:t>-</w:t>
      </w:r>
      <w:r>
        <w:rPr>
          <w:rFonts w:ascii="Times New Roman" w:hAnsi="Times New Roman" w:cs="Times New Roman"/>
          <w:sz w:val="24"/>
          <w:szCs w:val="24"/>
        </w:rPr>
        <w:t>co</w:t>
      </w:r>
      <w:r w:rsidR="007632A6">
        <w:rPr>
          <w:rFonts w:ascii="Times New Roman" w:hAnsi="Times New Roman" w:cs="Times New Roman"/>
          <w:sz w:val="24"/>
          <w:szCs w:val="24"/>
        </w:rPr>
        <w:t>o</w:t>
      </w:r>
      <w:r>
        <w:rPr>
          <w:rFonts w:ascii="Times New Roman" w:hAnsi="Times New Roman" w:cs="Times New Roman"/>
          <w:sz w:val="24"/>
          <w:szCs w:val="24"/>
        </w:rPr>
        <w:t>perative</w:t>
      </w:r>
      <w:r w:rsidR="00751D7D">
        <w:rPr>
          <w:rFonts w:ascii="Times New Roman" w:hAnsi="Times New Roman" w:cs="Times New Roman"/>
          <w:sz w:val="24"/>
          <w:szCs w:val="24"/>
        </w:rPr>
        <w:t>.  I</w:t>
      </w:r>
      <w:r>
        <w:rPr>
          <w:rFonts w:ascii="Times New Roman" w:hAnsi="Times New Roman" w:cs="Times New Roman"/>
          <w:sz w:val="24"/>
          <w:szCs w:val="24"/>
        </w:rPr>
        <w:t>f indeed they were</w:t>
      </w:r>
      <w:r w:rsidR="006723D5">
        <w:rPr>
          <w:rFonts w:ascii="Times New Roman" w:hAnsi="Times New Roman" w:cs="Times New Roman"/>
          <w:sz w:val="24"/>
          <w:szCs w:val="24"/>
        </w:rPr>
        <w:t xml:space="preserve"> acting</w:t>
      </w:r>
      <w:r>
        <w:rPr>
          <w:rFonts w:ascii="Times New Roman" w:hAnsi="Times New Roman" w:cs="Times New Roman"/>
          <w:sz w:val="24"/>
          <w:szCs w:val="24"/>
        </w:rPr>
        <w:t xml:space="preserve"> in good </w:t>
      </w:r>
      <w:r w:rsidR="00751D7D">
        <w:rPr>
          <w:rFonts w:ascii="Times New Roman" w:hAnsi="Times New Roman" w:cs="Times New Roman"/>
          <w:sz w:val="24"/>
          <w:szCs w:val="24"/>
        </w:rPr>
        <w:t>fai</w:t>
      </w:r>
      <w:r>
        <w:rPr>
          <w:rFonts w:ascii="Times New Roman" w:hAnsi="Times New Roman" w:cs="Times New Roman"/>
          <w:sz w:val="24"/>
          <w:szCs w:val="24"/>
        </w:rPr>
        <w:t>th and have nothing to hide, they would have no diff</w:t>
      </w:r>
      <w:r w:rsidR="00751D7D">
        <w:rPr>
          <w:rFonts w:ascii="Times New Roman" w:hAnsi="Times New Roman" w:cs="Times New Roman"/>
          <w:sz w:val="24"/>
          <w:szCs w:val="24"/>
        </w:rPr>
        <w:t>iculty</w:t>
      </w:r>
      <w:r>
        <w:rPr>
          <w:rFonts w:ascii="Times New Roman" w:hAnsi="Times New Roman" w:cs="Times New Roman"/>
          <w:sz w:val="24"/>
          <w:szCs w:val="24"/>
        </w:rPr>
        <w:t xml:space="preserve"> with divulging the true status of the business</w:t>
      </w:r>
      <w:r w:rsidR="00751D7D">
        <w:rPr>
          <w:rFonts w:ascii="Times New Roman" w:hAnsi="Times New Roman" w:cs="Times New Roman"/>
          <w:sz w:val="24"/>
          <w:szCs w:val="24"/>
        </w:rPr>
        <w:t>es</w:t>
      </w:r>
      <w:r>
        <w:rPr>
          <w:rFonts w:ascii="Times New Roman" w:hAnsi="Times New Roman" w:cs="Times New Roman"/>
          <w:sz w:val="24"/>
          <w:szCs w:val="24"/>
        </w:rPr>
        <w:t xml:space="preserve"> and proving that</w:t>
      </w:r>
      <w:r w:rsidR="0099020E">
        <w:rPr>
          <w:rFonts w:ascii="Times New Roman" w:hAnsi="Times New Roman" w:cs="Times New Roman"/>
          <w:sz w:val="24"/>
          <w:szCs w:val="24"/>
        </w:rPr>
        <w:t xml:space="preserve"> the applicant has no recourse to the entities</w:t>
      </w:r>
      <w:r w:rsidR="00751D7D">
        <w:rPr>
          <w:rFonts w:ascii="Times New Roman" w:hAnsi="Times New Roman" w:cs="Times New Roman"/>
          <w:sz w:val="24"/>
          <w:szCs w:val="24"/>
        </w:rPr>
        <w:t>.</w:t>
      </w:r>
      <w:r w:rsidR="0099020E">
        <w:rPr>
          <w:rFonts w:ascii="Times New Roman" w:hAnsi="Times New Roman" w:cs="Times New Roman"/>
          <w:sz w:val="24"/>
          <w:szCs w:val="24"/>
        </w:rPr>
        <w:t xml:space="preserve"> </w:t>
      </w:r>
      <w:r w:rsidR="00751D7D">
        <w:rPr>
          <w:rFonts w:ascii="Times New Roman" w:hAnsi="Times New Roman" w:cs="Times New Roman"/>
          <w:sz w:val="24"/>
          <w:szCs w:val="24"/>
        </w:rPr>
        <w:t>T</w:t>
      </w:r>
      <w:r w:rsidR="0099020E">
        <w:rPr>
          <w:rFonts w:ascii="Times New Roman" w:hAnsi="Times New Roman" w:cs="Times New Roman"/>
          <w:sz w:val="24"/>
          <w:szCs w:val="24"/>
        </w:rPr>
        <w:t>hey have however seen it fit to hedge behind incorporation while at the same time saying nothing that would assist both the court and the applicant to understand the dynamics of the businesses.  If anything the second respondent’s declaration that “silence does not disclose any fraud” is arrogance of a very high order.</w:t>
      </w:r>
    </w:p>
    <w:p w:rsidR="00373F59" w:rsidRDefault="0099020E" w:rsidP="009275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conduct has put the applicant unnecessarily out of pocket.  He deserves to be compensated and in my view this is a case calling for costs to be awarded on a higher scale.</w:t>
      </w:r>
    </w:p>
    <w:p w:rsidR="00373F59" w:rsidRDefault="00373F59" w:rsidP="009275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 that</w:t>
      </w:r>
    </w:p>
    <w:p w:rsidR="00373F59" w:rsidRDefault="00373F59" w:rsidP="00927585">
      <w:pPr>
        <w:spacing w:after="0" w:line="360" w:lineRule="auto"/>
        <w:ind w:firstLine="720"/>
        <w:jc w:val="both"/>
        <w:rPr>
          <w:rFonts w:ascii="Times New Roman" w:hAnsi="Times New Roman" w:cs="Times New Roman"/>
          <w:sz w:val="24"/>
          <w:szCs w:val="24"/>
        </w:rPr>
      </w:pPr>
    </w:p>
    <w:p w:rsidR="00373F59" w:rsidRPr="008F4920" w:rsidRDefault="00373F59" w:rsidP="00373F5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second respondents should within 7 days of the date of this order disclose to the applicant or his legal practitioner</w:t>
      </w:r>
      <w:r w:rsidR="00D62191">
        <w:rPr>
          <w:rFonts w:ascii="Times New Roman" w:hAnsi="Times New Roman" w:cs="Times New Roman"/>
          <w:sz w:val="24"/>
          <w:szCs w:val="24"/>
        </w:rPr>
        <w:t>s</w:t>
      </w:r>
      <w:r>
        <w:rPr>
          <w:rFonts w:ascii="Times New Roman" w:hAnsi="Times New Roman" w:cs="Times New Roman"/>
          <w:sz w:val="24"/>
          <w:szCs w:val="24"/>
        </w:rPr>
        <w:t xml:space="preserve"> the incorporation status of entities which operated as subsidiaries of the first respondent during the period extending from 1 </w:t>
      </w:r>
      <w:r w:rsidR="00D62191">
        <w:rPr>
          <w:rFonts w:ascii="Times New Roman" w:hAnsi="Times New Roman" w:cs="Times New Roman"/>
          <w:sz w:val="24"/>
          <w:szCs w:val="24"/>
        </w:rPr>
        <w:t>M</w:t>
      </w:r>
      <w:r>
        <w:rPr>
          <w:rFonts w:ascii="Times New Roman" w:hAnsi="Times New Roman" w:cs="Times New Roman"/>
          <w:sz w:val="24"/>
          <w:szCs w:val="24"/>
        </w:rPr>
        <w:t xml:space="preserve">ay 2009 to 30 April 2010 namely </w:t>
      </w:r>
      <w:r w:rsidRPr="008F4920">
        <w:rPr>
          <w:rFonts w:ascii="Times New Roman" w:hAnsi="Times New Roman" w:cs="Times New Roman"/>
          <w:sz w:val="24"/>
          <w:szCs w:val="24"/>
        </w:rPr>
        <w:t>Freshbake, Downings, Superbake, E</w:t>
      </w:r>
      <w:r w:rsidR="00D62191">
        <w:rPr>
          <w:rFonts w:ascii="Times New Roman" w:hAnsi="Times New Roman" w:cs="Times New Roman"/>
          <w:sz w:val="24"/>
          <w:szCs w:val="24"/>
        </w:rPr>
        <w:t>c</w:t>
      </w:r>
      <w:r w:rsidRPr="008F4920">
        <w:rPr>
          <w:rFonts w:ascii="Times New Roman" w:hAnsi="Times New Roman" w:cs="Times New Roman"/>
          <w:sz w:val="24"/>
          <w:szCs w:val="24"/>
        </w:rPr>
        <w:t xml:space="preserve">oplastics (Pvt) Ltd, Horeca, </w:t>
      </w:r>
      <w:r w:rsidR="00D62191">
        <w:rPr>
          <w:rFonts w:ascii="Times New Roman" w:hAnsi="Times New Roman" w:cs="Times New Roman"/>
          <w:sz w:val="24"/>
          <w:szCs w:val="24"/>
        </w:rPr>
        <w:t>T</w:t>
      </w:r>
      <w:r w:rsidRPr="008F4920">
        <w:rPr>
          <w:rFonts w:ascii="Times New Roman" w:hAnsi="Times New Roman" w:cs="Times New Roman"/>
          <w:sz w:val="24"/>
          <w:szCs w:val="24"/>
        </w:rPr>
        <w:t>he Vinyl Tile Company, Household Converters,</w:t>
      </w:r>
      <w:r w:rsidR="00D62191">
        <w:rPr>
          <w:rFonts w:ascii="Times New Roman" w:hAnsi="Times New Roman" w:cs="Times New Roman"/>
          <w:sz w:val="24"/>
          <w:szCs w:val="24"/>
        </w:rPr>
        <w:t xml:space="preserve"> I</w:t>
      </w:r>
      <w:r w:rsidRPr="008F4920">
        <w:rPr>
          <w:rFonts w:ascii="Times New Roman" w:hAnsi="Times New Roman" w:cs="Times New Roman"/>
          <w:sz w:val="24"/>
          <w:szCs w:val="24"/>
        </w:rPr>
        <w:t xml:space="preserve">ntertec (Pvt) Ltd </w:t>
      </w:r>
      <w:r w:rsidR="002C0E26" w:rsidRPr="008F4920">
        <w:rPr>
          <w:rFonts w:ascii="Times New Roman" w:hAnsi="Times New Roman" w:cs="Times New Roman"/>
          <w:sz w:val="24"/>
          <w:szCs w:val="24"/>
        </w:rPr>
        <w:t>&amp;</w:t>
      </w:r>
      <w:r w:rsidR="00B60782">
        <w:rPr>
          <w:rFonts w:ascii="Times New Roman" w:hAnsi="Times New Roman" w:cs="Times New Roman"/>
          <w:sz w:val="24"/>
          <w:szCs w:val="24"/>
        </w:rPr>
        <w:t xml:space="preserve"> </w:t>
      </w:r>
      <w:r w:rsidRPr="008F4920">
        <w:rPr>
          <w:rFonts w:ascii="Times New Roman" w:hAnsi="Times New Roman" w:cs="Times New Roman"/>
          <w:sz w:val="24"/>
          <w:szCs w:val="24"/>
        </w:rPr>
        <w:t>Tacoola Beverages (Pvt) Ltd.</w:t>
      </w:r>
    </w:p>
    <w:p w:rsidR="00373F59" w:rsidRDefault="00373F59" w:rsidP="00373F5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should within 7 days of the date of this order furnish the applicant or his legal practitioners the addresses and places of businesses of the entities of the first respondent mentioned in paragraph 1 above during the period extending from 1 </w:t>
      </w:r>
      <w:r w:rsidR="00906CC8">
        <w:rPr>
          <w:rFonts w:ascii="Times New Roman" w:hAnsi="Times New Roman" w:cs="Times New Roman"/>
          <w:sz w:val="24"/>
          <w:szCs w:val="24"/>
        </w:rPr>
        <w:t>M</w:t>
      </w:r>
      <w:r>
        <w:rPr>
          <w:rFonts w:ascii="Times New Roman" w:hAnsi="Times New Roman" w:cs="Times New Roman"/>
          <w:sz w:val="24"/>
          <w:szCs w:val="24"/>
        </w:rPr>
        <w:t xml:space="preserve">ay 2009 to 30 April 2010. </w:t>
      </w:r>
    </w:p>
    <w:p w:rsidR="00732601" w:rsidRDefault="00373F59" w:rsidP="00373F5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of the first and second </w:t>
      </w:r>
      <w:r w:rsidR="006B3FA2">
        <w:rPr>
          <w:rFonts w:ascii="Times New Roman" w:hAnsi="Times New Roman" w:cs="Times New Roman"/>
          <w:sz w:val="24"/>
          <w:szCs w:val="24"/>
        </w:rPr>
        <w:t>respondents</w:t>
      </w:r>
      <w:r>
        <w:rPr>
          <w:rFonts w:ascii="Times New Roman" w:hAnsi="Times New Roman" w:cs="Times New Roman"/>
          <w:sz w:val="24"/>
          <w:szCs w:val="24"/>
        </w:rPr>
        <w:t>’ failure to comply with para</w:t>
      </w:r>
      <w:r w:rsidR="00DC3DB8">
        <w:rPr>
          <w:rFonts w:ascii="Times New Roman" w:hAnsi="Times New Roman" w:cs="Times New Roman"/>
          <w:sz w:val="24"/>
          <w:szCs w:val="24"/>
        </w:rPr>
        <w:t>(</w:t>
      </w:r>
      <w:r>
        <w:rPr>
          <w:rFonts w:ascii="Times New Roman" w:hAnsi="Times New Roman" w:cs="Times New Roman"/>
          <w:sz w:val="24"/>
          <w:szCs w:val="24"/>
        </w:rPr>
        <w:t>s</w:t>
      </w:r>
      <w:r w:rsidR="00DC3DB8">
        <w:rPr>
          <w:rFonts w:ascii="Times New Roman" w:hAnsi="Times New Roman" w:cs="Times New Roman"/>
          <w:sz w:val="24"/>
          <w:szCs w:val="24"/>
        </w:rPr>
        <w:t xml:space="preserve">) </w:t>
      </w:r>
      <w:r>
        <w:rPr>
          <w:rFonts w:ascii="Times New Roman" w:hAnsi="Times New Roman" w:cs="Times New Roman"/>
          <w:sz w:val="24"/>
          <w:szCs w:val="24"/>
        </w:rPr>
        <w:t>1 and 2 above, then the second respondent be and is hereby held personally liable for the judgment debt of the first respondent registered under case number HC 6651/10</w:t>
      </w:r>
      <w:r w:rsidR="00732601">
        <w:rPr>
          <w:rFonts w:ascii="Times New Roman" w:hAnsi="Times New Roman" w:cs="Times New Roman"/>
          <w:sz w:val="24"/>
          <w:szCs w:val="24"/>
        </w:rPr>
        <w:t>.</w:t>
      </w:r>
    </w:p>
    <w:p w:rsidR="00732601" w:rsidRDefault="00732601" w:rsidP="00373F5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and </w:t>
      </w:r>
      <w:r w:rsidR="008F4920">
        <w:rPr>
          <w:rFonts w:ascii="Times New Roman" w:hAnsi="Times New Roman" w:cs="Times New Roman"/>
          <w:sz w:val="24"/>
          <w:szCs w:val="24"/>
        </w:rPr>
        <w:t>second</w:t>
      </w:r>
      <w:r>
        <w:rPr>
          <w:rFonts w:ascii="Times New Roman" w:hAnsi="Times New Roman" w:cs="Times New Roman"/>
          <w:sz w:val="24"/>
          <w:szCs w:val="24"/>
        </w:rPr>
        <w:t xml:space="preserve"> respondents shall bear the costs of this application jointly and severally on a legal practitioner and client scale.</w:t>
      </w:r>
    </w:p>
    <w:p w:rsidR="00732601" w:rsidRDefault="00732601" w:rsidP="00732601">
      <w:pPr>
        <w:spacing w:after="0" w:line="360" w:lineRule="auto"/>
        <w:jc w:val="both"/>
        <w:rPr>
          <w:rFonts w:ascii="Times New Roman" w:hAnsi="Times New Roman" w:cs="Times New Roman"/>
          <w:sz w:val="24"/>
          <w:szCs w:val="24"/>
        </w:rPr>
      </w:pPr>
    </w:p>
    <w:p w:rsidR="00732601" w:rsidRDefault="00732601" w:rsidP="00732601">
      <w:pPr>
        <w:spacing w:after="0" w:line="360" w:lineRule="auto"/>
        <w:jc w:val="both"/>
        <w:rPr>
          <w:rFonts w:ascii="Times New Roman" w:hAnsi="Times New Roman" w:cs="Times New Roman"/>
          <w:sz w:val="24"/>
          <w:szCs w:val="24"/>
        </w:rPr>
      </w:pPr>
    </w:p>
    <w:p w:rsidR="00732601" w:rsidRDefault="00732601" w:rsidP="008F4920">
      <w:pPr>
        <w:spacing w:after="0" w:line="240" w:lineRule="auto"/>
        <w:jc w:val="both"/>
        <w:rPr>
          <w:rFonts w:ascii="Times New Roman" w:hAnsi="Times New Roman" w:cs="Times New Roman"/>
          <w:sz w:val="24"/>
          <w:szCs w:val="24"/>
        </w:rPr>
      </w:pPr>
      <w:r w:rsidRPr="008F4920">
        <w:rPr>
          <w:rFonts w:ascii="Times New Roman" w:hAnsi="Times New Roman" w:cs="Times New Roman"/>
          <w:i/>
          <w:sz w:val="24"/>
          <w:szCs w:val="24"/>
        </w:rPr>
        <w:t>Kawonde&amp; Company</w:t>
      </w:r>
      <w:r>
        <w:rPr>
          <w:rFonts w:ascii="Times New Roman" w:hAnsi="Times New Roman" w:cs="Times New Roman"/>
          <w:sz w:val="24"/>
          <w:szCs w:val="24"/>
        </w:rPr>
        <w:t>,</w:t>
      </w:r>
      <w:r w:rsidR="008F4920">
        <w:rPr>
          <w:rFonts w:ascii="Times New Roman" w:hAnsi="Times New Roman" w:cs="Times New Roman"/>
          <w:sz w:val="24"/>
          <w:szCs w:val="24"/>
        </w:rPr>
        <w:t xml:space="preserve"> applicant’s </w:t>
      </w:r>
      <w:r>
        <w:rPr>
          <w:rFonts w:ascii="Times New Roman" w:hAnsi="Times New Roman" w:cs="Times New Roman"/>
          <w:sz w:val="24"/>
          <w:szCs w:val="24"/>
        </w:rPr>
        <w:t xml:space="preserve">legal practitioners </w:t>
      </w:r>
    </w:p>
    <w:p w:rsidR="00F877C8" w:rsidRPr="00732601" w:rsidRDefault="00732601" w:rsidP="008F4920">
      <w:pPr>
        <w:spacing w:after="0" w:line="240" w:lineRule="auto"/>
        <w:jc w:val="both"/>
        <w:rPr>
          <w:rFonts w:ascii="Times New Roman" w:hAnsi="Times New Roman" w:cs="Times New Roman"/>
          <w:sz w:val="24"/>
          <w:szCs w:val="24"/>
        </w:rPr>
      </w:pPr>
      <w:r w:rsidRPr="008F4920">
        <w:rPr>
          <w:rFonts w:ascii="Times New Roman" w:hAnsi="Times New Roman" w:cs="Times New Roman"/>
          <w:i/>
          <w:sz w:val="24"/>
          <w:szCs w:val="24"/>
        </w:rPr>
        <w:t>Bvekwa Legal Practice</w:t>
      </w:r>
      <w:r w:rsidR="008F4920">
        <w:rPr>
          <w:rFonts w:ascii="Times New Roman" w:hAnsi="Times New Roman" w:cs="Times New Roman"/>
          <w:i/>
          <w:sz w:val="24"/>
          <w:szCs w:val="24"/>
        </w:rPr>
        <w:t>,</w:t>
      </w:r>
      <w:r>
        <w:rPr>
          <w:rFonts w:ascii="Times New Roman" w:hAnsi="Times New Roman" w:cs="Times New Roman"/>
          <w:sz w:val="24"/>
          <w:szCs w:val="24"/>
        </w:rPr>
        <w:t>first &amp; second respondents</w:t>
      </w:r>
      <w:r w:rsidR="008F4920">
        <w:rPr>
          <w:rFonts w:ascii="Times New Roman" w:hAnsi="Times New Roman" w:cs="Times New Roman"/>
          <w:sz w:val="24"/>
          <w:szCs w:val="24"/>
        </w:rPr>
        <w:t>’ legal practitioners</w:t>
      </w:r>
    </w:p>
    <w:sectPr w:rsidR="00F877C8" w:rsidRPr="00732601" w:rsidSect="0028746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8A" w:rsidRDefault="00755A8A" w:rsidP="00C57A0C">
      <w:pPr>
        <w:spacing w:after="0" w:line="240" w:lineRule="auto"/>
      </w:pPr>
      <w:r>
        <w:separator/>
      </w:r>
    </w:p>
  </w:endnote>
  <w:endnote w:type="continuationSeparator" w:id="0">
    <w:p w:rsidR="00755A8A" w:rsidRDefault="00755A8A" w:rsidP="00C5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8A" w:rsidRDefault="00755A8A" w:rsidP="00C57A0C">
      <w:pPr>
        <w:spacing w:after="0" w:line="240" w:lineRule="auto"/>
      </w:pPr>
      <w:r>
        <w:separator/>
      </w:r>
    </w:p>
  </w:footnote>
  <w:footnote w:type="continuationSeparator" w:id="0">
    <w:p w:rsidR="00755A8A" w:rsidRDefault="00755A8A" w:rsidP="00C57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223766"/>
      <w:docPartObj>
        <w:docPartGallery w:val="Page Numbers (Top of Page)"/>
        <w:docPartUnique/>
      </w:docPartObj>
    </w:sdtPr>
    <w:sdtEndPr/>
    <w:sdtContent>
      <w:p w:rsidR="00C57A0C" w:rsidRPr="007632A6" w:rsidRDefault="00D024F8">
        <w:pPr>
          <w:pStyle w:val="Header"/>
          <w:jc w:val="right"/>
          <w:rPr>
            <w:rFonts w:ascii="Times New Roman" w:hAnsi="Times New Roman" w:cs="Times New Roman"/>
            <w:sz w:val="24"/>
            <w:szCs w:val="24"/>
          </w:rPr>
        </w:pPr>
        <w:r w:rsidRPr="007632A6">
          <w:rPr>
            <w:rFonts w:ascii="Times New Roman" w:hAnsi="Times New Roman" w:cs="Times New Roman"/>
            <w:sz w:val="24"/>
            <w:szCs w:val="24"/>
          </w:rPr>
          <w:fldChar w:fldCharType="begin"/>
        </w:r>
        <w:r w:rsidR="007922A6" w:rsidRPr="007632A6">
          <w:rPr>
            <w:rFonts w:ascii="Times New Roman" w:hAnsi="Times New Roman" w:cs="Times New Roman"/>
            <w:sz w:val="24"/>
            <w:szCs w:val="24"/>
          </w:rPr>
          <w:instrText xml:space="preserve"> PAGE   \* MERGEFORMAT </w:instrText>
        </w:r>
        <w:r w:rsidRPr="007632A6">
          <w:rPr>
            <w:rFonts w:ascii="Times New Roman" w:hAnsi="Times New Roman" w:cs="Times New Roman"/>
            <w:sz w:val="24"/>
            <w:szCs w:val="24"/>
          </w:rPr>
          <w:fldChar w:fldCharType="separate"/>
        </w:r>
        <w:r w:rsidR="00992CAB">
          <w:rPr>
            <w:rFonts w:ascii="Times New Roman" w:hAnsi="Times New Roman" w:cs="Times New Roman"/>
            <w:noProof/>
            <w:sz w:val="24"/>
            <w:szCs w:val="24"/>
          </w:rPr>
          <w:t>1</w:t>
        </w:r>
        <w:r w:rsidRPr="007632A6">
          <w:rPr>
            <w:rFonts w:ascii="Times New Roman" w:hAnsi="Times New Roman" w:cs="Times New Roman"/>
            <w:noProof/>
            <w:sz w:val="24"/>
            <w:szCs w:val="24"/>
          </w:rPr>
          <w:fldChar w:fldCharType="end"/>
        </w:r>
      </w:p>
      <w:p w:rsidR="00C57A0C" w:rsidRPr="007632A6" w:rsidRDefault="00C57A0C">
        <w:pPr>
          <w:pStyle w:val="Header"/>
          <w:jc w:val="right"/>
          <w:rPr>
            <w:rFonts w:ascii="Times New Roman" w:hAnsi="Times New Roman" w:cs="Times New Roman"/>
            <w:sz w:val="24"/>
            <w:szCs w:val="24"/>
          </w:rPr>
        </w:pPr>
        <w:r w:rsidRPr="007632A6">
          <w:rPr>
            <w:rFonts w:ascii="Times New Roman" w:hAnsi="Times New Roman" w:cs="Times New Roman"/>
            <w:sz w:val="24"/>
            <w:szCs w:val="24"/>
          </w:rPr>
          <w:t>HH 84</w:t>
        </w:r>
        <w:r w:rsidR="007632A6" w:rsidRPr="007632A6">
          <w:rPr>
            <w:rFonts w:ascii="Times New Roman" w:hAnsi="Times New Roman" w:cs="Times New Roman"/>
            <w:sz w:val="24"/>
            <w:szCs w:val="24"/>
          </w:rPr>
          <w:t>-</w:t>
        </w:r>
        <w:r w:rsidRPr="007632A6">
          <w:rPr>
            <w:rFonts w:ascii="Times New Roman" w:hAnsi="Times New Roman" w:cs="Times New Roman"/>
            <w:sz w:val="24"/>
            <w:szCs w:val="24"/>
          </w:rPr>
          <w:t>2012</w:t>
        </w:r>
      </w:p>
      <w:p w:rsidR="00C57A0C" w:rsidRPr="007632A6" w:rsidRDefault="00C57A0C">
        <w:pPr>
          <w:pStyle w:val="Header"/>
          <w:jc w:val="right"/>
          <w:rPr>
            <w:rFonts w:ascii="Times New Roman" w:hAnsi="Times New Roman" w:cs="Times New Roman"/>
            <w:sz w:val="24"/>
            <w:szCs w:val="24"/>
          </w:rPr>
        </w:pPr>
        <w:r w:rsidRPr="007632A6">
          <w:rPr>
            <w:rFonts w:ascii="Times New Roman" w:hAnsi="Times New Roman" w:cs="Times New Roman"/>
            <w:sz w:val="24"/>
            <w:szCs w:val="24"/>
          </w:rPr>
          <w:t>HC4648/11</w:t>
        </w:r>
      </w:p>
    </w:sdtContent>
  </w:sdt>
  <w:p w:rsidR="00C57A0C" w:rsidRDefault="00C57A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7D7"/>
    <w:multiLevelType w:val="hybridMultilevel"/>
    <w:tmpl w:val="1D5A5E9E"/>
    <w:lvl w:ilvl="0" w:tplc="D20240D2">
      <w:start w:val="1"/>
      <w:numFmt w:val="lowerRoman"/>
      <w:lvlText w:val="(%1)"/>
      <w:lvlJc w:val="left"/>
      <w:pPr>
        <w:ind w:left="1500" w:hanging="72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11884C4B"/>
    <w:multiLevelType w:val="hybridMultilevel"/>
    <w:tmpl w:val="8AF42ABC"/>
    <w:lvl w:ilvl="0" w:tplc="5310215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E8347B6"/>
    <w:multiLevelType w:val="hybridMultilevel"/>
    <w:tmpl w:val="5510BB86"/>
    <w:lvl w:ilvl="0" w:tplc="1E68F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7D7D"/>
    <w:rsid w:val="00052E39"/>
    <w:rsid w:val="00142F29"/>
    <w:rsid w:val="0024539C"/>
    <w:rsid w:val="0028746F"/>
    <w:rsid w:val="00291104"/>
    <w:rsid w:val="002A708C"/>
    <w:rsid w:val="002C0E26"/>
    <w:rsid w:val="00373F59"/>
    <w:rsid w:val="003D63F4"/>
    <w:rsid w:val="00416D54"/>
    <w:rsid w:val="004918E2"/>
    <w:rsid w:val="004D0776"/>
    <w:rsid w:val="00501FB7"/>
    <w:rsid w:val="00570B1F"/>
    <w:rsid w:val="005B1E33"/>
    <w:rsid w:val="00601C8F"/>
    <w:rsid w:val="006723D5"/>
    <w:rsid w:val="00687396"/>
    <w:rsid w:val="006A47C3"/>
    <w:rsid w:val="006B3FA2"/>
    <w:rsid w:val="006D3259"/>
    <w:rsid w:val="006D33CA"/>
    <w:rsid w:val="006F09E1"/>
    <w:rsid w:val="00732601"/>
    <w:rsid w:val="00751D7D"/>
    <w:rsid w:val="00755A8A"/>
    <w:rsid w:val="007632A6"/>
    <w:rsid w:val="007922A6"/>
    <w:rsid w:val="007943CC"/>
    <w:rsid w:val="0081711B"/>
    <w:rsid w:val="008D12CC"/>
    <w:rsid w:val="008D6337"/>
    <w:rsid w:val="008F1FBA"/>
    <w:rsid w:val="008F2279"/>
    <w:rsid w:val="008F4920"/>
    <w:rsid w:val="00906CC8"/>
    <w:rsid w:val="00927585"/>
    <w:rsid w:val="00964FEF"/>
    <w:rsid w:val="009811C1"/>
    <w:rsid w:val="0099020E"/>
    <w:rsid w:val="00992CAB"/>
    <w:rsid w:val="00A77D7D"/>
    <w:rsid w:val="00AD4A6D"/>
    <w:rsid w:val="00B20110"/>
    <w:rsid w:val="00B31317"/>
    <w:rsid w:val="00B60782"/>
    <w:rsid w:val="00B93574"/>
    <w:rsid w:val="00C229F0"/>
    <w:rsid w:val="00C4625F"/>
    <w:rsid w:val="00C56984"/>
    <w:rsid w:val="00C57A0C"/>
    <w:rsid w:val="00C758F3"/>
    <w:rsid w:val="00CA53BD"/>
    <w:rsid w:val="00CC6000"/>
    <w:rsid w:val="00CE034B"/>
    <w:rsid w:val="00CE7E8E"/>
    <w:rsid w:val="00D024F8"/>
    <w:rsid w:val="00D03A21"/>
    <w:rsid w:val="00D62191"/>
    <w:rsid w:val="00D75CDE"/>
    <w:rsid w:val="00D804CD"/>
    <w:rsid w:val="00DA0BB9"/>
    <w:rsid w:val="00DB4FE3"/>
    <w:rsid w:val="00DC3DB8"/>
    <w:rsid w:val="00DE250A"/>
    <w:rsid w:val="00DF68C4"/>
    <w:rsid w:val="00E67BCF"/>
    <w:rsid w:val="00E86FFA"/>
    <w:rsid w:val="00F012DC"/>
    <w:rsid w:val="00F13922"/>
    <w:rsid w:val="00F70382"/>
    <w:rsid w:val="00F877C8"/>
    <w:rsid w:val="00FA467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7D"/>
    <w:pPr>
      <w:ind w:left="720"/>
      <w:contextualSpacing/>
    </w:pPr>
  </w:style>
  <w:style w:type="paragraph" w:styleId="Header">
    <w:name w:val="header"/>
    <w:basedOn w:val="Normal"/>
    <w:link w:val="HeaderChar"/>
    <w:uiPriority w:val="99"/>
    <w:unhideWhenUsed/>
    <w:rsid w:val="00C57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A0C"/>
  </w:style>
  <w:style w:type="paragraph" w:styleId="Footer">
    <w:name w:val="footer"/>
    <w:basedOn w:val="Normal"/>
    <w:link w:val="FooterChar"/>
    <w:uiPriority w:val="99"/>
    <w:unhideWhenUsed/>
    <w:rsid w:val="00C57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A0C"/>
  </w:style>
  <w:style w:type="paragraph" w:styleId="BalloonText">
    <w:name w:val="Balloon Text"/>
    <w:basedOn w:val="Normal"/>
    <w:link w:val="BalloonTextChar"/>
    <w:uiPriority w:val="99"/>
    <w:semiHidden/>
    <w:unhideWhenUsed/>
    <w:rsid w:val="0079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2012-02-21T09:08:00Z</cp:lastPrinted>
  <dcterms:created xsi:type="dcterms:W3CDTF">2012-04-05T09:13:00Z</dcterms:created>
  <dcterms:modified xsi:type="dcterms:W3CDTF">2012-04-05T09:13:00Z</dcterms:modified>
</cp:coreProperties>
</file>