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C9E" w:rsidRPr="00BD4512" w:rsidRDefault="00706C9E" w:rsidP="00BD4512">
      <w:pPr>
        <w:pStyle w:val="NoSpacing"/>
        <w:jc w:val="both"/>
        <w:rPr>
          <w:sz w:val="24"/>
          <w:szCs w:val="24"/>
          <w:lang w:val="en-US"/>
        </w:rPr>
      </w:pPr>
      <w:r w:rsidRPr="00BD4512">
        <w:rPr>
          <w:sz w:val="24"/>
          <w:szCs w:val="24"/>
          <w:lang w:val="en-US"/>
        </w:rPr>
        <w:t>CHRISTOPHER HLABATHI SIPHAMBILI</w:t>
      </w:r>
    </w:p>
    <w:p w:rsidR="00706C9E" w:rsidRPr="00BD4512" w:rsidRDefault="00BD4512" w:rsidP="00BD4512">
      <w:pPr>
        <w:pStyle w:val="NoSpacing"/>
        <w:jc w:val="both"/>
        <w:rPr>
          <w:sz w:val="24"/>
          <w:szCs w:val="24"/>
          <w:lang w:val="en-US"/>
        </w:rPr>
      </w:pPr>
      <w:r>
        <w:rPr>
          <w:sz w:val="24"/>
          <w:szCs w:val="24"/>
          <w:lang w:val="en-US"/>
        </w:rPr>
        <w:t>a</w:t>
      </w:r>
      <w:r w:rsidR="00706C9E" w:rsidRPr="00BD4512">
        <w:rPr>
          <w:sz w:val="24"/>
          <w:szCs w:val="24"/>
          <w:lang w:val="en-US"/>
        </w:rPr>
        <w:t>nd</w:t>
      </w:r>
    </w:p>
    <w:p w:rsidR="00706C9E" w:rsidRPr="00BD4512" w:rsidRDefault="00706C9E" w:rsidP="00BD4512">
      <w:pPr>
        <w:pStyle w:val="NoSpacing"/>
        <w:jc w:val="both"/>
        <w:rPr>
          <w:sz w:val="24"/>
          <w:szCs w:val="24"/>
          <w:lang w:val="en-US"/>
        </w:rPr>
      </w:pPr>
      <w:r w:rsidRPr="00BD4512">
        <w:rPr>
          <w:sz w:val="24"/>
          <w:szCs w:val="24"/>
          <w:lang w:val="en-US"/>
        </w:rPr>
        <w:t>MGCINI SIPHAMBILI</w:t>
      </w:r>
    </w:p>
    <w:p w:rsidR="00706C9E" w:rsidRPr="00BD4512" w:rsidRDefault="00BD4512" w:rsidP="00BD4512">
      <w:pPr>
        <w:pStyle w:val="NoSpacing"/>
        <w:jc w:val="both"/>
        <w:rPr>
          <w:sz w:val="24"/>
          <w:szCs w:val="24"/>
          <w:lang w:val="en-US"/>
        </w:rPr>
      </w:pPr>
      <w:r>
        <w:rPr>
          <w:sz w:val="24"/>
          <w:szCs w:val="24"/>
          <w:lang w:val="en-US"/>
        </w:rPr>
        <w:t>v</w:t>
      </w:r>
      <w:r w:rsidR="00706C9E" w:rsidRPr="00BD4512">
        <w:rPr>
          <w:sz w:val="24"/>
          <w:szCs w:val="24"/>
          <w:lang w:val="en-US"/>
        </w:rPr>
        <w:t>ersus</w:t>
      </w:r>
    </w:p>
    <w:p w:rsidR="00706C9E" w:rsidRPr="00BD4512" w:rsidRDefault="00706C9E" w:rsidP="00BD4512">
      <w:pPr>
        <w:pStyle w:val="NoSpacing"/>
        <w:jc w:val="both"/>
        <w:rPr>
          <w:sz w:val="24"/>
          <w:szCs w:val="24"/>
          <w:lang w:val="en-US"/>
        </w:rPr>
      </w:pPr>
      <w:r w:rsidRPr="00BD4512">
        <w:rPr>
          <w:sz w:val="24"/>
          <w:szCs w:val="24"/>
          <w:lang w:val="en-US"/>
        </w:rPr>
        <w:t>NQOBILE SIPHAMBILI</w:t>
      </w:r>
    </w:p>
    <w:p w:rsidR="00706C9E" w:rsidRPr="002E45D4" w:rsidRDefault="00706C9E" w:rsidP="002E45D4">
      <w:pPr>
        <w:pStyle w:val="NoSpacing"/>
        <w:jc w:val="both"/>
        <w:rPr>
          <w:b/>
          <w:sz w:val="24"/>
          <w:szCs w:val="24"/>
          <w:lang w:val="en-US"/>
        </w:rPr>
      </w:pPr>
    </w:p>
    <w:p w:rsidR="00BD4512" w:rsidRDefault="00BD4512" w:rsidP="002E45D4">
      <w:pPr>
        <w:pStyle w:val="NoSpacing"/>
        <w:jc w:val="both"/>
        <w:rPr>
          <w:sz w:val="24"/>
          <w:szCs w:val="24"/>
          <w:lang w:val="en-US"/>
        </w:rPr>
      </w:pPr>
    </w:p>
    <w:p w:rsidR="00706C9E" w:rsidRPr="002E45D4" w:rsidRDefault="00706C9E" w:rsidP="002E45D4">
      <w:pPr>
        <w:pStyle w:val="NoSpacing"/>
        <w:jc w:val="both"/>
        <w:rPr>
          <w:sz w:val="24"/>
          <w:szCs w:val="24"/>
          <w:lang w:val="en-US"/>
        </w:rPr>
      </w:pPr>
      <w:r w:rsidRPr="002E45D4">
        <w:rPr>
          <w:sz w:val="24"/>
          <w:szCs w:val="24"/>
          <w:lang w:val="en-US"/>
        </w:rPr>
        <w:t>IN THE HIGH COURT OF ZIMBABWE</w:t>
      </w:r>
    </w:p>
    <w:p w:rsidR="00706C9E" w:rsidRPr="002E45D4" w:rsidRDefault="00706C9E" w:rsidP="002E45D4">
      <w:pPr>
        <w:pStyle w:val="NoSpacing"/>
        <w:jc w:val="both"/>
        <w:rPr>
          <w:sz w:val="24"/>
          <w:szCs w:val="24"/>
          <w:lang w:val="en-US"/>
        </w:rPr>
      </w:pPr>
      <w:r w:rsidRPr="002E45D4">
        <w:rPr>
          <w:sz w:val="24"/>
          <w:szCs w:val="24"/>
          <w:lang w:val="en-US"/>
        </w:rPr>
        <w:t>TAKUVA J</w:t>
      </w:r>
    </w:p>
    <w:p w:rsidR="00706C9E" w:rsidRPr="002E45D4" w:rsidRDefault="00706C9E" w:rsidP="002E45D4">
      <w:pPr>
        <w:pStyle w:val="NoSpacing"/>
        <w:jc w:val="both"/>
        <w:rPr>
          <w:sz w:val="24"/>
          <w:szCs w:val="24"/>
          <w:lang w:val="en-US"/>
        </w:rPr>
      </w:pPr>
      <w:r w:rsidRPr="002E45D4">
        <w:rPr>
          <w:sz w:val="24"/>
          <w:szCs w:val="24"/>
          <w:lang w:val="en-US"/>
        </w:rPr>
        <w:t>BULAWAYO</w:t>
      </w:r>
      <w:r w:rsidR="00151F5F">
        <w:rPr>
          <w:sz w:val="24"/>
          <w:szCs w:val="24"/>
          <w:lang w:val="en-US"/>
        </w:rPr>
        <w:t>,</w:t>
      </w:r>
      <w:r w:rsidRPr="002E45D4">
        <w:rPr>
          <w:sz w:val="24"/>
          <w:szCs w:val="24"/>
          <w:lang w:val="en-US"/>
        </w:rPr>
        <w:t xml:space="preserve"> 10 J</w:t>
      </w:r>
      <w:r w:rsidR="00151F5F" w:rsidRPr="002E45D4">
        <w:rPr>
          <w:sz w:val="24"/>
          <w:szCs w:val="24"/>
          <w:lang w:val="en-US"/>
        </w:rPr>
        <w:t>uly</w:t>
      </w:r>
      <w:r w:rsidRPr="002E45D4">
        <w:rPr>
          <w:sz w:val="24"/>
          <w:szCs w:val="24"/>
          <w:lang w:val="en-US"/>
        </w:rPr>
        <w:t xml:space="preserve"> &amp; 1</w:t>
      </w:r>
      <w:r w:rsidR="00A807EC">
        <w:rPr>
          <w:sz w:val="24"/>
          <w:szCs w:val="24"/>
          <w:lang w:val="en-US"/>
        </w:rPr>
        <w:t>9</w:t>
      </w:r>
      <w:bookmarkStart w:id="0" w:name="_GoBack"/>
      <w:bookmarkEnd w:id="0"/>
      <w:r w:rsidRPr="002E45D4">
        <w:rPr>
          <w:sz w:val="24"/>
          <w:szCs w:val="24"/>
          <w:lang w:val="en-US"/>
        </w:rPr>
        <w:t xml:space="preserve"> O</w:t>
      </w:r>
      <w:r w:rsidR="00151F5F" w:rsidRPr="002E45D4">
        <w:rPr>
          <w:sz w:val="24"/>
          <w:szCs w:val="24"/>
          <w:lang w:val="en-US"/>
        </w:rPr>
        <w:t>ctober</w:t>
      </w:r>
      <w:r w:rsidRPr="002E45D4">
        <w:rPr>
          <w:sz w:val="24"/>
          <w:szCs w:val="24"/>
          <w:lang w:val="en-US"/>
        </w:rPr>
        <w:t xml:space="preserve"> 2023</w:t>
      </w:r>
    </w:p>
    <w:p w:rsidR="00706C9E" w:rsidRPr="002E45D4" w:rsidRDefault="00706C9E" w:rsidP="002E45D4">
      <w:pPr>
        <w:pStyle w:val="NoSpacing"/>
        <w:jc w:val="both"/>
        <w:rPr>
          <w:sz w:val="24"/>
          <w:szCs w:val="24"/>
          <w:lang w:val="en-US"/>
        </w:rPr>
      </w:pPr>
    </w:p>
    <w:p w:rsidR="00BD4512" w:rsidRDefault="00BD4512" w:rsidP="002E45D4">
      <w:pPr>
        <w:pStyle w:val="NoSpacing"/>
        <w:jc w:val="both"/>
        <w:rPr>
          <w:b/>
          <w:sz w:val="24"/>
          <w:szCs w:val="24"/>
          <w:lang w:val="en-US"/>
        </w:rPr>
      </w:pPr>
    </w:p>
    <w:p w:rsidR="00706C9E" w:rsidRPr="002E45D4" w:rsidRDefault="00706C9E" w:rsidP="002E45D4">
      <w:pPr>
        <w:pStyle w:val="NoSpacing"/>
        <w:jc w:val="both"/>
        <w:rPr>
          <w:b/>
          <w:sz w:val="24"/>
          <w:szCs w:val="24"/>
          <w:lang w:val="en-US"/>
        </w:rPr>
      </w:pPr>
      <w:r w:rsidRPr="002E45D4">
        <w:rPr>
          <w:b/>
          <w:sz w:val="24"/>
          <w:szCs w:val="24"/>
          <w:lang w:val="en-US"/>
        </w:rPr>
        <w:t>Opposed application</w:t>
      </w:r>
    </w:p>
    <w:p w:rsidR="00706C9E" w:rsidRPr="002E45D4" w:rsidRDefault="00706C9E" w:rsidP="002E45D4">
      <w:pPr>
        <w:pStyle w:val="NoSpacing"/>
        <w:jc w:val="both"/>
        <w:rPr>
          <w:b/>
          <w:sz w:val="24"/>
          <w:szCs w:val="24"/>
          <w:lang w:val="en-US"/>
        </w:rPr>
      </w:pPr>
    </w:p>
    <w:p w:rsidR="00BD4512" w:rsidRDefault="00BD4512" w:rsidP="002E45D4">
      <w:pPr>
        <w:pStyle w:val="NoSpacing"/>
        <w:jc w:val="both"/>
        <w:rPr>
          <w:i/>
          <w:sz w:val="24"/>
          <w:szCs w:val="24"/>
          <w:lang w:val="en-US"/>
        </w:rPr>
      </w:pPr>
    </w:p>
    <w:p w:rsidR="00706C9E" w:rsidRPr="002E45D4" w:rsidRDefault="00706C9E" w:rsidP="002E45D4">
      <w:pPr>
        <w:pStyle w:val="NoSpacing"/>
        <w:jc w:val="both"/>
        <w:rPr>
          <w:sz w:val="24"/>
          <w:szCs w:val="24"/>
          <w:lang w:val="en-US"/>
        </w:rPr>
      </w:pPr>
      <w:r w:rsidRPr="002E45D4">
        <w:rPr>
          <w:i/>
          <w:sz w:val="24"/>
          <w:szCs w:val="24"/>
          <w:lang w:val="en-US"/>
        </w:rPr>
        <w:t>L</w:t>
      </w:r>
      <w:r w:rsidR="00BD4512">
        <w:rPr>
          <w:i/>
          <w:sz w:val="24"/>
          <w:szCs w:val="24"/>
          <w:lang w:val="en-US"/>
        </w:rPr>
        <w:t xml:space="preserve"> </w:t>
      </w:r>
      <w:r w:rsidRPr="002E45D4">
        <w:rPr>
          <w:i/>
          <w:sz w:val="24"/>
          <w:szCs w:val="24"/>
          <w:lang w:val="en-US"/>
        </w:rPr>
        <w:t xml:space="preserve"> V</w:t>
      </w:r>
      <w:r w:rsidR="00BD4512">
        <w:rPr>
          <w:i/>
          <w:sz w:val="24"/>
          <w:szCs w:val="24"/>
          <w:lang w:val="en-US"/>
        </w:rPr>
        <w:t xml:space="preserve"> </w:t>
      </w:r>
      <w:r w:rsidRPr="002E45D4">
        <w:rPr>
          <w:i/>
          <w:sz w:val="24"/>
          <w:szCs w:val="24"/>
          <w:lang w:val="en-US"/>
        </w:rPr>
        <w:t>Nkomo</w:t>
      </w:r>
      <w:r w:rsidRPr="002E45D4">
        <w:rPr>
          <w:sz w:val="24"/>
          <w:szCs w:val="24"/>
          <w:lang w:val="en-US"/>
        </w:rPr>
        <w:t xml:space="preserve"> for the applicants</w:t>
      </w:r>
    </w:p>
    <w:p w:rsidR="00706C9E" w:rsidRPr="002E45D4" w:rsidRDefault="00706C9E" w:rsidP="002E45D4">
      <w:pPr>
        <w:pStyle w:val="NoSpacing"/>
        <w:jc w:val="both"/>
        <w:rPr>
          <w:sz w:val="24"/>
          <w:szCs w:val="24"/>
          <w:lang w:val="en-US"/>
        </w:rPr>
      </w:pPr>
      <w:r w:rsidRPr="002E45D4">
        <w:rPr>
          <w:sz w:val="24"/>
          <w:szCs w:val="24"/>
          <w:lang w:val="en-US"/>
        </w:rPr>
        <w:t>Respondent in person</w:t>
      </w:r>
    </w:p>
    <w:p w:rsidR="00706C9E" w:rsidRPr="002E45D4" w:rsidRDefault="00706C9E" w:rsidP="002E45D4">
      <w:pPr>
        <w:pStyle w:val="NoSpacing"/>
        <w:jc w:val="both"/>
        <w:rPr>
          <w:sz w:val="24"/>
          <w:szCs w:val="24"/>
          <w:lang w:val="en-US"/>
        </w:rPr>
      </w:pPr>
    </w:p>
    <w:p w:rsidR="00BD4512" w:rsidRDefault="00706C9E" w:rsidP="002E45D4">
      <w:pPr>
        <w:jc w:val="both"/>
        <w:rPr>
          <w:sz w:val="24"/>
          <w:szCs w:val="24"/>
          <w:lang w:val="en-US"/>
        </w:rPr>
      </w:pPr>
      <w:r w:rsidRPr="002E45D4">
        <w:rPr>
          <w:sz w:val="24"/>
          <w:szCs w:val="24"/>
          <w:lang w:val="en-US"/>
        </w:rPr>
        <w:tab/>
      </w:r>
    </w:p>
    <w:p w:rsidR="00706C9E" w:rsidRPr="002E45D4" w:rsidRDefault="00706C9E" w:rsidP="00BD4512">
      <w:pPr>
        <w:ind w:firstLine="720"/>
        <w:jc w:val="both"/>
        <w:rPr>
          <w:sz w:val="24"/>
          <w:szCs w:val="24"/>
          <w:lang w:val="en-US"/>
        </w:rPr>
      </w:pPr>
      <w:r w:rsidRPr="002E45D4">
        <w:rPr>
          <w:b/>
          <w:sz w:val="24"/>
          <w:szCs w:val="24"/>
          <w:lang w:val="en-US"/>
        </w:rPr>
        <w:t>TAKUVA J:</w:t>
      </w:r>
      <w:r w:rsidRPr="002E45D4">
        <w:rPr>
          <w:b/>
          <w:sz w:val="24"/>
          <w:szCs w:val="24"/>
          <w:lang w:val="en-US"/>
        </w:rPr>
        <w:tab/>
      </w:r>
      <w:r w:rsidR="008A7584" w:rsidRPr="002E45D4">
        <w:rPr>
          <w:sz w:val="24"/>
          <w:szCs w:val="24"/>
          <w:lang w:val="en-US"/>
        </w:rPr>
        <w:t>This is an application for summary judgment for the eviction of the respondent and any other person claiming occupation or use through him, together with their goods, possessions and</w:t>
      </w:r>
      <w:r w:rsidR="00FA18D6" w:rsidRPr="002E45D4">
        <w:rPr>
          <w:sz w:val="24"/>
          <w:szCs w:val="24"/>
          <w:lang w:val="en-US"/>
        </w:rPr>
        <w:t xml:space="preserve"> chatels from the premises known as sub-division 4 of “Fresnaye” situate in the District </w:t>
      </w:r>
      <w:r w:rsidR="00AA67A3" w:rsidRPr="002E45D4">
        <w:rPr>
          <w:sz w:val="24"/>
          <w:szCs w:val="24"/>
          <w:lang w:val="en-US"/>
        </w:rPr>
        <w:t xml:space="preserve">of </w:t>
      </w:r>
      <w:r w:rsidR="00FA18D6" w:rsidRPr="002E45D4">
        <w:rPr>
          <w:sz w:val="24"/>
          <w:szCs w:val="24"/>
          <w:lang w:val="en-US"/>
        </w:rPr>
        <w:t xml:space="preserve">Umzingwane, also known as plot 4 Worringham, Umguza being an immovable property that the </w:t>
      </w:r>
      <w:r w:rsidR="002225E5">
        <w:rPr>
          <w:sz w:val="24"/>
          <w:szCs w:val="24"/>
          <w:lang w:val="en-US"/>
        </w:rPr>
        <w:t>applicant</w:t>
      </w:r>
      <w:r w:rsidR="00B75AC5">
        <w:rPr>
          <w:sz w:val="24"/>
          <w:szCs w:val="24"/>
          <w:lang w:val="en-US"/>
        </w:rPr>
        <w:t>s</w:t>
      </w:r>
      <w:r w:rsidR="00FA18D6" w:rsidRPr="002E45D4">
        <w:rPr>
          <w:sz w:val="24"/>
          <w:szCs w:val="24"/>
          <w:lang w:val="en-US"/>
        </w:rPr>
        <w:t xml:space="preserve"> own and that the respondent occupied at the applicants’ benevolence which benevolence defend</w:t>
      </w:r>
      <w:r w:rsidR="002225E5">
        <w:rPr>
          <w:sz w:val="24"/>
          <w:szCs w:val="24"/>
          <w:lang w:val="en-US"/>
        </w:rPr>
        <w:t>ant</w:t>
      </w:r>
      <w:r w:rsidR="00FA18D6" w:rsidRPr="002E45D4">
        <w:rPr>
          <w:sz w:val="24"/>
          <w:szCs w:val="24"/>
          <w:lang w:val="en-US"/>
        </w:rPr>
        <w:t xml:space="preserve"> has spurned.</w:t>
      </w:r>
    </w:p>
    <w:p w:rsidR="00FA18D6" w:rsidRPr="002E45D4" w:rsidRDefault="00FA18D6" w:rsidP="002E45D4">
      <w:pPr>
        <w:jc w:val="both"/>
        <w:rPr>
          <w:b/>
          <w:sz w:val="24"/>
          <w:szCs w:val="24"/>
          <w:lang w:val="en-US"/>
        </w:rPr>
      </w:pPr>
      <w:r w:rsidRPr="002E45D4">
        <w:rPr>
          <w:b/>
          <w:sz w:val="24"/>
          <w:szCs w:val="24"/>
          <w:lang w:val="en-US"/>
        </w:rPr>
        <w:t>Background facts</w:t>
      </w:r>
    </w:p>
    <w:p w:rsidR="00FA18D6" w:rsidRPr="002E45D4" w:rsidRDefault="00780AC0" w:rsidP="00151F5F">
      <w:pPr>
        <w:spacing w:after="0"/>
        <w:jc w:val="both"/>
        <w:rPr>
          <w:sz w:val="24"/>
          <w:szCs w:val="24"/>
          <w:lang w:val="en-US"/>
        </w:rPr>
      </w:pPr>
      <w:r w:rsidRPr="002E45D4">
        <w:rPr>
          <w:sz w:val="24"/>
          <w:szCs w:val="24"/>
          <w:lang w:val="en-US"/>
        </w:rPr>
        <w:tab/>
        <w:t xml:space="preserve">The </w:t>
      </w:r>
      <w:r w:rsidR="00151F5F">
        <w:rPr>
          <w:sz w:val="24"/>
          <w:szCs w:val="24"/>
          <w:lang w:val="en-US"/>
        </w:rPr>
        <w:t>first</w:t>
      </w:r>
      <w:r w:rsidRPr="002E45D4">
        <w:rPr>
          <w:sz w:val="24"/>
          <w:szCs w:val="24"/>
          <w:lang w:val="en-US"/>
        </w:rPr>
        <w:t xml:space="preserve"> and </w:t>
      </w:r>
      <w:r w:rsidR="00151F5F">
        <w:rPr>
          <w:sz w:val="24"/>
          <w:szCs w:val="24"/>
          <w:lang w:val="en-US"/>
        </w:rPr>
        <w:t xml:space="preserve">second </w:t>
      </w:r>
      <w:r w:rsidRPr="002E45D4">
        <w:rPr>
          <w:sz w:val="24"/>
          <w:szCs w:val="24"/>
          <w:lang w:val="en-US"/>
        </w:rPr>
        <w:t>applicants are legally married to eac</w:t>
      </w:r>
      <w:r w:rsidR="00AA67A3" w:rsidRPr="002E45D4">
        <w:rPr>
          <w:sz w:val="24"/>
          <w:szCs w:val="24"/>
          <w:lang w:val="en-US"/>
        </w:rPr>
        <w:t>h</w:t>
      </w:r>
      <w:r w:rsidRPr="002E45D4">
        <w:rPr>
          <w:sz w:val="24"/>
          <w:szCs w:val="24"/>
          <w:lang w:val="en-US"/>
        </w:rPr>
        <w:t xml:space="preserve"> other and they jointly hold tit</w:t>
      </w:r>
      <w:r w:rsidR="00AA67A3" w:rsidRPr="002E45D4">
        <w:rPr>
          <w:sz w:val="24"/>
          <w:szCs w:val="24"/>
          <w:lang w:val="en-US"/>
        </w:rPr>
        <w:t>tl</w:t>
      </w:r>
      <w:r w:rsidRPr="002E45D4">
        <w:rPr>
          <w:sz w:val="24"/>
          <w:szCs w:val="24"/>
          <w:lang w:val="en-US"/>
        </w:rPr>
        <w:t xml:space="preserve">e to the immovable property described above.  The defendant is the </w:t>
      </w:r>
      <w:r w:rsidR="00151F5F">
        <w:rPr>
          <w:sz w:val="24"/>
          <w:szCs w:val="24"/>
          <w:lang w:val="en-US"/>
        </w:rPr>
        <w:t xml:space="preserve">first </w:t>
      </w:r>
      <w:r w:rsidRPr="002E45D4">
        <w:rPr>
          <w:sz w:val="24"/>
          <w:szCs w:val="24"/>
          <w:lang w:val="en-US"/>
        </w:rPr>
        <w:t xml:space="preserve">and </w:t>
      </w:r>
      <w:r w:rsidR="00151F5F">
        <w:rPr>
          <w:sz w:val="24"/>
          <w:szCs w:val="24"/>
          <w:lang w:val="en-US"/>
        </w:rPr>
        <w:t>second</w:t>
      </w:r>
      <w:r w:rsidRPr="002E45D4">
        <w:rPr>
          <w:sz w:val="24"/>
          <w:szCs w:val="24"/>
          <w:lang w:val="en-US"/>
        </w:rPr>
        <w:t xml:space="preserve"> </w:t>
      </w:r>
      <w:r w:rsidR="002225E5">
        <w:rPr>
          <w:sz w:val="24"/>
          <w:szCs w:val="24"/>
          <w:lang w:val="en-US"/>
        </w:rPr>
        <w:t>appellants’</w:t>
      </w:r>
      <w:r w:rsidRPr="002E45D4">
        <w:rPr>
          <w:sz w:val="24"/>
          <w:szCs w:val="24"/>
          <w:lang w:val="en-US"/>
        </w:rPr>
        <w:t xml:space="preserve"> biological son.  Sometime in 2009 the applicants through their sheer benevolence, let the respondent reside and build at the aforementioned property.  Respondent has since spurned and abused the </w:t>
      </w:r>
      <w:r w:rsidR="00151F5F">
        <w:rPr>
          <w:sz w:val="24"/>
          <w:szCs w:val="24"/>
          <w:lang w:val="en-US"/>
        </w:rPr>
        <w:t xml:space="preserve">first </w:t>
      </w:r>
      <w:r w:rsidRPr="002E45D4">
        <w:rPr>
          <w:sz w:val="24"/>
          <w:szCs w:val="24"/>
          <w:lang w:val="en-US"/>
        </w:rPr>
        <w:t xml:space="preserve">and </w:t>
      </w:r>
      <w:r w:rsidR="00151F5F">
        <w:rPr>
          <w:sz w:val="24"/>
          <w:szCs w:val="24"/>
          <w:lang w:val="en-US"/>
        </w:rPr>
        <w:t>second</w:t>
      </w:r>
      <w:r w:rsidRPr="002E45D4">
        <w:rPr>
          <w:sz w:val="24"/>
          <w:szCs w:val="24"/>
          <w:lang w:val="en-US"/>
        </w:rPr>
        <w:t xml:space="preserve"> applicant’s benevolence.  He had on numerous occasion accused both applicants of witchcraft and as a result, their relationship has since broken down and they have not been on talking terms for over a year.</w:t>
      </w:r>
    </w:p>
    <w:p w:rsidR="00780AC0" w:rsidRPr="002E45D4" w:rsidRDefault="00780AC0" w:rsidP="00151F5F">
      <w:pPr>
        <w:spacing w:after="0"/>
        <w:jc w:val="both"/>
        <w:rPr>
          <w:sz w:val="24"/>
          <w:szCs w:val="24"/>
          <w:lang w:val="en-US"/>
        </w:rPr>
      </w:pPr>
      <w:r w:rsidRPr="002E45D4">
        <w:rPr>
          <w:sz w:val="24"/>
          <w:szCs w:val="24"/>
          <w:lang w:val="en-US"/>
        </w:rPr>
        <w:tab/>
        <w:t xml:space="preserve">Due to the breakdown of the relationship, the applicants have expressed their wish that the respondent should move out of the property.  The respondent did not heed the request for him to move out of the property.  Consequently applicants issued summons for respondent’s eviction together with those claiming occupation through him.  When the defendant defended </w:t>
      </w:r>
      <w:r w:rsidRPr="002E45D4">
        <w:rPr>
          <w:sz w:val="24"/>
          <w:szCs w:val="24"/>
          <w:lang w:val="en-US"/>
        </w:rPr>
        <w:lastRenderedPageBreak/>
        <w:t>the claim, the applicants filed a summary judgment application for the eviction of the respondent as set out in the summons.  Respondent has opposed the summary judgment application.</w:t>
      </w:r>
    </w:p>
    <w:p w:rsidR="00CF7BC6" w:rsidRPr="002E45D4" w:rsidRDefault="00CF7BC6" w:rsidP="002E45D4">
      <w:pPr>
        <w:jc w:val="both"/>
        <w:rPr>
          <w:b/>
          <w:sz w:val="24"/>
          <w:szCs w:val="24"/>
          <w:lang w:val="en-US"/>
        </w:rPr>
      </w:pPr>
      <w:r w:rsidRPr="002E45D4">
        <w:rPr>
          <w:b/>
          <w:sz w:val="24"/>
          <w:szCs w:val="24"/>
          <w:lang w:val="en-US"/>
        </w:rPr>
        <w:t>Issues for determination</w:t>
      </w:r>
    </w:p>
    <w:p w:rsidR="00CF7BC6" w:rsidRPr="002E45D4" w:rsidRDefault="00CF7BC6" w:rsidP="002E45D4">
      <w:pPr>
        <w:ind w:firstLine="720"/>
        <w:jc w:val="both"/>
        <w:rPr>
          <w:sz w:val="24"/>
          <w:szCs w:val="24"/>
          <w:lang w:val="en-US"/>
        </w:rPr>
      </w:pPr>
      <w:r w:rsidRPr="002E45D4">
        <w:rPr>
          <w:sz w:val="24"/>
          <w:szCs w:val="24"/>
          <w:lang w:val="en-US"/>
        </w:rPr>
        <w:t>The issues are the following:</w:t>
      </w:r>
    </w:p>
    <w:p w:rsidR="00CF7BC6" w:rsidRPr="002E45D4" w:rsidRDefault="00CF7BC6" w:rsidP="002E45D4">
      <w:pPr>
        <w:jc w:val="both"/>
        <w:rPr>
          <w:sz w:val="24"/>
          <w:szCs w:val="24"/>
          <w:lang w:val="en-US"/>
        </w:rPr>
      </w:pPr>
      <w:r w:rsidRPr="002E45D4">
        <w:rPr>
          <w:sz w:val="24"/>
          <w:szCs w:val="24"/>
          <w:lang w:val="en-US"/>
        </w:rPr>
        <w:tab/>
        <w:t>(1)</w:t>
      </w:r>
      <w:r w:rsidRPr="002E45D4">
        <w:rPr>
          <w:sz w:val="24"/>
          <w:szCs w:val="24"/>
          <w:lang w:val="en-US"/>
        </w:rPr>
        <w:tab/>
      </w:r>
      <w:r w:rsidR="002E45D4" w:rsidRPr="002E45D4">
        <w:rPr>
          <w:sz w:val="24"/>
          <w:szCs w:val="24"/>
          <w:lang w:val="en-US"/>
        </w:rPr>
        <w:t>Whether</w:t>
      </w:r>
      <w:r w:rsidRPr="002E45D4">
        <w:rPr>
          <w:sz w:val="24"/>
          <w:szCs w:val="24"/>
          <w:lang w:val="en-US"/>
        </w:rPr>
        <w:t xml:space="preserve"> or not the </w:t>
      </w:r>
      <w:r w:rsidR="002225E5" w:rsidRPr="002E45D4">
        <w:rPr>
          <w:sz w:val="24"/>
          <w:szCs w:val="24"/>
          <w:lang w:val="en-US"/>
        </w:rPr>
        <w:t>applicant</w:t>
      </w:r>
      <w:r w:rsidR="002225E5">
        <w:rPr>
          <w:sz w:val="24"/>
          <w:szCs w:val="24"/>
          <w:lang w:val="en-US"/>
        </w:rPr>
        <w:t>s</w:t>
      </w:r>
      <w:r w:rsidRPr="002E45D4">
        <w:rPr>
          <w:sz w:val="24"/>
          <w:szCs w:val="24"/>
          <w:lang w:val="en-US"/>
        </w:rPr>
        <w:t xml:space="preserve"> </w:t>
      </w:r>
      <w:r w:rsidR="002225E5">
        <w:rPr>
          <w:sz w:val="24"/>
          <w:szCs w:val="24"/>
          <w:lang w:val="en-US"/>
        </w:rPr>
        <w:t>are</w:t>
      </w:r>
      <w:r w:rsidRPr="002E45D4">
        <w:rPr>
          <w:sz w:val="24"/>
          <w:szCs w:val="24"/>
          <w:lang w:val="en-US"/>
        </w:rPr>
        <w:t xml:space="preserve"> entitled to the relief sought?</w:t>
      </w:r>
    </w:p>
    <w:p w:rsidR="00CF7BC6" w:rsidRPr="002E45D4" w:rsidRDefault="00CF7BC6" w:rsidP="002E45D4">
      <w:pPr>
        <w:ind w:left="1440" w:hanging="720"/>
        <w:jc w:val="both"/>
        <w:rPr>
          <w:sz w:val="24"/>
          <w:szCs w:val="24"/>
          <w:lang w:val="en-US"/>
        </w:rPr>
      </w:pPr>
      <w:r w:rsidRPr="002E45D4">
        <w:rPr>
          <w:sz w:val="24"/>
          <w:szCs w:val="24"/>
          <w:lang w:val="en-US"/>
        </w:rPr>
        <w:t>(2)</w:t>
      </w:r>
      <w:r w:rsidRPr="002E45D4">
        <w:rPr>
          <w:sz w:val="24"/>
          <w:szCs w:val="24"/>
          <w:lang w:val="en-US"/>
        </w:rPr>
        <w:tab/>
      </w:r>
      <w:r w:rsidR="002E45D4" w:rsidRPr="002E45D4">
        <w:rPr>
          <w:sz w:val="24"/>
          <w:szCs w:val="24"/>
          <w:lang w:val="en-US"/>
        </w:rPr>
        <w:t>Whether</w:t>
      </w:r>
      <w:r w:rsidRPr="002E45D4">
        <w:rPr>
          <w:sz w:val="24"/>
          <w:szCs w:val="24"/>
          <w:lang w:val="en-US"/>
        </w:rPr>
        <w:t xml:space="preserve"> or not respondent has a valid defence</w:t>
      </w:r>
      <w:r w:rsidR="00F524EE" w:rsidRPr="002E45D4">
        <w:rPr>
          <w:sz w:val="24"/>
          <w:szCs w:val="24"/>
          <w:lang w:val="en-US"/>
        </w:rPr>
        <w:t xml:space="preserve"> to the applicant’s summons?</w:t>
      </w:r>
    </w:p>
    <w:p w:rsidR="00F524EE" w:rsidRPr="002E45D4" w:rsidRDefault="00F524EE" w:rsidP="002E45D4">
      <w:pPr>
        <w:jc w:val="both"/>
        <w:rPr>
          <w:sz w:val="24"/>
          <w:szCs w:val="24"/>
          <w:lang w:val="en-US"/>
        </w:rPr>
      </w:pPr>
      <w:r w:rsidRPr="002E45D4">
        <w:rPr>
          <w:sz w:val="24"/>
          <w:szCs w:val="24"/>
          <w:lang w:val="en-US"/>
        </w:rPr>
        <w:tab/>
        <w:t xml:space="preserve">In order to resolve the </w:t>
      </w:r>
      <w:r w:rsidR="00151F5F">
        <w:rPr>
          <w:sz w:val="24"/>
          <w:szCs w:val="24"/>
          <w:lang w:val="en-US"/>
        </w:rPr>
        <w:t xml:space="preserve">first </w:t>
      </w:r>
      <w:r w:rsidRPr="002E45D4">
        <w:rPr>
          <w:sz w:val="24"/>
          <w:szCs w:val="24"/>
          <w:lang w:val="en-US"/>
        </w:rPr>
        <w:t xml:space="preserve">issue, there </w:t>
      </w:r>
      <w:r w:rsidR="00B75AC5">
        <w:rPr>
          <w:sz w:val="24"/>
          <w:szCs w:val="24"/>
          <w:lang w:val="en-US"/>
        </w:rPr>
        <w:t xml:space="preserve">is </w:t>
      </w:r>
      <w:r w:rsidRPr="002E45D4">
        <w:rPr>
          <w:sz w:val="24"/>
          <w:szCs w:val="24"/>
          <w:lang w:val="en-US"/>
        </w:rPr>
        <w:t>need to examine the legal principle guiding the grant of summary judgment.  These were dealt</w:t>
      </w:r>
      <w:r w:rsidR="00B044E0" w:rsidRPr="002E45D4">
        <w:rPr>
          <w:sz w:val="24"/>
          <w:szCs w:val="24"/>
          <w:lang w:val="en-US"/>
        </w:rPr>
        <w:t xml:space="preserve"> with in the following cases; </w:t>
      </w:r>
      <w:r w:rsidR="00B044E0" w:rsidRPr="002E45D4">
        <w:rPr>
          <w:i/>
          <w:sz w:val="24"/>
          <w:szCs w:val="24"/>
          <w:lang w:val="en-US"/>
        </w:rPr>
        <w:t>Jena</w:t>
      </w:r>
      <w:r w:rsidR="00B044E0" w:rsidRPr="002E45D4">
        <w:rPr>
          <w:sz w:val="24"/>
          <w:szCs w:val="24"/>
          <w:lang w:val="en-US"/>
        </w:rPr>
        <w:t xml:space="preserve"> v </w:t>
      </w:r>
      <w:r w:rsidR="00B044E0" w:rsidRPr="002E45D4">
        <w:rPr>
          <w:i/>
          <w:sz w:val="24"/>
          <w:szCs w:val="24"/>
          <w:lang w:val="en-US"/>
        </w:rPr>
        <w:t>Nechipote</w:t>
      </w:r>
      <w:r w:rsidR="00B044E0" w:rsidRPr="002E45D4">
        <w:rPr>
          <w:sz w:val="24"/>
          <w:szCs w:val="24"/>
          <w:lang w:val="en-US"/>
        </w:rPr>
        <w:t xml:space="preserve"> 1986 (1) ZLR 29 (SC); </w:t>
      </w:r>
      <w:r w:rsidR="00B044E0" w:rsidRPr="002E45D4">
        <w:rPr>
          <w:i/>
          <w:sz w:val="24"/>
          <w:szCs w:val="24"/>
          <w:lang w:val="en-US"/>
        </w:rPr>
        <w:t xml:space="preserve">Pitchford Investments (Pvt) Ltd </w:t>
      </w:r>
      <w:r w:rsidR="00B044E0" w:rsidRPr="002E45D4">
        <w:rPr>
          <w:sz w:val="24"/>
          <w:szCs w:val="24"/>
          <w:lang w:val="en-US"/>
        </w:rPr>
        <w:t xml:space="preserve">v </w:t>
      </w:r>
      <w:r w:rsidR="00B044E0" w:rsidRPr="002E45D4">
        <w:rPr>
          <w:i/>
          <w:sz w:val="24"/>
          <w:szCs w:val="24"/>
          <w:lang w:val="en-US"/>
        </w:rPr>
        <w:t xml:space="preserve">Muzari </w:t>
      </w:r>
      <w:r w:rsidR="00B044E0" w:rsidRPr="002E45D4">
        <w:rPr>
          <w:sz w:val="24"/>
          <w:szCs w:val="24"/>
          <w:lang w:val="en-US"/>
        </w:rPr>
        <w:t xml:space="preserve">2005 (1) ZLR (H) and </w:t>
      </w:r>
      <w:r w:rsidR="00B044E0" w:rsidRPr="002E45D4">
        <w:rPr>
          <w:i/>
          <w:sz w:val="24"/>
          <w:szCs w:val="24"/>
          <w:lang w:val="en-US"/>
        </w:rPr>
        <w:t>Christimas Stutchburgh &amp; Anor</w:t>
      </w:r>
      <w:r w:rsidR="00B044E0" w:rsidRPr="002E45D4">
        <w:rPr>
          <w:sz w:val="24"/>
          <w:szCs w:val="24"/>
          <w:lang w:val="en-US"/>
        </w:rPr>
        <w:t xml:space="preserve"> 1973 (1) RLR 279.</w:t>
      </w:r>
    </w:p>
    <w:p w:rsidR="00B044E0" w:rsidRPr="002E45D4" w:rsidRDefault="00B044E0" w:rsidP="002E45D4">
      <w:pPr>
        <w:jc w:val="both"/>
        <w:rPr>
          <w:sz w:val="24"/>
          <w:szCs w:val="24"/>
          <w:lang w:val="en-US"/>
        </w:rPr>
      </w:pPr>
      <w:r w:rsidRPr="002E45D4">
        <w:rPr>
          <w:sz w:val="24"/>
          <w:szCs w:val="24"/>
          <w:lang w:val="en-US"/>
        </w:rPr>
        <w:tab/>
        <w:t xml:space="preserve">According to these cases, all the defendant has to establish in order </w:t>
      </w:r>
      <w:r w:rsidR="00FD54F8" w:rsidRPr="002E45D4">
        <w:rPr>
          <w:sz w:val="24"/>
          <w:szCs w:val="24"/>
          <w:lang w:val="en-US"/>
        </w:rPr>
        <w:t>t</w:t>
      </w:r>
      <w:r w:rsidRPr="002E45D4">
        <w:rPr>
          <w:sz w:val="24"/>
          <w:szCs w:val="24"/>
          <w:lang w:val="en-US"/>
        </w:rPr>
        <w:t xml:space="preserve">o succeed in having </w:t>
      </w:r>
      <w:r w:rsidR="00FD54F8" w:rsidRPr="002E45D4">
        <w:rPr>
          <w:sz w:val="24"/>
          <w:szCs w:val="24"/>
          <w:lang w:val="en-US"/>
        </w:rPr>
        <w:t>a</w:t>
      </w:r>
      <w:r w:rsidRPr="002E45D4">
        <w:rPr>
          <w:sz w:val="24"/>
          <w:szCs w:val="24"/>
          <w:lang w:val="en-US"/>
        </w:rPr>
        <w:t>n applicat</w:t>
      </w:r>
      <w:r w:rsidR="00FD54F8" w:rsidRPr="002E45D4">
        <w:rPr>
          <w:sz w:val="24"/>
          <w:szCs w:val="24"/>
          <w:lang w:val="en-US"/>
        </w:rPr>
        <w:t>i</w:t>
      </w:r>
      <w:r w:rsidRPr="002E45D4">
        <w:rPr>
          <w:sz w:val="24"/>
          <w:szCs w:val="24"/>
          <w:lang w:val="en-US"/>
        </w:rPr>
        <w:t>on for summary judgment dismissed is that;</w:t>
      </w:r>
    </w:p>
    <w:p w:rsidR="00B044E0" w:rsidRPr="002E45D4" w:rsidRDefault="00B044E0" w:rsidP="00151F5F">
      <w:pPr>
        <w:spacing w:line="240" w:lineRule="auto"/>
        <w:jc w:val="both"/>
        <w:rPr>
          <w:sz w:val="24"/>
          <w:szCs w:val="24"/>
          <w:lang w:val="en-US"/>
        </w:rPr>
      </w:pPr>
      <w:r w:rsidRPr="002E45D4">
        <w:rPr>
          <w:sz w:val="24"/>
          <w:szCs w:val="24"/>
          <w:lang w:val="en-US"/>
        </w:rPr>
        <w:tab/>
      </w:r>
      <w:r w:rsidR="00151F5F">
        <w:rPr>
          <w:sz w:val="24"/>
          <w:szCs w:val="24"/>
          <w:lang w:val="en-US"/>
        </w:rPr>
        <w:t>“</w:t>
      </w:r>
      <w:r w:rsidRPr="002E45D4">
        <w:rPr>
          <w:sz w:val="24"/>
          <w:szCs w:val="24"/>
          <w:lang w:val="en-US"/>
        </w:rPr>
        <w:t>(a)</w:t>
      </w:r>
      <w:r w:rsidRPr="002E45D4">
        <w:rPr>
          <w:sz w:val="24"/>
          <w:szCs w:val="24"/>
          <w:lang w:val="en-US"/>
        </w:rPr>
        <w:tab/>
        <w:t>There is a mere possibility of success.</w:t>
      </w:r>
    </w:p>
    <w:p w:rsidR="00B044E0" w:rsidRPr="002E45D4" w:rsidRDefault="002225E5" w:rsidP="00151F5F">
      <w:pPr>
        <w:spacing w:line="240" w:lineRule="auto"/>
        <w:jc w:val="both"/>
        <w:rPr>
          <w:sz w:val="24"/>
          <w:szCs w:val="24"/>
          <w:lang w:val="en-US"/>
        </w:rPr>
      </w:pPr>
      <w:r>
        <w:rPr>
          <w:sz w:val="24"/>
          <w:szCs w:val="24"/>
          <w:lang w:val="en-US"/>
        </w:rPr>
        <w:tab/>
        <w:t>(b)</w:t>
      </w:r>
      <w:r>
        <w:rPr>
          <w:sz w:val="24"/>
          <w:szCs w:val="24"/>
          <w:lang w:val="en-US"/>
        </w:rPr>
        <w:tab/>
        <w:t>Respondent has a plau</w:t>
      </w:r>
      <w:r w:rsidR="00B044E0" w:rsidRPr="002E45D4">
        <w:rPr>
          <w:sz w:val="24"/>
          <w:szCs w:val="24"/>
          <w:lang w:val="en-US"/>
        </w:rPr>
        <w:t>sible case</w:t>
      </w:r>
    </w:p>
    <w:p w:rsidR="00B044E0" w:rsidRPr="002E45D4" w:rsidRDefault="00B044E0" w:rsidP="00151F5F">
      <w:pPr>
        <w:spacing w:line="240" w:lineRule="auto"/>
        <w:jc w:val="both"/>
        <w:rPr>
          <w:sz w:val="24"/>
          <w:szCs w:val="24"/>
          <w:lang w:val="en-US"/>
        </w:rPr>
      </w:pPr>
      <w:r w:rsidRPr="002E45D4">
        <w:rPr>
          <w:sz w:val="24"/>
          <w:szCs w:val="24"/>
          <w:lang w:val="en-US"/>
        </w:rPr>
        <w:tab/>
        <w:t>(c)</w:t>
      </w:r>
      <w:r w:rsidRPr="002E45D4">
        <w:rPr>
          <w:sz w:val="24"/>
          <w:szCs w:val="24"/>
          <w:lang w:val="en-US"/>
        </w:rPr>
        <w:tab/>
        <w:t>There is a triable issue</w:t>
      </w:r>
    </w:p>
    <w:p w:rsidR="00B044E0" w:rsidRPr="002E45D4" w:rsidRDefault="00B044E0" w:rsidP="00151F5F">
      <w:pPr>
        <w:spacing w:line="240" w:lineRule="auto"/>
        <w:ind w:left="1440" w:hanging="720"/>
        <w:jc w:val="both"/>
        <w:rPr>
          <w:sz w:val="24"/>
          <w:szCs w:val="24"/>
          <w:lang w:val="en-US"/>
        </w:rPr>
      </w:pPr>
      <w:r w:rsidRPr="002E45D4">
        <w:rPr>
          <w:sz w:val="24"/>
          <w:szCs w:val="24"/>
          <w:lang w:val="en-US"/>
        </w:rPr>
        <w:t>(d)</w:t>
      </w:r>
      <w:r w:rsidRPr="002E45D4">
        <w:rPr>
          <w:sz w:val="24"/>
          <w:szCs w:val="24"/>
          <w:lang w:val="en-US"/>
        </w:rPr>
        <w:tab/>
        <w:t>The</w:t>
      </w:r>
      <w:r w:rsidR="00D42DFC" w:rsidRPr="002E45D4">
        <w:rPr>
          <w:sz w:val="24"/>
          <w:szCs w:val="24"/>
          <w:lang w:val="en-US"/>
        </w:rPr>
        <w:t xml:space="preserve">re is a reasonable possibility </w:t>
      </w:r>
      <w:r w:rsidRPr="002E45D4">
        <w:rPr>
          <w:sz w:val="24"/>
          <w:szCs w:val="24"/>
          <w:lang w:val="en-US"/>
        </w:rPr>
        <w:t>that an injustice may be done if summary judgment is granted.”</w:t>
      </w:r>
    </w:p>
    <w:p w:rsidR="00B044E0" w:rsidRPr="002E45D4" w:rsidRDefault="00B044E0" w:rsidP="002E45D4">
      <w:pPr>
        <w:ind w:firstLine="720"/>
        <w:jc w:val="both"/>
        <w:rPr>
          <w:sz w:val="24"/>
          <w:szCs w:val="24"/>
          <w:lang w:val="en-US"/>
        </w:rPr>
      </w:pPr>
      <w:r w:rsidRPr="002E45D4">
        <w:rPr>
          <w:sz w:val="24"/>
          <w:szCs w:val="24"/>
          <w:lang w:val="en-US"/>
        </w:rPr>
        <w:t xml:space="preserve">In </w:t>
      </w:r>
      <w:r w:rsidRPr="002E45D4">
        <w:rPr>
          <w:i/>
          <w:sz w:val="24"/>
          <w:szCs w:val="24"/>
          <w:lang w:val="en-US"/>
        </w:rPr>
        <w:t>Niri</w:t>
      </w:r>
      <w:r w:rsidRPr="002E45D4">
        <w:rPr>
          <w:sz w:val="24"/>
          <w:szCs w:val="24"/>
          <w:lang w:val="en-US"/>
        </w:rPr>
        <w:t xml:space="preserve"> v </w:t>
      </w:r>
      <w:r w:rsidRPr="002E45D4">
        <w:rPr>
          <w:i/>
          <w:sz w:val="24"/>
          <w:szCs w:val="24"/>
          <w:lang w:val="en-US"/>
        </w:rPr>
        <w:t>Cole</w:t>
      </w:r>
      <w:r w:rsidR="00D42DFC" w:rsidRPr="002E45D4">
        <w:rPr>
          <w:i/>
          <w:sz w:val="24"/>
          <w:szCs w:val="24"/>
          <w:lang w:val="en-US"/>
        </w:rPr>
        <w:t>man &amp; Ors</w:t>
      </w:r>
      <w:r w:rsidR="00D42DFC" w:rsidRPr="002E45D4">
        <w:rPr>
          <w:sz w:val="24"/>
          <w:szCs w:val="24"/>
          <w:lang w:val="en-US"/>
        </w:rPr>
        <w:t xml:space="preserve"> 2002 (2) ZLR 580 (H) at 585, the phrase “a mere possibility of success” was defined in the following terms;</w:t>
      </w:r>
    </w:p>
    <w:p w:rsidR="00706C9E" w:rsidRPr="00151F5F" w:rsidRDefault="007C6477" w:rsidP="002E45D4">
      <w:pPr>
        <w:pStyle w:val="NoSpacing"/>
        <w:ind w:left="720"/>
        <w:jc w:val="both"/>
        <w:rPr>
          <w:sz w:val="22"/>
          <w:lang w:val="en-US"/>
        </w:rPr>
      </w:pPr>
      <w:r w:rsidRPr="00151F5F">
        <w:rPr>
          <w:sz w:val="22"/>
          <w:lang w:val="en-US"/>
        </w:rPr>
        <w:t>“These phrases merely mean that the defendant has to depos</w:t>
      </w:r>
      <w:r w:rsidR="00B75AC5">
        <w:rPr>
          <w:sz w:val="22"/>
          <w:lang w:val="en-US"/>
        </w:rPr>
        <w:t>e to</w:t>
      </w:r>
      <w:r w:rsidRPr="00151F5F">
        <w:rPr>
          <w:sz w:val="22"/>
          <w:lang w:val="en-US"/>
        </w:rPr>
        <w:t xml:space="preserve"> a defence which, if proved at the trial would constitute a good defence to the plaintiff’s claim.  The defence itself must be </w:t>
      </w:r>
      <w:r w:rsidRPr="00151F5F">
        <w:rPr>
          <w:i/>
          <w:sz w:val="22"/>
          <w:lang w:val="en-US"/>
        </w:rPr>
        <w:t>bona fide</w:t>
      </w:r>
      <w:r w:rsidRPr="00151F5F">
        <w:rPr>
          <w:sz w:val="22"/>
          <w:lang w:val="en-US"/>
        </w:rPr>
        <w:t xml:space="preserve">.  Even though the rule is not concerned with the defendant’s </w:t>
      </w:r>
      <w:r w:rsidRPr="00151F5F">
        <w:rPr>
          <w:i/>
          <w:sz w:val="22"/>
          <w:lang w:val="en-US"/>
        </w:rPr>
        <w:t>bona fides</w:t>
      </w:r>
      <w:r w:rsidRPr="00151F5F">
        <w:rPr>
          <w:sz w:val="22"/>
          <w:lang w:val="en-US"/>
        </w:rPr>
        <w:t xml:space="preserve">, if he is not </w:t>
      </w:r>
      <w:r w:rsidRPr="00151F5F">
        <w:rPr>
          <w:i/>
          <w:sz w:val="22"/>
          <w:lang w:val="en-US"/>
        </w:rPr>
        <w:t>bona fide</w:t>
      </w:r>
      <w:r w:rsidRPr="00151F5F">
        <w:rPr>
          <w:sz w:val="22"/>
          <w:lang w:val="en-US"/>
        </w:rPr>
        <w:t xml:space="preserve"> then his defence too cannot be </w:t>
      </w:r>
      <w:r w:rsidRPr="00151F5F">
        <w:rPr>
          <w:i/>
          <w:sz w:val="22"/>
          <w:lang w:val="en-US"/>
        </w:rPr>
        <w:t>bona fide</w:t>
      </w:r>
      <w:r w:rsidRPr="00151F5F">
        <w:rPr>
          <w:sz w:val="22"/>
          <w:lang w:val="en-US"/>
        </w:rPr>
        <w:t xml:space="preserve">.  See </w:t>
      </w:r>
      <w:r w:rsidRPr="00151F5F">
        <w:rPr>
          <w:i/>
          <w:sz w:val="22"/>
          <w:lang w:val="en-US"/>
        </w:rPr>
        <w:t>Erasmus Superior Court Practice a</w:t>
      </w:r>
      <w:r w:rsidRPr="00151F5F">
        <w:rPr>
          <w:sz w:val="22"/>
          <w:lang w:val="en-US"/>
        </w:rPr>
        <w:t>t p31-224.  A defence raised against the grant of summary judgment application must also be valid at law.”</w:t>
      </w:r>
    </w:p>
    <w:p w:rsidR="007C6477" w:rsidRPr="002E45D4" w:rsidRDefault="007C6477" w:rsidP="002E45D4">
      <w:pPr>
        <w:pStyle w:val="NoSpacing"/>
        <w:jc w:val="both"/>
        <w:rPr>
          <w:sz w:val="24"/>
          <w:szCs w:val="24"/>
          <w:lang w:val="en-US"/>
        </w:rPr>
      </w:pPr>
    </w:p>
    <w:p w:rsidR="007C6477" w:rsidRPr="002E45D4" w:rsidRDefault="007C6477" w:rsidP="002E45D4">
      <w:pPr>
        <w:jc w:val="both"/>
        <w:rPr>
          <w:sz w:val="24"/>
          <w:szCs w:val="24"/>
          <w:lang w:val="en-US"/>
        </w:rPr>
      </w:pPr>
      <w:r w:rsidRPr="002E45D4">
        <w:rPr>
          <w:sz w:val="24"/>
          <w:szCs w:val="24"/>
          <w:lang w:val="en-US"/>
        </w:rPr>
        <w:tab/>
        <w:t xml:space="preserve">Essentially, a respondent seeking </w:t>
      </w:r>
      <w:r w:rsidR="002E1808" w:rsidRPr="002E45D4">
        <w:rPr>
          <w:sz w:val="24"/>
          <w:szCs w:val="24"/>
          <w:lang w:val="en-US"/>
        </w:rPr>
        <w:t>t</w:t>
      </w:r>
      <w:r w:rsidRPr="002E45D4">
        <w:rPr>
          <w:sz w:val="24"/>
          <w:szCs w:val="24"/>
          <w:lang w:val="en-US"/>
        </w:rPr>
        <w:t>o succeed agai</w:t>
      </w:r>
      <w:r w:rsidR="002E1808" w:rsidRPr="002E45D4">
        <w:rPr>
          <w:sz w:val="24"/>
          <w:szCs w:val="24"/>
          <w:lang w:val="en-US"/>
        </w:rPr>
        <w:t>n</w:t>
      </w:r>
      <w:r w:rsidRPr="002E45D4">
        <w:rPr>
          <w:sz w:val="24"/>
          <w:szCs w:val="24"/>
          <w:lang w:val="en-US"/>
        </w:rPr>
        <w:t xml:space="preserve">st an application </w:t>
      </w:r>
      <w:r w:rsidR="002225E5">
        <w:rPr>
          <w:sz w:val="24"/>
          <w:szCs w:val="24"/>
          <w:lang w:val="en-US"/>
        </w:rPr>
        <w:t>for</w:t>
      </w:r>
      <w:r w:rsidRPr="002E45D4">
        <w:rPr>
          <w:sz w:val="24"/>
          <w:szCs w:val="24"/>
          <w:lang w:val="en-US"/>
        </w:rPr>
        <w:t xml:space="preserve"> summary judgment has to raise a defence which if proved at the trial will constitute a good defence to the plaintiff’s claim.  Secondly, the defendant has to raise a defence which is valid at law.  The law in an action for </w:t>
      </w:r>
      <w:r w:rsidRPr="002E45D4">
        <w:rPr>
          <w:i/>
          <w:sz w:val="24"/>
          <w:szCs w:val="24"/>
          <w:lang w:val="en-US"/>
        </w:rPr>
        <w:t>rei vindic</w:t>
      </w:r>
      <w:r w:rsidR="007F2B80">
        <w:rPr>
          <w:i/>
          <w:sz w:val="24"/>
          <w:szCs w:val="24"/>
          <w:lang w:val="en-US"/>
        </w:rPr>
        <w:t>a</w:t>
      </w:r>
      <w:r w:rsidRPr="002E45D4">
        <w:rPr>
          <w:i/>
          <w:sz w:val="24"/>
          <w:szCs w:val="24"/>
          <w:lang w:val="en-US"/>
        </w:rPr>
        <w:t>tio</w:t>
      </w:r>
      <w:r w:rsidRPr="002E45D4">
        <w:rPr>
          <w:sz w:val="24"/>
          <w:szCs w:val="24"/>
          <w:lang w:val="en-US"/>
        </w:rPr>
        <w:t xml:space="preserve"> is now </w:t>
      </w:r>
      <w:r w:rsidR="005727A1" w:rsidRPr="002E45D4">
        <w:rPr>
          <w:sz w:val="24"/>
          <w:szCs w:val="24"/>
          <w:lang w:val="en-US"/>
        </w:rPr>
        <w:t>fairly established that it admits no doubt.</w:t>
      </w:r>
    </w:p>
    <w:p w:rsidR="005727A1" w:rsidRPr="002E45D4" w:rsidRDefault="005727A1" w:rsidP="002E45D4">
      <w:pPr>
        <w:jc w:val="both"/>
        <w:rPr>
          <w:sz w:val="24"/>
          <w:szCs w:val="24"/>
          <w:lang w:val="en-US"/>
        </w:rPr>
      </w:pPr>
      <w:r w:rsidRPr="002E45D4">
        <w:rPr>
          <w:sz w:val="24"/>
          <w:szCs w:val="24"/>
          <w:lang w:val="en-US"/>
        </w:rPr>
        <w:lastRenderedPageBreak/>
        <w:tab/>
        <w:t xml:space="preserve">In </w:t>
      </w:r>
      <w:r w:rsidRPr="002E45D4">
        <w:rPr>
          <w:i/>
          <w:sz w:val="24"/>
          <w:szCs w:val="24"/>
          <w:lang w:val="en-US"/>
        </w:rPr>
        <w:t>Alspite Investmens (Pvt) Ltd</w:t>
      </w:r>
      <w:r w:rsidRPr="002E45D4">
        <w:rPr>
          <w:sz w:val="24"/>
          <w:szCs w:val="24"/>
          <w:lang w:val="en-US"/>
        </w:rPr>
        <w:t xml:space="preserve"> v </w:t>
      </w:r>
      <w:r w:rsidRPr="002E45D4">
        <w:rPr>
          <w:i/>
          <w:sz w:val="24"/>
          <w:szCs w:val="24"/>
          <w:lang w:val="en-US"/>
        </w:rPr>
        <w:t>Westerhof</w:t>
      </w:r>
      <w:r w:rsidRPr="002E45D4">
        <w:rPr>
          <w:sz w:val="24"/>
          <w:szCs w:val="24"/>
          <w:lang w:val="en-US"/>
        </w:rPr>
        <w:t xml:space="preserve"> 2009 ZLR 226 (H) at 236D-E, the law was stated thus;</w:t>
      </w:r>
    </w:p>
    <w:p w:rsidR="005727A1" w:rsidRPr="00151F5F" w:rsidRDefault="005727A1" w:rsidP="002E45D4">
      <w:pPr>
        <w:pStyle w:val="NoSpacing"/>
        <w:ind w:left="720"/>
        <w:jc w:val="both"/>
        <w:rPr>
          <w:sz w:val="22"/>
          <w:lang w:val="en-US"/>
        </w:rPr>
      </w:pPr>
      <w:r w:rsidRPr="00151F5F">
        <w:rPr>
          <w:sz w:val="22"/>
          <w:lang w:val="en-US"/>
        </w:rPr>
        <w:t xml:space="preserve">“The </w:t>
      </w:r>
      <w:r w:rsidRPr="00151F5F">
        <w:rPr>
          <w:i/>
          <w:sz w:val="22"/>
          <w:lang w:val="en-US"/>
        </w:rPr>
        <w:t>rei vindicatio</w:t>
      </w:r>
      <w:r w:rsidRPr="00151F5F">
        <w:rPr>
          <w:sz w:val="22"/>
          <w:lang w:val="en-US"/>
        </w:rPr>
        <w:t xml:space="preserve"> is an action that is founded in property law.  It is aimed at protecting ownership.  It is based on the principles that an owner shall no</w:t>
      </w:r>
      <w:r w:rsidR="00FD54F8" w:rsidRPr="00151F5F">
        <w:rPr>
          <w:sz w:val="22"/>
          <w:lang w:val="en-US"/>
        </w:rPr>
        <w:t>t</w:t>
      </w:r>
      <w:r w:rsidRPr="00151F5F">
        <w:rPr>
          <w:sz w:val="22"/>
          <w:lang w:val="en-US"/>
        </w:rPr>
        <w:t xml:space="preserve"> be deprived of his property without his consent.  </w:t>
      </w:r>
      <w:r w:rsidR="00743EDD" w:rsidRPr="00151F5F">
        <w:rPr>
          <w:sz w:val="22"/>
          <w:lang w:val="en-US"/>
        </w:rPr>
        <w:t xml:space="preserve">So exclusive is the right of the owner to possess his or her property that at law, he or she is entitled to recover it from wherever found from whomsoever is holding it, without alleging anything further than that he or she is the owner and that the defendant is in possession of the property.  Thus it is an action </w:t>
      </w:r>
      <w:r w:rsidR="00743EDD" w:rsidRPr="00151F5F">
        <w:rPr>
          <w:i/>
          <w:sz w:val="22"/>
          <w:lang w:val="en-US"/>
        </w:rPr>
        <w:t>in rem</w:t>
      </w:r>
      <w:r w:rsidR="00743EDD" w:rsidRPr="00151F5F">
        <w:rPr>
          <w:sz w:val="22"/>
          <w:lang w:val="en-US"/>
        </w:rPr>
        <w:t xml:space="preserve"> enforceable</w:t>
      </w:r>
      <w:r w:rsidR="00E7051F" w:rsidRPr="00151F5F">
        <w:rPr>
          <w:sz w:val="22"/>
          <w:lang w:val="en-US"/>
        </w:rPr>
        <w:t xml:space="preserve"> against the world at large.  This is settled law in the jurisdiction that hardly requires authority.”</w:t>
      </w:r>
    </w:p>
    <w:p w:rsidR="00E7051F" w:rsidRPr="002E45D4" w:rsidRDefault="00E7051F" w:rsidP="002E45D4">
      <w:pPr>
        <w:pStyle w:val="NoSpacing"/>
        <w:jc w:val="both"/>
        <w:rPr>
          <w:sz w:val="24"/>
          <w:szCs w:val="24"/>
          <w:lang w:val="en-US"/>
        </w:rPr>
      </w:pPr>
    </w:p>
    <w:p w:rsidR="00E7051F" w:rsidRPr="002E45D4" w:rsidRDefault="00E7051F" w:rsidP="002E45D4">
      <w:pPr>
        <w:jc w:val="both"/>
        <w:rPr>
          <w:sz w:val="24"/>
          <w:szCs w:val="24"/>
          <w:lang w:val="en-US"/>
        </w:rPr>
      </w:pPr>
      <w:r w:rsidRPr="002E45D4">
        <w:rPr>
          <w:sz w:val="24"/>
          <w:szCs w:val="24"/>
          <w:lang w:val="en-US"/>
        </w:rPr>
        <w:tab/>
      </w:r>
      <w:r w:rsidRPr="002E45D4">
        <w:rPr>
          <w:i/>
          <w:sz w:val="24"/>
          <w:szCs w:val="24"/>
          <w:lang w:val="en-US"/>
        </w:rPr>
        <w:t>In casu</w:t>
      </w:r>
      <w:r w:rsidRPr="002E45D4">
        <w:rPr>
          <w:sz w:val="24"/>
          <w:szCs w:val="24"/>
          <w:lang w:val="en-US"/>
        </w:rPr>
        <w:t>, it is common cause that the appli</w:t>
      </w:r>
      <w:r w:rsidR="00FD54F8" w:rsidRPr="002E45D4">
        <w:rPr>
          <w:sz w:val="24"/>
          <w:szCs w:val="24"/>
          <w:lang w:val="en-US"/>
        </w:rPr>
        <w:t>c</w:t>
      </w:r>
      <w:r w:rsidRPr="002E45D4">
        <w:rPr>
          <w:sz w:val="24"/>
          <w:szCs w:val="24"/>
          <w:lang w:val="en-US"/>
        </w:rPr>
        <w:t>ants own the land and that defendant is in occupation of it.  Therefore, applicants are entitled to relief sought through summary judgment.</w:t>
      </w:r>
    </w:p>
    <w:p w:rsidR="00E7051F" w:rsidRPr="002E45D4" w:rsidRDefault="00E7051F" w:rsidP="002E45D4">
      <w:pPr>
        <w:jc w:val="both"/>
        <w:rPr>
          <w:sz w:val="24"/>
          <w:szCs w:val="24"/>
          <w:lang w:val="en-US"/>
        </w:rPr>
      </w:pPr>
      <w:r w:rsidRPr="002E45D4">
        <w:rPr>
          <w:sz w:val="24"/>
          <w:szCs w:val="24"/>
          <w:lang w:val="en-US"/>
        </w:rPr>
        <w:tab/>
        <w:t xml:space="preserve">The second issue is whether or not the respondent has a </w:t>
      </w:r>
      <w:r w:rsidRPr="002E45D4">
        <w:rPr>
          <w:i/>
          <w:sz w:val="24"/>
          <w:szCs w:val="24"/>
          <w:lang w:val="en-US"/>
        </w:rPr>
        <w:t>prima facie</w:t>
      </w:r>
      <w:r w:rsidRPr="002E45D4">
        <w:rPr>
          <w:sz w:val="24"/>
          <w:szCs w:val="24"/>
          <w:lang w:val="en-US"/>
        </w:rPr>
        <w:t xml:space="preserve"> defence?  Respondent’s defence is that the applicants donated the property to him in 1977.  However, the respondent has not provided any proof of such donation.  He alleges such agreement was verbal.  Verbal agreements involving immovable property are forbidden by the law.  Any donation or purchase of immovable property should be reduced to writing for it to be valid.</w:t>
      </w:r>
    </w:p>
    <w:p w:rsidR="00E7051F" w:rsidRPr="002E45D4" w:rsidRDefault="00E7051F" w:rsidP="002E45D4">
      <w:pPr>
        <w:jc w:val="both"/>
        <w:rPr>
          <w:sz w:val="24"/>
          <w:szCs w:val="24"/>
          <w:lang w:val="en-US"/>
        </w:rPr>
      </w:pPr>
      <w:r w:rsidRPr="002E45D4">
        <w:rPr>
          <w:sz w:val="24"/>
          <w:szCs w:val="24"/>
          <w:lang w:val="en-US"/>
        </w:rPr>
        <w:tab/>
        <w:t xml:space="preserve">See section 14 of the Deeds Registries Act </w:t>
      </w:r>
      <w:r w:rsidR="00151F5F">
        <w:rPr>
          <w:sz w:val="24"/>
          <w:szCs w:val="24"/>
          <w:lang w:val="en-US"/>
        </w:rPr>
        <w:t>[</w:t>
      </w:r>
      <w:r w:rsidRPr="00151F5F">
        <w:rPr>
          <w:i/>
          <w:sz w:val="24"/>
          <w:szCs w:val="24"/>
          <w:lang w:val="en-US"/>
        </w:rPr>
        <w:t>Chapter 20:05</w:t>
      </w:r>
      <w:r w:rsidR="00151F5F">
        <w:rPr>
          <w:sz w:val="24"/>
          <w:szCs w:val="24"/>
          <w:lang w:val="en-US"/>
        </w:rPr>
        <w:t>]</w:t>
      </w:r>
      <w:r w:rsidRPr="002E45D4">
        <w:rPr>
          <w:sz w:val="24"/>
          <w:szCs w:val="24"/>
          <w:lang w:val="en-US"/>
        </w:rPr>
        <w:t xml:space="preserve"> states;</w:t>
      </w:r>
    </w:p>
    <w:p w:rsidR="00E7051F" w:rsidRPr="00151F5F" w:rsidRDefault="00E7051F" w:rsidP="002E45D4">
      <w:pPr>
        <w:pStyle w:val="NoSpacing"/>
        <w:jc w:val="both"/>
        <w:rPr>
          <w:sz w:val="22"/>
          <w:lang w:val="en-US"/>
        </w:rPr>
      </w:pPr>
      <w:r w:rsidRPr="002E45D4">
        <w:rPr>
          <w:sz w:val="24"/>
          <w:szCs w:val="24"/>
          <w:lang w:val="en-US"/>
        </w:rPr>
        <w:tab/>
      </w:r>
      <w:r w:rsidRPr="00151F5F">
        <w:rPr>
          <w:sz w:val="22"/>
          <w:lang w:val="en-US"/>
        </w:rPr>
        <w:t>“Subject to this Act or any other law;</w:t>
      </w:r>
    </w:p>
    <w:p w:rsidR="00E7051F" w:rsidRPr="00151F5F" w:rsidRDefault="00E7051F" w:rsidP="002E45D4">
      <w:pPr>
        <w:pStyle w:val="NoSpacing"/>
        <w:ind w:left="1440" w:hanging="720"/>
        <w:jc w:val="both"/>
        <w:rPr>
          <w:sz w:val="22"/>
          <w:lang w:val="en-US"/>
        </w:rPr>
      </w:pPr>
      <w:r w:rsidRPr="00151F5F">
        <w:rPr>
          <w:sz w:val="22"/>
          <w:lang w:val="en-US"/>
        </w:rPr>
        <w:t>(a)</w:t>
      </w:r>
      <w:r w:rsidRPr="00151F5F">
        <w:rPr>
          <w:sz w:val="22"/>
          <w:lang w:val="en-US"/>
        </w:rPr>
        <w:tab/>
        <w:t>Th</w:t>
      </w:r>
      <w:r w:rsidR="00C65CA8" w:rsidRPr="00151F5F">
        <w:rPr>
          <w:sz w:val="22"/>
          <w:lang w:val="en-US"/>
        </w:rPr>
        <w:t>e</w:t>
      </w:r>
      <w:r w:rsidRPr="00151F5F">
        <w:rPr>
          <w:sz w:val="22"/>
          <w:lang w:val="en-US"/>
        </w:rPr>
        <w:t xml:space="preserve"> ownership of land may be conveyed from one person to another only by means of a deed of transfer executed or attested by a registrar.</w:t>
      </w:r>
    </w:p>
    <w:p w:rsidR="00E7051F" w:rsidRPr="00151F5F" w:rsidRDefault="00E7051F" w:rsidP="002E45D4">
      <w:pPr>
        <w:pStyle w:val="NoSpacing"/>
        <w:ind w:left="1440" w:hanging="720"/>
        <w:jc w:val="both"/>
        <w:rPr>
          <w:sz w:val="22"/>
          <w:lang w:val="en-US"/>
        </w:rPr>
      </w:pPr>
      <w:r w:rsidRPr="00151F5F">
        <w:rPr>
          <w:sz w:val="22"/>
          <w:lang w:val="en-US"/>
        </w:rPr>
        <w:t>(b)</w:t>
      </w:r>
      <w:r w:rsidRPr="00151F5F">
        <w:rPr>
          <w:sz w:val="22"/>
          <w:lang w:val="en-US"/>
        </w:rPr>
        <w:tab/>
      </w:r>
      <w:r w:rsidR="0070136C" w:rsidRPr="00151F5F">
        <w:rPr>
          <w:sz w:val="22"/>
          <w:lang w:val="en-US"/>
        </w:rPr>
        <w:t>Other real rights in land may be conveyed from one person to another only by means of deed of cession attested b</w:t>
      </w:r>
      <w:r w:rsidR="00C65CA8" w:rsidRPr="00151F5F">
        <w:rPr>
          <w:sz w:val="22"/>
          <w:lang w:val="en-US"/>
        </w:rPr>
        <w:t>y</w:t>
      </w:r>
      <w:r w:rsidR="0070136C" w:rsidRPr="00151F5F">
        <w:rPr>
          <w:sz w:val="22"/>
          <w:lang w:val="en-US"/>
        </w:rPr>
        <w:t xml:space="preserve"> a notary public and registered by a registrar.”</w:t>
      </w:r>
    </w:p>
    <w:p w:rsidR="0070136C" w:rsidRPr="00151F5F" w:rsidRDefault="0070136C" w:rsidP="002E45D4">
      <w:pPr>
        <w:pStyle w:val="NoSpacing"/>
        <w:jc w:val="both"/>
        <w:rPr>
          <w:sz w:val="22"/>
          <w:lang w:val="en-US"/>
        </w:rPr>
      </w:pPr>
    </w:p>
    <w:p w:rsidR="0070136C" w:rsidRPr="002E45D4" w:rsidRDefault="00C65CA8" w:rsidP="002E45D4">
      <w:pPr>
        <w:jc w:val="both"/>
        <w:rPr>
          <w:sz w:val="24"/>
          <w:szCs w:val="24"/>
          <w:lang w:val="en-US"/>
        </w:rPr>
      </w:pPr>
      <w:r w:rsidRPr="002E45D4">
        <w:rPr>
          <w:sz w:val="24"/>
          <w:szCs w:val="24"/>
          <w:lang w:val="en-US"/>
        </w:rPr>
        <w:tab/>
        <w:t xml:space="preserve">To the extent that the respondent has not produced a deed of transfer or deed of cession, he can therefore not claim that the property was donated to him.  In </w:t>
      </w:r>
      <w:r w:rsidRPr="002E45D4">
        <w:rPr>
          <w:i/>
          <w:sz w:val="24"/>
          <w:szCs w:val="24"/>
          <w:lang w:val="en-US"/>
        </w:rPr>
        <w:t>Chedgelaw Tobacco Co (Pvt) Ltd and Peacey Estates (Pvt) Ltd</w:t>
      </w:r>
      <w:r w:rsidRPr="002E45D4">
        <w:rPr>
          <w:sz w:val="24"/>
          <w:szCs w:val="24"/>
          <w:lang w:val="en-US"/>
        </w:rPr>
        <w:t xml:space="preserve"> v </w:t>
      </w:r>
      <w:r w:rsidRPr="002E45D4">
        <w:rPr>
          <w:i/>
          <w:sz w:val="24"/>
          <w:szCs w:val="24"/>
          <w:lang w:val="en-US"/>
        </w:rPr>
        <w:t>George Makanga Daka</w:t>
      </w:r>
      <w:r w:rsidR="005A6563" w:rsidRPr="002E45D4">
        <w:rPr>
          <w:sz w:val="24"/>
          <w:szCs w:val="24"/>
          <w:lang w:val="en-US"/>
        </w:rPr>
        <w:t xml:space="preserve"> HH-385-20, the court said;</w:t>
      </w:r>
    </w:p>
    <w:p w:rsidR="005A6563" w:rsidRPr="00151F5F" w:rsidRDefault="005A6563" w:rsidP="002E45D4">
      <w:pPr>
        <w:pStyle w:val="NoSpacing"/>
        <w:ind w:left="720"/>
        <w:jc w:val="both"/>
        <w:rPr>
          <w:sz w:val="22"/>
          <w:lang w:val="en-US"/>
        </w:rPr>
      </w:pPr>
      <w:r w:rsidRPr="00151F5F">
        <w:rPr>
          <w:sz w:val="22"/>
          <w:lang w:val="en-US"/>
        </w:rPr>
        <w:t>“The law forbids verbal agreement</w:t>
      </w:r>
      <w:r w:rsidR="007F2B80">
        <w:rPr>
          <w:sz w:val="22"/>
          <w:lang w:val="en-US"/>
        </w:rPr>
        <w:t>s</w:t>
      </w:r>
      <w:r w:rsidRPr="00151F5F">
        <w:rPr>
          <w:sz w:val="22"/>
          <w:lang w:val="en-US"/>
        </w:rPr>
        <w:t xml:space="preserve"> where immovable property is concerned.  That is why sales of immovable property require</w:t>
      </w:r>
      <w:r w:rsidR="00FD54F8" w:rsidRPr="00151F5F">
        <w:rPr>
          <w:sz w:val="22"/>
          <w:lang w:val="en-US"/>
        </w:rPr>
        <w:t xml:space="preserve"> </w:t>
      </w:r>
      <w:r w:rsidRPr="00151F5F">
        <w:rPr>
          <w:sz w:val="22"/>
          <w:lang w:val="en-US"/>
        </w:rPr>
        <w:t>written agreements of sale.    Similarly</w:t>
      </w:r>
      <w:r w:rsidR="00EC52EE" w:rsidRPr="00151F5F">
        <w:rPr>
          <w:sz w:val="22"/>
          <w:lang w:val="en-US"/>
        </w:rPr>
        <w:t xml:space="preserve"> a donation of immovable property has to be in writing.  The term deed of donation means a written document … There can be no valid verbal donation.”</w:t>
      </w:r>
    </w:p>
    <w:p w:rsidR="00EC52EE" w:rsidRPr="002E45D4" w:rsidRDefault="00EC52EE" w:rsidP="002E45D4">
      <w:pPr>
        <w:pStyle w:val="NoSpacing"/>
        <w:jc w:val="both"/>
        <w:rPr>
          <w:sz w:val="24"/>
          <w:szCs w:val="24"/>
          <w:lang w:val="en-US"/>
        </w:rPr>
      </w:pPr>
    </w:p>
    <w:p w:rsidR="00EC52EE" w:rsidRPr="002E45D4" w:rsidRDefault="00EC52EE" w:rsidP="002E45D4">
      <w:pPr>
        <w:jc w:val="both"/>
        <w:rPr>
          <w:sz w:val="24"/>
          <w:szCs w:val="24"/>
          <w:lang w:val="en-US"/>
        </w:rPr>
      </w:pPr>
      <w:r w:rsidRPr="002E45D4">
        <w:rPr>
          <w:sz w:val="24"/>
          <w:szCs w:val="24"/>
          <w:lang w:val="en-US"/>
        </w:rPr>
        <w:tab/>
        <w:t xml:space="preserve">In the present matter </w:t>
      </w:r>
      <w:r w:rsidR="007F2B80">
        <w:rPr>
          <w:sz w:val="24"/>
          <w:szCs w:val="24"/>
          <w:lang w:val="en-US"/>
        </w:rPr>
        <w:t xml:space="preserve">since </w:t>
      </w:r>
      <w:r w:rsidRPr="002E45D4">
        <w:rPr>
          <w:sz w:val="24"/>
          <w:szCs w:val="24"/>
          <w:lang w:val="en-US"/>
        </w:rPr>
        <w:t>the re</w:t>
      </w:r>
      <w:r w:rsidR="007038C3" w:rsidRPr="002E45D4">
        <w:rPr>
          <w:sz w:val="24"/>
          <w:szCs w:val="24"/>
          <w:lang w:val="en-US"/>
        </w:rPr>
        <w:t>s</w:t>
      </w:r>
      <w:r w:rsidRPr="002E45D4">
        <w:rPr>
          <w:sz w:val="24"/>
          <w:szCs w:val="24"/>
          <w:lang w:val="en-US"/>
        </w:rPr>
        <w:t xml:space="preserve">pondent has not placed any tangible proof of a donation before me, my view is that in the contemplation of law, the donation he speaks of is a nullity.  The defence cannot stand – see </w:t>
      </w:r>
      <w:r w:rsidRPr="002E45D4">
        <w:rPr>
          <w:i/>
          <w:sz w:val="24"/>
          <w:szCs w:val="24"/>
          <w:lang w:val="en-US"/>
        </w:rPr>
        <w:t>Benjamin Leonard</w:t>
      </w:r>
      <w:r w:rsidRPr="002E45D4">
        <w:rPr>
          <w:sz w:val="24"/>
          <w:szCs w:val="24"/>
          <w:lang w:val="en-US"/>
        </w:rPr>
        <w:t xml:space="preserve"> </w:t>
      </w:r>
      <w:r w:rsidRPr="002E45D4">
        <w:rPr>
          <w:i/>
          <w:sz w:val="24"/>
          <w:szCs w:val="24"/>
          <w:lang w:val="en-US"/>
        </w:rPr>
        <w:t>Macfay</w:t>
      </w:r>
      <w:r w:rsidRPr="002E45D4">
        <w:rPr>
          <w:sz w:val="24"/>
          <w:szCs w:val="24"/>
          <w:lang w:val="en-US"/>
        </w:rPr>
        <w:t xml:space="preserve"> v </w:t>
      </w:r>
      <w:r w:rsidRPr="002E45D4">
        <w:rPr>
          <w:i/>
          <w:sz w:val="24"/>
          <w:szCs w:val="24"/>
          <w:lang w:val="en-US"/>
        </w:rPr>
        <w:t>United Africa Co. Ltd</w:t>
      </w:r>
      <w:r w:rsidR="007038C3" w:rsidRPr="002E45D4">
        <w:rPr>
          <w:sz w:val="24"/>
          <w:szCs w:val="24"/>
          <w:lang w:val="en-US"/>
        </w:rPr>
        <w:t xml:space="preserve"> 1962 AC 152 at 160, where it was stated </w:t>
      </w:r>
      <w:r w:rsidR="007038C3" w:rsidRPr="002E45D4">
        <w:rPr>
          <w:i/>
          <w:sz w:val="24"/>
          <w:szCs w:val="24"/>
          <w:lang w:val="en-US"/>
        </w:rPr>
        <w:t xml:space="preserve">inter alia </w:t>
      </w:r>
      <w:r w:rsidR="007038C3" w:rsidRPr="002E45D4">
        <w:rPr>
          <w:sz w:val="24"/>
          <w:szCs w:val="24"/>
          <w:lang w:val="en-US"/>
        </w:rPr>
        <w:t>that “… you cannot put something on nothing</w:t>
      </w:r>
      <w:r w:rsidR="00C47765" w:rsidRPr="002E45D4">
        <w:rPr>
          <w:sz w:val="24"/>
          <w:szCs w:val="24"/>
          <w:lang w:val="en-US"/>
        </w:rPr>
        <w:t xml:space="preserve"> and expect it to stand, it will collapse.”</w:t>
      </w:r>
    </w:p>
    <w:p w:rsidR="00C47765" w:rsidRPr="002E45D4" w:rsidRDefault="00C47765" w:rsidP="00151F5F">
      <w:pPr>
        <w:spacing w:after="0"/>
        <w:ind w:firstLine="720"/>
        <w:jc w:val="both"/>
        <w:rPr>
          <w:sz w:val="24"/>
          <w:szCs w:val="24"/>
          <w:lang w:val="en-US"/>
        </w:rPr>
      </w:pPr>
      <w:r w:rsidRPr="002E45D4">
        <w:rPr>
          <w:sz w:val="24"/>
          <w:szCs w:val="24"/>
          <w:lang w:val="en-US"/>
        </w:rPr>
        <w:lastRenderedPageBreak/>
        <w:t>It is also clear that even if the donation had been done in terms of the law, the application on the basis of gross ingratitude.  The respondent’s act of accusing his parents of witchcraft amount</w:t>
      </w:r>
      <w:r w:rsidR="007F2B80">
        <w:rPr>
          <w:sz w:val="24"/>
          <w:szCs w:val="24"/>
          <w:lang w:val="en-US"/>
        </w:rPr>
        <w:t>s</w:t>
      </w:r>
      <w:r w:rsidRPr="002E45D4">
        <w:rPr>
          <w:sz w:val="24"/>
          <w:szCs w:val="24"/>
          <w:lang w:val="en-US"/>
        </w:rPr>
        <w:t xml:space="preserve"> in my view to gross ingratitude which is a justifiable circumstance for revoking a donation.  In the result, I find that the respondent has no </w:t>
      </w:r>
      <w:r w:rsidRPr="002E45D4">
        <w:rPr>
          <w:i/>
          <w:sz w:val="24"/>
          <w:szCs w:val="24"/>
          <w:lang w:val="en-US"/>
        </w:rPr>
        <w:t>bona fide</w:t>
      </w:r>
      <w:r w:rsidRPr="002E45D4">
        <w:rPr>
          <w:sz w:val="24"/>
          <w:szCs w:val="24"/>
          <w:lang w:val="en-US"/>
        </w:rPr>
        <w:t xml:space="preserve"> defence to the claim by the applicants.  The defence is not permissible to defeat the applicants’ claim.</w:t>
      </w:r>
    </w:p>
    <w:p w:rsidR="00C47765" w:rsidRPr="002E45D4" w:rsidRDefault="00C47765" w:rsidP="00151F5F">
      <w:pPr>
        <w:spacing w:after="0"/>
        <w:jc w:val="both"/>
        <w:rPr>
          <w:sz w:val="24"/>
          <w:szCs w:val="24"/>
          <w:lang w:val="en-US"/>
        </w:rPr>
      </w:pPr>
      <w:r w:rsidRPr="002E45D4">
        <w:rPr>
          <w:sz w:val="24"/>
          <w:szCs w:val="24"/>
          <w:lang w:val="en-US"/>
        </w:rPr>
        <w:tab/>
        <w:t>As regards costs, the applicants prayed that upon the application being</w:t>
      </w:r>
      <w:r w:rsidR="00A17993" w:rsidRPr="002E45D4">
        <w:rPr>
          <w:sz w:val="24"/>
          <w:szCs w:val="24"/>
          <w:lang w:val="en-US"/>
        </w:rPr>
        <w:t xml:space="preserve"> granted, costs on an attorney and client scale be awarded against the respondent.  In </w:t>
      </w:r>
      <w:r w:rsidR="00A17993" w:rsidRPr="002E45D4">
        <w:rPr>
          <w:i/>
          <w:sz w:val="24"/>
          <w:szCs w:val="24"/>
          <w:lang w:val="en-US"/>
        </w:rPr>
        <w:t>Engineering Management Services</w:t>
      </w:r>
      <w:r w:rsidR="00A17993" w:rsidRPr="002E45D4">
        <w:rPr>
          <w:sz w:val="24"/>
          <w:szCs w:val="24"/>
          <w:lang w:val="en-US"/>
        </w:rPr>
        <w:t xml:space="preserve"> v </w:t>
      </w:r>
      <w:r w:rsidR="00A17993" w:rsidRPr="002E45D4">
        <w:rPr>
          <w:i/>
          <w:sz w:val="24"/>
          <w:szCs w:val="24"/>
          <w:lang w:val="en-US"/>
        </w:rPr>
        <w:t>South Cape Corp</w:t>
      </w:r>
      <w:r w:rsidR="00A17993" w:rsidRPr="002E45D4">
        <w:rPr>
          <w:sz w:val="24"/>
          <w:szCs w:val="24"/>
          <w:lang w:val="en-US"/>
        </w:rPr>
        <w:t xml:space="preserve"> 1979 (3) SA 1341 at p 1344-45, </w:t>
      </w:r>
      <w:r w:rsidR="00A17993" w:rsidRPr="00151F5F">
        <w:rPr>
          <w:smallCaps/>
          <w:sz w:val="24"/>
          <w:szCs w:val="24"/>
          <w:lang w:val="en-US"/>
        </w:rPr>
        <w:t>Nicholas</w:t>
      </w:r>
      <w:r w:rsidR="00A17993" w:rsidRPr="002E45D4">
        <w:rPr>
          <w:sz w:val="24"/>
          <w:szCs w:val="24"/>
          <w:lang w:val="en-US"/>
        </w:rPr>
        <w:t xml:space="preserve"> J had this to say;</w:t>
      </w:r>
    </w:p>
    <w:p w:rsidR="00A17993" w:rsidRPr="00151F5F" w:rsidRDefault="00A17993" w:rsidP="002E45D4">
      <w:pPr>
        <w:pStyle w:val="NoSpacing"/>
        <w:ind w:left="720"/>
        <w:jc w:val="both"/>
        <w:rPr>
          <w:sz w:val="22"/>
          <w:lang w:val="en-US"/>
        </w:rPr>
      </w:pPr>
      <w:r w:rsidRPr="00151F5F">
        <w:rPr>
          <w:sz w:val="22"/>
          <w:lang w:val="en-US"/>
        </w:rPr>
        <w:t>“In almost every defended action the successful litigant is put to exp</w:t>
      </w:r>
      <w:r w:rsidR="007F2B80">
        <w:rPr>
          <w:sz w:val="22"/>
          <w:lang w:val="en-US"/>
        </w:rPr>
        <w:t>ense</w:t>
      </w:r>
      <w:r w:rsidRPr="00151F5F">
        <w:rPr>
          <w:sz w:val="22"/>
          <w:lang w:val="en-US"/>
        </w:rPr>
        <w:t>, which, in th</w:t>
      </w:r>
      <w:r w:rsidR="00F71C2B" w:rsidRPr="00151F5F">
        <w:rPr>
          <w:sz w:val="22"/>
          <w:lang w:val="en-US"/>
        </w:rPr>
        <w:t>e</w:t>
      </w:r>
      <w:r w:rsidRPr="00151F5F">
        <w:rPr>
          <w:sz w:val="22"/>
          <w:lang w:val="en-US"/>
        </w:rPr>
        <w:t xml:space="preserve"> result</w:t>
      </w:r>
      <w:r w:rsidR="00F71C2B" w:rsidRPr="00151F5F">
        <w:rPr>
          <w:sz w:val="22"/>
          <w:lang w:val="en-US"/>
        </w:rPr>
        <w:t xml:space="preserve"> is seen to be unnecessary.  But it is only where such unnecessary expense is something which</w:t>
      </w:r>
      <w:r w:rsidR="001C6A11" w:rsidRPr="00151F5F">
        <w:rPr>
          <w:sz w:val="22"/>
          <w:lang w:val="en-US"/>
        </w:rPr>
        <w:t xml:space="preserve"> in the result is seen to be unnecessary.  But it is only where such unnecessary expense is something which he “ought not to bear” that a special order for costs will be made.  It seems to me that generally speaking a situation will exist where the unsuccessful party has acted unreasonably in his conduct of the litigation or where his conduct is some way reprehensible.”</w:t>
      </w:r>
    </w:p>
    <w:p w:rsidR="00EE1B25" w:rsidRPr="002E45D4" w:rsidRDefault="00EE1B25" w:rsidP="002E45D4">
      <w:pPr>
        <w:pStyle w:val="NoSpacing"/>
        <w:jc w:val="both"/>
        <w:rPr>
          <w:sz w:val="24"/>
          <w:szCs w:val="24"/>
          <w:lang w:val="en-US"/>
        </w:rPr>
      </w:pPr>
    </w:p>
    <w:p w:rsidR="00EE1B25" w:rsidRPr="002E45D4" w:rsidRDefault="00EE1B25" w:rsidP="002E45D4">
      <w:pPr>
        <w:jc w:val="both"/>
        <w:rPr>
          <w:sz w:val="24"/>
          <w:szCs w:val="24"/>
          <w:lang w:val="en-US"/>
        </w:rPr>
      </w:pPr>
      <w:r w:rsidRPr="002E45D4">
        <w:rPr>
          <w:sz w:val="24"/>
          <w:szCs w:val="24"/>
          <w:lang w:val="en-US"/>
        </w:rPr>
        <w:tab/>
        <w:t xml:space="preserve">See also </w:t>
      </w:r>
      <w:r w:rsidR="00151F5F" w:rsidRPr="002E45D4">
        <w:rPr>
          <w:i/>
          <w:sz w:val="24"/>
          <w:szCs w:val="24"/>
          <w:lang w:val="en-US"/>
        </w:rPr>
        <w:t>T</w:t>
      </w:r>
      <w:r w:rsidR="00151F5F">
        <w:rPr>
          <w:i/>
          <w:sz w:val="24"/>
          <w:szCs w:val="24"/>
          <w:lang w:val="en-US"/>
        </w:rPr>
        <w:t xml:space="preserve"> </w:t>
      </w:r>
      <w:r w:rsidR="00151F5F" w:rsidRPr="002E45D4">
        <w:rPr>
          <w:i/>
          <w:sz w:val="24"/>
          <w:szCs w:val="24"/>
          <w:lang w:val="en-US"/>
        </w:rPr>
        <w:t>M</w:t>
      </w:r>
      <w:r w:rsidR="00151F5F">
        <w:rPr>
          <w:i/>
          <w:sz w:val="24"/>
          <w:szCs w:val="24"/>
          <w:lang w:val="en-US"/>
        </w:rPr>
        <w:t xml:space="preserve"> </w:t>
      </w:r>
      <w:r w:rsidR="00151F5F" w:rsidRPr="002E45D4">
        <w:rPr>
          <w:i/>
          <w:sz w:val="24"/>
          <w:szCs w:val="24"/>
          <w:lang w:val="en-US"/>
        </w:rPr>
        <w:t>Supermarket</w:t>
      </w:r>
      <w:r w:rsidRPr="002E45D4">
        <w:rPr>
          <w:i/>
          <w:sz w:val="24"/>
          <w:szCs w:val="24"/>
          <w:lang w:val="en-US"/>
        </w:rPr>
        <w:t xml:space="preserve"> (Pvt) Ltd</w:t>
      </w:r>
      <w:r w:rsidRPr="002E45D4">
        <w:rPr>
          <w:sz w:val="24"/>
          <w:szCs w:val="24"/>
          <w:lang w:val="en-US"/>
        </w:rPr>
        <w:t xml:space="preserve"> v </w:t>
      </w:r>
      <w:r w:rsidRPr="002E45D4">
        <w:rPr>
          <w:i/>
          <w:sz w:val="24"/>
          <w:szCs w:val="24"/>
          <w:lang w:val="en-US"/>
        </w:rPr>
        <w:t>Chadcombe Properties (Pvt) Ltd</w:t>
      </w:r>
      <w:r w:rsidRPr="002E45D4">
        <w:rPr>
          <w:sz w:val="24"/>
          <w:szCs w:val="24"/>
          <w:lang w:val="en-US"/>
        </w:rPr>
        <w:t xml:space="preserve"> 2010 (1) ZLR 196 (H).</w:t>
      </w:r>
    </w:p>
    <w:p w:rsidR="007F2B80" w:rsidRDefault="00EE1B25" w:rsidP="002E45D4">
      <w:pPr>
        <w:jc w:val="both"/>
        <w:rPr>
          <w:sz w:val="24"/>
          <w:szCs w:val="24"/>
          <w:lang w:val="en-US"/>
        </w:rPr>
      </w:pPr>
      <w:r w:rsidRPr="002E45D4">
        <w:rPr>
          <w:sz w:val="24"/>
          <w:szCs w:val="24"/>
          <w:lang w:val="en-US"/>
        </w:rPr>
        <w:tab/>
        <w:t xml:space="preserve">There is no doubt that applicants have been compelled to incur legal costs in pursuing their rights in this matter.  It does not appear to me that there are compelling reasons why the applicants should be put out of pocket as a result of this litigation.  However, as regards the scale, I am of the view that </w:t>
      </w:r>
      <w:r w:rsidR="007F2B80">
        <w:rPr>
          <w:sz w:val="24"/>
          <w:szCs w:val="24"/>
          <w:lang w:val="en-US"/>
        </w:rPr>
        <w:t>t</w:t>
      </w:r>
      <w:r w:rsidRPr="002E45D4">
        <w:rPr>
          <w:sz w:val="24"/>
          <w:szCs w:val="24"/>
          <w:lang w:val="en-US"/>
        </w:rPr>
        <w:t>he respondent’s conduct cannot be described as reprehensible in light of his erroneous belief that he was entitled to compensation for the improvement</w:t>
      </w:r>
      <w:r w:rsidR="002E45D4" w:rsidRPr="002E45D4">
        <w:rPr>
          <w:sz w:val="24"/>
          <w:szCs w:val="24"/>
          <w:lang w:val="en-US"/>
        </w:rPr>
        <w:t>s</w:t>
      </w:r>
      <w:r w:rsidRPr="002E45D4">
        <w:rPr>
          <w:sz w:val="24"/>
          <w:szCs w:val="24"/>
          <w:lang w:val="en-US"/>
        </w:rPr>
        <w:t xml:space="preserve"> he made on the property over the y</w:t>
      </w:r>
      <w:r w:rsidR="00F836A1" w:rsidRPr="002E45D4">
        <w:rPr>
          <w:sz w:val="24"/>
          <w:szCs w:val="24"/>
          <w:lang w:val="en-US"/>
        </w:rPr>
        <w:t>e</w:t>
      </w:r>
      <w:r w:rsidRPr="002E45D4">
        <w:rPr>
          <w:sz w:val="24"/>
          <w:szCs w:val="24"/>
          <w:lang w:val="en-US"/>
        </w:rPr>
        <w:t xml:space="preserve">ars.  The error he made was to fail to file a counter claim against his parents.  Further during the hearing defendant did not </w:t>
      </w:r>
      <w:r w:rsidR="00F836A1" w:rsidRPr="002E45D4">
        <w:rPr>
          <w:sz w:val="24"/>
          <w:szCs w:val="24"/>
          <w:lang w:val="en-US"/>
        </w:rPr>
        <w:t>put up a spirited fight</w:t>
      </w:r>
      <w:r w:rsidR="007F2B80">
        <w:rPr>
          <w:sz w:val="24"/>
          <w:szCs w:val="24"/>
          <w:lang w:val="en-US"/>
        </w:rPr>
        <w:t>.</w:t>
      </w:r>
      <w:r w:rsidR="00F836A1" w:rsidRPr="002E45D4">
        <w:rPr>
          <w:sz w:val="24"/>
          <w:szCs w:val="24"/>
          <w:lang w:val="en-US"/>
        </w:rPr>
        <w:t xml:space="preserve"> </w:t>
      </w:r>
    </w:p>
    <w:p w:rsidR="00F836A1" w:rsidRPr="002E45D4" w:rsidRDefault="00F836A1" w:rsidP="002E45D4">
      <w:pPr>
        <w:jc w:val="both"/>
        <w:rPr>
          <w:b/>
          <w:sz w:val="24"/>
          <w:szCs w:val="24"/>
          <w:lang w:val="en-US"/>
        </w:rPr>
      </w:pPr>
      <w:r w:rsidRPr="002E45D4">
        <w:rPr>
          <w:b/>
          <w:sz w:val="24"/>
          <w:szCs w:val="24"/>
          <w:lang w:val="en-US"/>
        </w:rPr>
        <w:t>Disposition</w:t>
      </w:r>
    </w:p>
    <w:p w:rsidR="00F836A1" w:rsidRPr="002E45D4" w:rsidRDefault="00F836A1" w:rsidP="002E45D4">
      <w:pPr>
        <w:jc w:val="both"/>
        <w:rPr>
          <w:sz w:val="24"/>
          <w:szCs w:val="24"/>
          <w:lang w:val="en-US"/>
        </w:rPr>
      </w:pPr>
      <w:r w:rsidRPr="002E45D4">
        <w:rPr>
          <w:sz w:val="24"/>
          <w:szCs w:val="24"/>
          <w:lang w:val="en-US"/>
        </w:rPr>
        <w:tab/>
        <w:t>In the result, it is ordered that summary judgment be and is hereby entered against the respondent as follows;</w:t>
      </w:r>
    </w:p>
    <w:p w:rsidR="00F836A1" w:rsidRPr="002E45D4" w:rsidRDefault="00F836A1" w:rsidP="002E45D4">
      <w:pPr>
        <w:ind w:left="1440" w:hanging="720"/>
        <w:jc w:val="both"/>
        <w:rPr>
          <w:sz w:val="24"/>
          <w:szCs w:val="24"/>
          <w:lang w:val="en-US"/>
        </w:rPr>
      </w:pPr>
      <w:r w:rsidRPr="002E45D4">
        <w:rPr>
          <w:sz w:val="24"/>
          <w:szCs w:val="24"/>
          <w:lang w:val="en-US"/>
        </w:rPr>
        <w:t>1.</w:t>
      </w:r>
      <w:r w:rsidRPr="002E45D4">
        <w:rPr>
          <w:sz w:val="24"/>
          <w:szCs w:val="24"/>
          <w:lang w:val="en-US"/>
        </w:rPr>
        <w:tab/>
        <w:t xml:space="preserve">An order for the </w:t>
      </w:r>
      <w:r w:rsidR="006B2B7A">
        <w:rPr>
          <w:sz w:val="24"/>
          <w:szCs w:val="24"/>
          <w:lang w:val="en-US"/>
        </w:rPr>
        <w:t>evi</w:t>
      </w:r>
      <w:r w:rsidRPr="002E45D4">
        <w:rPr>
          <w:sz w:val="24"/>
          <w:szCs w:val="24"/>
          <w:lang w:val="en-US"/>
        </w:rPr>
        <w:t>ction of respondent</w:t>
      </w:r>
      <w:r w:rsidR="006B2B7A">
        <w:rPr>
          <w:sz w:val="24"/>
          <w:szCs w:val="24"/>
          <w:lang w:val="en-US"/>
        </w:rPr>
        <w:t xml:space="preserve"> </w:t>
      </w:r>
      <w:r w:rsidRPr="002E45D4">
        <w:rPr>
          <w:sz w:val="24"/>
          <w:szCs w:val="24"/>
          <w:lang w:val="en-US"/>
        </w:rPr>
        <w:t>and all those who claim occupation through him together with th</w:t>
      </w:r>
      <w:r w:rsidR="0026237A" w:rsidRPr="002E45D4">
        <w:rPr>
          <w:sz w:val="24"/>
          <w:szCs w:val="24"/>
          <w:lang w:val="en-US"/>
        </w:rPr>
        <w:t>e</w:t>
      </w:r>
      <w:r w:rsidRPr="002E45D4">
        <w:rPr>
          <w:sz w:val="24"/>
          <w:szCs w:val="24"/>
          <w:lang w:val="en-US"/>
        </w:rPr>
        <w:t>ir chatels, goods and possessions from sub-division 4 of Fres</w:t>
      </w:r>
      <w:r w:rsidR="00AA67A3" w:rsidRPr="002E45D4">
        <w:rPr>
          <w:sz w:val="24"/>
          <w:szCs w:val="24"/>
          <w:lang w:val="en-US"/>
        </w:rPr>
        <w:t xml:space="preserve">naye </w:t>
      </w:r>
      <w:r w:rsidRPr="002E45D4">
        <w:rPr>
          <w:sz w:val="24"/>
          <w:szCs w:val="24"/>
          <w:lang w:val="en-US"/>
        </w:rPr>
        <w:t>situate in the D</w:t>
      </w:r>
      <w:r w:rsidR="0026237A" w:rsidRPr="002E45D4">
        <w:rPr>
          <w:sz w:val="24"/>
          <w:szCs w:val="24"/>
          <w:lang w:val="en-US"/>
        </w:rPr>
        <w:t>istrict of Umzingwane also known as plot 4, Worringham, Umguza being an immovable property that the applicants own and that the respondent occupied at the applicants’ benevolence which benevolence respondent has spurned or abused.</w:t>
      </w:r>
    </w:p>
    <w:p w:rsidR="0026237A" w:rsidRPr="002E45D4" w:rsidRDefault="0026237A" w:rsidP="002E45D4">
      <w:pPr>
        <w:jc w:val="both"/>
        <w:rPr>
          <w:sz w:val="24"/>
          <w:szCs w:val="24"/>
          <w:lang w:val="en-US"/>
        </w:rPr>
      </w:pPr>
      <w:r w:rsidRPr="002E45D4">
        <w:rPr>
          <w:sz w:val="24"/>
          <w:szCs w:val="24"/>
          <w:lang w:val="en-US"/>
        </w:rPr>
        <w:lastRenderedPageBreak/>
        <w:tab/>
        <w:t>2.</w:t>
      </w:r>
      <w:r w:rsidRPr="002E45D4">
        <w:rPr>
          <w:sz w:val="24"/>
          <w:szCs w:val="24"/>
          <w:lang w:val="en-US"/>
        </w:rPr>
        <w:tab/>
        <w:t>Respondent to pay applicants’ costs of suit at the ordinary scale.</w:t>
      </w:r>
    </w:p>
    <w:p w:rsidR="0026237A" w:rsidRPr="002E45D4" w:rsidRDefault="0026237A" w:rsidP="002E45D4">
      <w:pPr>
        <w:jc w:val="both"/>
        <w:rPr>
          <w:sz w:val="24"/>
          <w:szCs w:val="24"/>
          <w:lang w:val="en-US"/>
        </w:rPr>
      </w:pPr>
    </w:p>
    <w:p w:rsidR="0026237A" w:rsidRPr="002E45D4" w:rsidRDefault="0026237A" w:rsidP="002E45D4">
      <w:pPr>
        <w:jc w:val="both"/>
        <w:rPr>
          <w:sz w:val="24"/>
          <w:szCs w:val="24"/>
          <w:lang w:val="en-US"/>
        </w:rPr>
      </w:pPr>
    </w:p>
    <w:p w:rsidR="0026237A" w:rsidRPr="002E45D4" w:rsidRDefault="0026237A" w:rsidP="002E45D4">
      <w:pPr>
        <w:pStyle w:val="NoSpacing"/>
        <w:jc w:val="both"/>
        <w:rPr>
          <w:sz w:val="24"/>
          <w:szCs w:val="24"/>
          <w:lang w:val="en-US"/>
        </w:rPr>
      </w:pPr>
      <w:r w:rsidRPr="002E45D4">
        <w:rPr>
          <w:i/>
          <w:sz w:val="24"/>
          <w:szCs w:val="24"/>
          <w:lang w:val="en-US"/>
        </w:rPr>
        <w:t>Ncube Attorneys</w:t>
      </w:r>
      <w:r w:rsidRPr="002E45D4">
        <w:rPr>
          <w:sz w:val="24"/>
          <w:szCs w:val="24"/>
          <w:lang w:val="en-US"/>
        </w:rPr>
        <w:t>, applicants’ legal practitioners</w:t>
      </w:r>
    </w:p>
    <w:sectPr w:rsidR="0026237A" w:rsidRPr="002E45D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395" w:rsidRDefault="00902395" w:rsidP="0026237A">
      <w:pPr>
        <w:spacing w:after="0" w:line="240" w:lineRule="auto"/>
      </w:pPr>
      <w:r>
        <w:separator/>
      </w:r>
    </w:p>
  </w:endnote>
  <w:endnote w:type="continuationSeparator" w:id="0">
    <w:p w:rsidR="00902395" w:rsidRDefault="00902395" w:rsidP="0026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395" w:rsidRDefault="00902395" w:rsidP="0026237A">
      <w:pPr>
        <w:spacing w:after="0" w:line="240" w:lineRule="auto"/>
      </w:pPr>
      <w:r>
        <w:separator/>
      </w:r>
    </w:p>
  </w:footnote>
  <w:footnote w:type="continuationSeparator" w:id="0">
    <w:p w:rsidR="00902395" w:rsidRDefault="00902395" w:rsidP="00262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658006"/>
      <w:docPartObj>
        <w:docPartGallery w:val="Page Numbers (Top of Page)"/>
        <w:docPartUnique/>
      </w:docPartObj>
    </w:sdtPr>
    <w:sdtEndPr>
      <w:rPr>
        <w:rFonts w:asciiTheme="minorHAnsi" w:hAnsiTheme="minorHAnsi" w:cstheme="minorHAnsi"/>
        <w:noProof/>
        <w:sz w:val="24"/>
        <w:szCs w:val="24"/>
      </w:rPr>
    </w:sdtEndPr>
    <w:sdtContent>
      <w:p w:rsidR="0026237A" w:rsidRPr="00151F5F" w:rsidRDefault="0026237A">
        <w:pPr>
          <w:pStyle w:val="Header"/>
          <w:jc w:val="right"/>
          <w:rPr>
            <w:rFonts w:asciiTheme="minorHAnsi" w:hAnsiTheme="minorHAnsi" w:cstheme="minorHAnsi"/>
            <w:noProof/>
            <w:sz w:val="24"/>
            <w:szCs w:val="24"/>
          </w:rPr>
        </w:pPr>
        <w:r w:rsidRPr="00151F5F">
          <w:rPr>
            <w:rFonts w:asciiTheme="minorHAnsi" w:hAnsiTheme="minorHAnsi" w:cstheme="minorHAnsi"/>
            <w:sz w:val="24"/>
            <w:szCs w:val="24"/>
          </w:rPr>
          <w:fldChar w:fldCharType="begin"/>
        </w:r>
        <w:r w:rsidRPr="00151F5F">
          <w:rPr>
            <w:rFonts w:asciiTheme="minorHAnsi" w:hAnsiTheme="minorHAnsi" w:cstheme="minorHAnsi"/>
            <w:sz w:val="24"/>
            <w:szCs w:val="24"/>
          </w:rPr>
          <w:instrText xml:space="preserve"> PAGE   \* MERGEFORMAT </w:instrText>
        </w:r>
        <w:r w:rsidRPr="00151F5F">
          <w:rPr>
            <w:rFonts w:asciiTheme="minorHAnsi" w:hAnsiTheme="minorHAnsi" w:cstheme="minorHAnsi"/>
            <w:sz w:val="24"/>
            <w:szCs w:val="24"/>
          </w:rPr>
          <w:fldChar w:fldCharType="separate"/>
        </w:r>
        <w:r w:rsidR="00A807EC">
          <w:rPr>
            <w:rFonts w:asciiTheme="minorHAnsi" w:hAnsiTheme="minorHAnsi" w:cstheme="minorHAnsi"/>
            <w:noProof/>
            <w:sz w:val="24"/>
            <w:szCs w:val="24"/>
          </w:rPr>
          <w:t>5</w:t>
        </w:r>
        <w:r w:rsidRPr="00151F5F">
          <w:rPr>
            <w:rFonts w:asciiTheme="minorHAnsi" w:hAnsiTheme="minorHAnsi" w:cstheme="minorHAnsi"/>
            <w:noProof/>
            <w:sz w:val="24"/>
            <w:szCs w:val="24"/>
          </w:rPr>
          <w:fldChar w:fldCharType="end"/>
        </w:r>
      </w:p>
      <w:p w:rsidR="0026237A" w:rsidRPr="00151F5F" w:rsidRDefault="0026237A">
        <w:pPr>
          <w:pStyle w:val="Header"/>
          <w:jc w:val="right"/>
          <w:rPr>
            <w:rFonts w:asciiTheme="minorHAnsi" w:hAnsiTheme="minorHAnsi" w:cstheme="minorHAnsi"/>
            <w:noProof/>
            <w:sz w:val="24"/>
            <w:szCs w:val="24"/>
          </w:rPr>
        </w:pPr>
        <w:r w:rsidRPr="00151F5F">
          <w:rPr>
            <w:rFonts w:asciiTheme="minorHAnsi" w:hAnsiTheme="minorHAnsi" w:cstheme="minorHAnsi"/>
            <w:noProof/>
            <w:sz w:val="24"/>
            <w:szCs w:val="24"/>
          </w:rPr>
          <w:t xml:space="preserve">HB </w:t>
        </w:r>
        <w:r w:rsidR="00A807EC">
          <w:rPr>
            <w:rFonts w:asciiTheme="minorHAnsi" w:hAnsiTheme="minorHAnsi" w:cstheme="minorHAnsi"/>
            <w:noProof/>
            <w:sz w:val="24"/>
            <w:szCs w:val="24"/>
          </w:rPr>
          <w:t>209</w:t>
        </w:r>
        <w:r w:rsidRPr="00151F5F">
          <w:rPr>
            <w:rFonts w:asciiTheme="minorHAnsi" w:hAnsiTheme="minorHAnsi" w:cstheme="minorHAnsi"/>
            <w:noProof/>
            <w:sz w:val="24"/>
            <w:szCs w:val="24"/>
          </w:rPr>
          <w:t>/2</w:t>
        </w:r>
      </w:p>
      <w:p w:rsidR="0026237A" w:rsidRPr="00151F5F" w:rsidRDefault="0026237A">
        <w:pPr>
          <w:pStyle w:val="Header"/>
          <w:jc w:val="right"/>
          <w:rPr>
            <w:rFonts w:asciiTheme="minorHAnsi" w:hAnsiTheme="minorHAnsi" w:cstheme="minorHAnsi"/>
            <w:sz w:val="24"/>
            <w:szCs w:val="24"/>
          </w:rPr>
        </w:pPr>
        <w:r w:rsidRPr="00151F5F">
          <w:rPr>
            <w:rFonts w:asciiTheme="minorHAnsi" w:hAnsiTheme="minorHAnsi" w:cstheme="minorHAnsi"/>
            <w:noProof/>
            <w:sz w:val="24"/>
            <w:szCs w:val="24"/>
          </w:rPr>
          <w:t>HC 393/22</w:t>
        </w:r>
      </w:p>
    </w:sdtContent>
  </w:sdt>
  <w:p w:rsidR="0026237A" w:rsidRDefault="00262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9E"/>
    <w:rsid w:val="00151F5F"/>
    <w:rsid w:val="001557E5"/>
    <w:rsid w:val="001C6A11"/>
    <w:rsid w:val="001F3AF9"/>
    <w:rsid w:val="002225E5"/>
    <w:rsid w:val="0026237A"/>
    <w:rsid w:val="002E1808"/>
    <w:rsid w:val="002E45D4"/>
    <w:rsid w:val="00397826"/>
    <w:rsid w:val="00520AC9"/>
    <w:rsid w:val="005727A1"/>
    <w:rsid w:val="005A6563"/>
    <w:rsid w:val="00622B13"/>
    <w:rsid w:val="006B2B7A"/>
    <w:rsid w:val="0070136C"/>
    <w:rsid w:val="007038C3"/>
    <w:rsid w:val="00706C9E"/>
    <w:rsid w:val="00743EDD"/>
    <w:rsid w:val="00776401"/>
    <w:rsid w:val="00780AC0"/>
    <w:rsid w:val="007C6477"/>
    <w:rsid w:val="007F2B80"/>
    <w:rsid w:val="00803AAC"/>
    <w:rsid w:val="008A7584"/>
    <w:rsid w:val="00902395"/>
    <w:rsid w:val="00A17993"/>
    <w:rsid w:val="00A807EC"/>
    <w:rsid w:val="00AA67A3"/>
    <w:rsid w:val="00AC564A"/>
    <w:rsid w:val="00B044E0"/>
    <w:rsid w:val="00B73C19"/>
    <w:rsid w:val="00B75AC5"/>
    <w:rsid w:val="00BD4512"/>
    <w:rsid w:val="00C47765"/>
    <w:rsid w:val="00C65CA8"/>
    <w:rsid w:val="00CC5279"/>
    <w:rsid w:val="00CF7BC6"/>
    <w:rsid w:val="00D42DFC"/>
    <w:rsid w:val="00DE31B7"/>
    <w:rsid w:val="00E7051F"/>
    <w:rsid w:val="00EC52EE"/>
    <w:rsid w:val="00EE1B25"/>
    <w:rsid w:val="00F524EE"/>
    <w:rsid w:val="00F71C2B"/>
    <w:rsid w:val="00F836A1"/>
    <w:rsid w:val="00F933D3"/>
    <w:rsid w:val="00FA18D6"/>
    <w:rsid w:val="00FD54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41F7F-E023-4349-8470-51522BEE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9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C9E"/>
    <w:pPr>
      <w:spacing w:after="0" w:line="240" w:lineRule="auto"/>
    </w:pPr>
    <w:rPr>
      <w:rFonts w:ascii="Times New Roman" w:hAnsi="Times New Roman"/>
      <w:sz w:val="28"/>
    </w:rPr>
  </w:style>
  <w:style w:type="paragraph" w:styleId="Header">
    <w:name w:val="header"/>
    <w:basedOn w:val="Normal"/>
    <w:link w:val="HeaderChar"/>
    <w:uiPriority w:val="99"/>
    <w:unhideWhenUsed/>
    <w:rsid w:val="00262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37A"/>
    <w:rPr>
      <w:rFonts w:ascii="Times New Roman" w:hAnsi="Times New Roman"/>
      <w:sz w:val="28"/>
    </w:rPr>
  </w:style>
  <w:style w:type="paragraph" w:styleId="Footer">
    <w:name w:val="footer"/>
    <w:basedOn w:val="Normal"/>
    <w:link w:val="FooterChar"/>
    <w:uiPriority w:val="99"/>
    <w:unhideWhenUsed/>
    <w:rsid w:val="00262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37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dcterms:created xsi:type="dcterms:W3CDTF">2023-10-03T10:18:00Z</dcterms:created>
  <dcterms:modified xsi:type="dcterms:W3CDTF">2023-10-12T09:10:00Z</dcterms:modified>
</cp:coreProperties>
</file>