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16" w:rsidRDefault="00B63F89" w:rsidP="00B63F89">
      <w:pPr>
        <w:spacing w:line="360" w:lineRule="auto"/>
        <w:jc w:val="both"/>
        <w:rPr>
          <w:b/>
          <w:sz w:val="28"/>
          <w:szCs w:val="28"/>
        </w:rPr>
      </w:pPr>
      <w:bookmarkStart w:id="0" w:name="_GoBack"/>
      <w:bookmarkEnd w:id="0"/>
      <w:r>
        <w:rPr>
          <w:b/>
          <w:sz w:val="28"/>
          <w:szCs w:val="28"/>
        </w:rPr>
        <w:t>I</w:t>
      </w:r>
      <w:r w:rsidR="00CC295A">
        <w:rPr>
          <w:b/>
          <w:sz w:val="28"/>
          <w:szCs w:val="28"/>
        </w:rPr>
        <w:t>N THE LABOUR COURT OF ZIMBABWE</w:t>
      </w:r>
      <w:r w:rsidR="00CC295A">
        <w:rPr>
          <w:b/>
          <w:sz w:val="28"/>
          <w:szCs w:val="28"/>
        </w:rPr>
        <w:tab/>
      </w:r>
      <w:r>
        <w:rPr>
          <w:b/>
          <w:sz w:val="28"/>
          <w:szCs w:val="28"/>
        </w:rPr>
        <w:t>JUDGMENT NO LC/H/</w:t>
      </w:r>
      <w:r w:rsidR="00CC295A">
        <w:rPr>
          <w:b/>
          <w:sz w:val="28"/>
          <w:szCs w:val="28"/>
        </w:rPr>
        <w:t>236</w:t>
      </w:r>
      <w:r>
        <w:rPr>
          <w:b/>
          <w:sz w:val="28"/>
          <w:szCs w:val="28"/>
        </w:rPr>
        <w:t>/14</w:t>
      </w:r>
    </w:p>
    <w:p w:rsidR="00B63F89" w:rsidRDefault="00B63F89" w:rsidP="00B63F89">
      <w:pPr>
        <w:spacing w:line="360" w:lineRule="auto"/>
        <w:jc w:val="both"/>
        <w:rPr>
          <w:b/>
          <w:sz w:val="28"/>
          <w:szCs w:val="28"/>
        </w:rPr>
      </w:pPr>
      <w:r>
        <w:rPr>
          <w:b/>
          <w:sz w:val="28"/>
          <w:szCs w:val="28"/>
        </w:rPr>
        <w:t>HELD AT HARARE 27</w:t>
      </w:r>
      <w:r w:rsidRPr="00B63F89">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LC/H/421/13</w:t>
      </w:r>
    </w:p>
    <w:p w:rsidR="00BF173C" w:rsidRDefault="00BF173C" w:rsidP="00B63F89">
      <w:pPr>
        <w:spacing w:line="360" w:lineRule="auto"/>
        <w:jc w:val="both"/>
        <w:rPr>
          <w:b/>
          <w:sz w:val="28"/>
          <w:szCs w:val="28"/>
        </w:rPr>
      </w:pPr>
      <w:r>
        <w:rPr>
          <w:b/>
          <w:sz w:val="28"/>
          <w:szCs w:val="28"/>
        </w:rPr>
        <w:t>&amp; 25</w:t>
      </w:r>
      <w:r w:rsidRPr="00BF173C">
        <w:rPr>
          <w:b/>
          <w:sz w:val="28"/>
          <w:szCs w:val="28"/>
          <w:vertAlign w:val="superscript"/>
        </w:rPr>
        <w:t>TH</w:t>
      </w:r>
      <w:r>
        <w:rPr>
          <w:b/>
          <w:sz w:val="28"/>
          <w:szCs w:val="28"/>
        </w:rPr>
        <w:t xml:space="preserve"> APRIL 2014</w:t>
      </w:r>
    </w:p>
    <w:p w:rsidR="00B63F89" w:rsidRDefault="00B63F89" w:rsidP="00B63F89">
      <w:pPr>
        <w:spacing w:line="360" w:lineRule="auto"/>
        <w:jc w:val="both"/>
        <w:rPr>
          <w:sz w:val="28"/>
          <w:szCs w:val="28"/>
        </w:rPr>
      </w:pPr>
      <w:r>
        <w:rPr>
          <w:sz w:val="28"/>
          <w:szCs w:val="28"/>
        </w:rPr>
        <w:t>In the matter between:-</w:t>
      </w:r>
    </w:p>
    <w:p w:rsidR="00B63F89" w:rsidRDefault="00B63F89" w:rsidP="00B63F89">
      <w:pPr>
        <w:spacing w:line="360" w:lineRule="auto"/>
        <w:jc w:val="both"/>
        <w:rPr>
          <w:b/>
          <w:sz w:val="28"/>
          <w:szCs w:val="28"/>
        </w:rPr>
      </w:pPr>
      <w:r>
        <w:rPr>
          <w:b/>
          <w:sz w:val="28"/>
          <w:szCs w:val="28"/>
        </w:rPr>
        <w:t>CHRISTOPHER CHIZURA &amp; 2 OTHERS</w:t>
      </w:r>
      <w:r>
        <w:rPr>
          <w:b/>
          <w:sz w:val="28"/>
          <w:szCs w:val="28"/>
        </w:rPr>
        <w:tab/>
      </w:r>
      <w:r>
        <w:rPr>
          <w:b/>
          <w:sz w:val="28"/>
          <w:szCs w:val="28"/>
        </w:rPr>
        <w:tab/>
      </w:r>
      <w:r>
        <w:rPr>
          <w:b/>
          <w:sz w:val="28"/>
          <w:szCs w:val="28"/>
        </w:rPr>
        <w:tab/>
        <w:t>Applicants</w:t>
      </w:r>
    </w:p>
    <w:p w:rsidR="00B63F89" w:rsidRDefault="00B63F89" w:rsidP="00B63F89">
      <w:pPr>
        <w:spacing w:line="360" w:lineRule="auto"/>
        <w:jc w:val="both"/>
        <w:rPr>
          <w:b/>
          <w:sz w:val="28"/>
          <w:szCs w:val="28"/>
        </w:rPr>
      </w:pPr>
      <w:r>
        <w:rPr>
          <w:b/>
          <w:sz w:val="28"/>
          <w:szCs w:val="28"/>
        </w:rPr>
        <w:t>And</w:t>
      </w:r>
    </w:p>
    <w:p w:rsidR="00B63F89" w:rsidRDefault="00B63F89" w:rsidP="00B63F89">
      <w:pPr>
        <w:spacing w:line="360" w:lineRule="auto"/>
        <w:jc w:val="both"/>
        <w:rPr>
          <w:b/>
          <w:sz w:val="28"/>
          <w:szCs w:val="28"/>
        </w:rPr>
      </w:pPr>
      <w:r>
        <w:rPr>
          <w:b/>
          <w:sz w:val="28"/>
          <w:szCs w:val="28"/>
        </w:rPr>
        <w:t>ZIMBABWE POST (PVT) LTD</w:t>
      </w:r>
      <w:r>
        <w:rPr>
          <w:b/>
          <w:sz w:val="28"/>
          <w:szCs w:val="28"/>
        </w:rPr>
        <w:tab/>
      </w:r>
      <w:r>
        <w:rPr>
          <w:b/>
          <w:sz w:val="28"/>
          <w:szCs w:val="28"/>
        </w:rPr>
        <w:tab/>
      </w:r>
      <w:r>
        <w:rPr>
          <w:b/>
          <w:sz w:val="28"/>
          <w:szCs w:val="28"/>
        </w:rPr>
        <w:tab/>
      </w:r>
      <w:r>
        <w:rPr>
          <w:b/>
          <w:sz w:val="28"/>
          <w:szCs w:val="28"/>
        </w:rPr>
        <w:tab/>
        <w:t>Respondent</w:t>
      </w:r>
    </w:p>
    <w:p w:rsidR="00B63F89" w:rsidRDefault="00B63F89" w:rsidP="00B63F89">
      <w:pPr>
        <w:spacing w:line="360" w:lineRule="auto"/>
        <w:jc w:val="both"/>
        <w:rPr>
          <w:sz w:val="28"/>
          <w:szCs w:val="28"/>
        </w:rPr>
      </w:pPr>
      <w:r>
        <w:rPr>
          <w:sz w:val="28"/>
          <w:szCs w:val="28"/>
        </w:rPr>
        <w:t>Before The Honourable L.M. Murasi, Judge</w:t>
      </w:r>
    </w:p>
    <w:p w:rsidR="00B63F89" w:rsidRDefault="00B63F89" w:rsidP="00B63F89">
      <w:pPr>
        <w:spacing w:line="360" w:lineRule="auto"/>
        <w:jc w:val="both"/>
        <w:rPr>
          <w:b/>
          <w:sz w:val="28"/>
          <w:szCs w:val="28"/>
        </w:rPr>
      </w:pPr>
      <w:r>
        <w:rPr>
          <w:b/>
          <w:sz w:val="28"/>
          <w:szCs w:val="28"/>
        </w:rPr>
        <w:t>For Applicants</w:t>
      </w:r>
      <w:r>
        <w:rPr>
          <w:b/>
          <w:sz w:val="28"/>
          <w:szCs w:val="28"/>
        </w:rPr>
        <w:tab/>
      </w:r>
      <w:r>
        <w:rPr>
          <w:b/>
          <w:sz w:val="28"/>
          <w:szCs w:val="28"/>
        </w:rPr>
        <w:tab/>
        <w:t>Mr B Peresuh (Legal Practitioner)</w:t>
      </w:r>
    </w:p>
    <w:p w:rsidR="00B63F89" w:rsidRDefault="00B63F89" w:rsidP="00B63F89">
      <w:pPr>
        <w:spacing w:line="360" w:lineRule="auto"/>
        <w:jc w:val="both"/>
        <w:rPr>
          <w:b/>
          <w:sz w:val="28"/>
          <w:szCs w:val="28"/>
        </w:rPr>
      </w:pPr>
      <w:r>
        <w:rPr>
          <w:b/>
          <w:sz w:val="28"/>
          <w:szCs w:val="28"/>
        </w:rPr>
        <w:t>For Respondent</w:t>
      </w:r>
      <w:r>
        <w:rPr>
          <w:b/>
          <w:sz w:val="28"/>
          <w:szCs w:val="28"/>
        </w:rPr>
        <w:tab/>
      </w:r>
      <w:r>
        <w:rPr>
          <w:b/>
          <w:sz w:val="28"/>
          <w:szCs w:val="28"/>
        </w:rPr>
        <w:tab/>
        <w:t>Mr S.V. Hwacha (Legal Practitioner)</w:t>
      </w:r>
    </w:p>
    <w:p w:rsidR="00B63F89" w:rsidRDefault="00B63F89" w:rsidP="00B63F89">
      <w:pPr>
        <w:spacing w:line="360" w:lineRule="auto"/>
        <w:jc w:val="both"/>
        <w:rPr>
          <w:b/>
          <w:sz w:val="28"/>
          <w:szCs w:val="28"/>
        </w:rPr>
      </w:pPr>
    </w:p>
    <w:p w:rsidR="00B63F89" w:rsidRDefault="00B63F89" w:rsidP="00B63F89">
      <w:pPr>
        <w:spacing w:line="360" w:lineRule="auto"/>
        <w:jc w:val="both"/>
        <w:rPr>
          <w:b/>
          <w:sz w:val="28"/>
          <w:szCs w:val="28"/>
        </w:rPr>
      </w:pPr>
      <w:r>
        <w:rPr>
          <w:b/>
          <w:sz w:val="28"/>
          <w:szCs w:val="28"/>
        </w:rPr>
        <w:t>MURASI, J:</w:t>
      </w:r>
    </w:p>
    <w:p w:rsidR="00B63F89" w:rsidRDefault="00B63F89" w:rsidP="00B63F89">
      <w:pPr>
        <w:spacing w:line="360" w:lineRule="auto"/>
        <w:jc w:val="both"/>
        <w:rPr>
          <w:sz w:val="28"/>
          <w:szCs w:val="28"/>
        </w:rPr>
      </w:pPr>
      <w:r>
        <w:rPr>
          <w:b/>
          <w:sz w:val="28"/>
          <w:szCs w:val="28"/>
        </w:rPr>
        <w:tab/>
      </w:r>
      <w:r>
        <w:rPr>
          <w:sz w:val="28"/>
          <w:szCs w:val="28"/>
        </w:rPr>
        <w:t>Applicants and Respondent are embroiled in litigation before this Court.  Applicants filed this application for Interim Relief wherein they seek a stay of the arbitral award by Arbitrator A.J. Manase pending the determination of the appeal.</w:t>
      </w:r>
      <w:r>
        <w:rPr>
          <w:sz w:val="28"/>
          <w:szCs w:val="28"/>
        </w:rPr>
        <w:tab/>
      </w:r>
    </w:p>
    <w:p w:rsidR="00B63F89" w:rsidRDefault="00B63F89" w:rsidP="00B63F89">
      <w:pPr>
        <w:spacing w:line="360" w:lineRule="auto"/>
        <w:jc w:val="both"/>
        <w:rPr>
          <w:sz w:val="28"/>
          <w:szCs w:val="28"/>
        </w:rPr>
      </w:pPr>
      <w:r>
        <w:rPr>
          <w:sz w:val="28"/>
          <w:szCs w:val="28"/>
        </w:rPr>
        <w:tab/>
      </w:r>
      <w:r w:rsidR="00A76738">
        <w:rPr>
          <w:sz w:val="28"/>
          <w:szCs w:val="28"/>
        </w:rPr>
        <w:t xml:space="preserve">At the commencement of the hearing, Applicants’ Counsel raised a point </w:t>
      </w:r>
      <w:r w:rsidR="00A76738">
        <w:rPr>
          <w:i/>
          <w:sz w:val="28"/>
          <w:szCs w:val="28"/>
        </w:rPr>
        <w:t>in limine</w:t>
      </w:r>
      <w:r w:rsidR="00A76738">
        <w:rPr>
          <w:sz w:val="28"/>
          <w:szCs w:val="28"/>
        </w:rPr>
        <w:t xml:space="preserve"> that Respondent had not filed any response as required in terms of the Rules.  The record shows that the Notice of Application was served on Respondent on 24 July 2013.  No response was filed on behalf of Respondent.</w:t>
      </w:r>
    </w:p>
    <w:p w:rsidR="00A76738" w:rsidRDefault="00A76738" w:rsidP="00B63F89">
      <w:pPr>
        <w:spacing w:line="360" w:lineRule="auto"/>
        <w:jc w:val="both"/>
        <w:rPr>
          <w:sz w:val="28"/>
          <w:szCs w:val="28"/>
        </w:rPr>
      </w:pPr>
      <w:r>
        <w:rPr>
          <w:sz w:val="28"/>
          <w:szCs w:val="28"/>
        </w:rPr>
        <w:tab/>
        <w:t xml:space="preserve">During the hearing, Respondent’s Counsel was given the opportunity to explain the non-filing of the response and no reasonable explanation was </w:t>
      </w:r>
      <w:r>
        <w:rPr>
          <w:sz w:val="28"/>
          <w:szCs w:val="28"/>
        </w:rPr>
        <w:lastRenderedPageBreak/>
        <w:t xml:space="preserve">proferred.  In fact, Counsel was </w:t>
      </w:r>
      <w:r>
        <w:rPr>
          <w:i/>
          <w:sz w:val="28"/>
          <w:szCs w:val="28"/>
        </w:rPr>
        <w:t>candid</w:t>
      </w:r>
      <w:r>
        <w:rPr>
          <w:sz w:val="28"/>
          <w:szCs w:val="28"/>
        </w:rPr>
        <w:t xml:space="preserve">  with the Court in stating that he was unable to advance any explanation.</w:t>
      </w:r>
    </w:p>
    <w:p w:rsidR="00A76738" w:rsidRDefault="00A76738" w:rsidP="00B63F89">
      <w:pPr>
        <w:spacing w:line="360" w:lineRule="auto"/>
        <w:jc w:val="both"/>
        <w:rPr>
          <w:sz w:val="28"/>
          <w:szCs w:val="28"/>
        </w:rPr>
      </w:pPr>
      <w:r>
        <w:rPr>
          <w:sz w:val="28"/>
          <w:szCs w:val="28"/>
        </w:rPr>
        <w:tab/>
        <w:t>It is clear that for the bar to be lifted, the explanation for such non-compliance must be reasonable and reasonableness can only be ascertained from the circumstances of the case.  The Court is of the view that no reasonable explanation exists.  In fact Counsel for Respondent</w:t>
      </w:r>
      <w:r w:rsidR="007A4509">
        <w:rPr>
          <w:sz w:val="28"/>
          <w:szCs w:val="28"/>
        </w:rPr>
        <w:t xml:space="preserve"> invited the Court to perhaps deal with the application on the merits.  It has been held  that in cases of flagrant breaches of the Rules, especially where there is no acceptable explanation, the Court is entitled to withhold its indulgence whatever the merits of the case may be.  AD</w:t>
      </w:r>
      <w:r w:rsidR="00CC295A">
        <w:rPr>
          <w:sz w:val="28"/>
          <w:szCs w:val="28"/>
        </w:rPr>
        <w:t xml:space="preserve">AM </w:t>
      </w:r>
      <w:r w:rsidR="007A4509">
        <w:rPr>
          <w:sz w:val="28"/>
          <w:szCs w:val="28"/>
        </w:rPr>
        <w:t xml:space="preserve">J had this to say in </w:t>
      </w:r>
      <w:r w:rsidR="007A4509">
        <w:rPr>
          <w:b/>
          <w:sz w:val="28"/>
          <w:szCs w:val="28"/>
        </w:rPr>
        <w:t xml:space="preserve">HPP Studios (Pvt) Ltd v ANZ (Pvt( Ltd </w:t>
      </w:r>
      <w:r w:rsidR="007A4509">
        <w:rPr>
          <w:sz w:val="28"/>
          <w:szCs w:val="28"/>
        </w:rPr>
        <w:t>2000 (1) ZLR 318 at p 334:</w:t>
      </w:r>
    </w:p>
    <w:p w:rsidR="007A4509" w:rsidRDefault="007A4509" w:rsidP="007A4509">
      <w:pPr>
        <w:spacing w:line="240" w:lineRule="auto"/>
        <w:ind w:left="1440"/>
        <w:jc w:val="both"/>
        <w:rPr>
          <w:i/>
          <w:sz w:val="24"/>
          <w:szCs w:val="24"/>
        </w:rPr>
      </w:pPr>
      <w:r>
        <w:rPr>
          <w:i/>
          <w:sz w:val="24"/>
          <w:szCs w:val="24"/>
        </w:rPr>
        <w:t>“These rules of Court are made in order to prevent delay or injustice being done owing to the delay and a bar should not be uplifted as a matter of course; it should not be done merely for the asking otherwise the rules may as well be torn up.”</w:t>
      </w:r>
    </w:p>
    <w:p w:rsidR="007A4509" w:rsidRDefault="007A4509" w:rsidP="007A4509">
      <w:pPr>
        <w:spacing w:line="240" w:lineRule="auto"/>
        <w:ind w:left="1440"/>
        <w:jc w:val="both"/>
        <w:rPr>
          <w:i/>
          <w:sz w:val="24"/>
          <w:szCs w:val="24"/>
        </w:rPr>
      </w:pPr>
    </w:p>
    <w:p w:rsidR="007A4509" w:rsidRDefault="007A4509" w:rsidP="007A4509">
      <w:pPr>
        <w:spacing w:line="360" w:lineRule="auto"/>
        <w:jc w:val="both"/>
        <w:rPr>
          <w:sz w:val="28"/>
          <w:szCs w:val="28"/>
        </w:rPr>
      </w:pPr>
      <w:r>
        <w:rPr>
          <w:sz w:val="28"/>
          <w:szCs w:val="28"/>
        </w:rPr>
        <w:tab/>
        <w:t xml:space="preserve">For the above reasons, the Court finds that Respondent has failed to show good cause why it did not file a response and the point </w:t>
      </w:r>
      <w:r>
        <w:rPr>
          <w:i/>
          <w:sz w:val="28"/>
          <w:szCs w:val="28"/>
        </w:rPr>
        <w:t>in limine</w:t>
      </w:r>
      <w:r>
        <w:rPr>
          <w:sz w:val="28"/>
          <w:szCs w:val="28"/>
        </w:rPr>
        <w:t xml:space="preserve"> is upheld.  In the result, the Court enters a default judgment in terms of Rule 22 (b) (i) of the Labour Court Rules.</w:t>
      </w:r>
    </w:p>
    <w:p w:rsidR="007A4509" w:rsidRDefault="007A4509" w:rsidP="007A4509">
      <w:pPr>
        <w:spacing w:line="360" w:lineRule="auto"/>
        <w:jc w:val="both"/>
        <w:rPr>
          <w:sz w:val="28"/>
          <w:szCs w:val="28"/>
        </w:rPr>
      </w:pPr>
    </w:p>
    <w:p w:rsidR="007A4509" w:rsidRDefault="007A4509" w:rsidP="007A4509">
      <w:pPr>
        <w:spacing w:line="360" w:lineRule="auto"/>
        <w:jc w:val="both"/>
        <w:rPr>
          <w:sz w:val="28"/>
          <w:szCs w:val="28"/>
        </w:rPr>
      </w:pPr>
    </w:p>
    <w:p w:rsidR="007A4509" w:rsidRDefault="007A4509" w:rsidP="007A4509">
      <w:pPr>
        <w:spacing w:line="360" w:lineRule="auto"/>
        <w:ind w:firstLine="360"/>
        <w:jc w:val="both"/>
        <w:rPr>
          <w:sz w:val="28"/>
          <w:szCs w:val="28"/>
        </w:rPr>
      </w:pPr>
      <w:r>
        <w:rPr>
          <w:sz w:val="28"/>
          <w:szCs w:val="28"/>
        </w:rPr>
        <w:t>Accordingly it is ordered that:</w:t>
      </w:r>
    </w:p>
    <w:p w:rsidR="007A4509" w:rsidRDefault="007A4509" w:rsidP="007A4509">
      <w:pPr>
        <w:pStyle w:val="ListParagraph"/>
        <w:numPr>
          <w:ilvl w:val="0"/>
          <w:numId w:val="1"/>
        </w:numPr>
        <w:spacing w:line="360" w:lineRule="auto"/>
        <w:jc w:val="both"/>
        <w:rPr>
          <w:sz w:val="28"/>
          <w:szCs w:val="28"/>
        </w:rPr>
      </w:pPr>
      <w:r>
        <w:rPr>
          <w:sz w:val="28"/>
          <w:szCs w:val="28"/>
        </w:rPr>
        <w:t xml:space="preserve"> The arbitral award handed down by Honourable Arbitrator A.J. Manasebe and is hereby stayed pending the outcome of the appeal filed under Case No LC/H/421/13.</w:t>
      </w:r>
    </w:p>
    <w:p w:rsidR="007A4509" w:rsidRDefault="007A4509" w:rsidP="007A4509">
      <w:pPr>
        <w:pStyle w:val="ListParagraph"/>
        <w:numPr>
          <w:ilvl w:val="0"/>
          <w:numId w:val="1"/>
        </w:numPr>
        <w:spacing w:line="360" w:lineRule="auto"/>
        <w:jc w:val="both"/>
        <w:rPr>
          <w:sz w:val="28"/>
          <w:szCs w:val="28"/>
        </w:rPr>
      </w:pPr>
      <w:r>
        <w:rPr>
          <w:sz w:val="28"/>
          <w:szCs w:val="28"/>
        </w:rPr>
        <w:lastRenderedPageBreak/>
        <w:t>There be no order as to costs.</w:t>
      </w:r>
    </w:p>
    <w:p w:rsidR="007A4509" w:rsidRDefault="007A4509" w:rsidP="007A4509">
      <w:pPr>
        <w:spacing w:line="360" w:lineRule="auto"/>
        <w:jc w:val="both"/>
        <w:rPr>
          <w:sz w:val="28"/>
          <w:szCs w:val="28"/>
        </w:rPr>
      </w:pPr>
    </w:p>
    <w:p w:rsidR="007A4509" w:rsidRPr="007A4509" w:rsidRDefault="007A4509" w:rsidP="007A4509">
      <w:pPr>
        <w:spacing w:line="360" w:lineRule="auto"/>
        <w:jc w:val="both"/>
        <w:rPr>
          <w:sz w:val="28"/>
          <w:szCs w:val="28"/>
        </w:rPr>
      </w:pPr>
    </w:p>
    <w:p w:rsidR="007A4509" w:rsidRPr="007A4509" w:rsidRDefault="007A4509" w:rsidP="007A4509">
      <w:pPr>
        <w:spacing w:before="240" w:after="0" w:line="240" w:lineRule="auto"/>
        <w:jc w:val="both"/>
        <w:rPr>
          <w:b/>
          <w:i/>
          <w:sz w:val="24"/>
          <w:szCs w:val="24"/>
        </w:rPr>
      </w:pPr>
      <w:r w:rsidRPr="007A4509">
        <w:rPr>
          <w:b/>
          <w:i/>
          <w:sz w:val="24"/>
          <w:szCs w:val="24"/>
        </w:rPr>
        <w:t>Honey &amp;Blanckenberg, Applicant’s legal practitioner</w:t>
      </w:r>
    </w:p>
    <w:p w:rsidR="007A4509" w:rsidRPr="007A4509" w:rsidRDefault="007A4509" w:rsidP="007A4509">
      <w:pPr>
        <w:spacing w:before="240" w:after="0" w:line="240" w:lineRule="auto"/>
        <w:jc w:val="both"/>
        <w:rPr>
          <w:b/>
          <w:i/>
          <w:sz w:val="24"/>
          <w:szCs w:val="24"/>
        </w:rPr>
      </w:pPr>
      <w:r w:rsidRPr="007A4509">
        <w:rPr>
          <w:b/>
          <w:i/>
          <w:sz w:val="24"/>
          <w:szCs w:val="24"/>
        </w:rPr>
        <w:t>Dube, Manikai&amp;Hwacha, Respondent’s legal practitioners</w:t>
      </w:r>
    </w:p>
    <w:p w:rsidR="00A76738" w:rsidRPr="00A76738" w:rsidRDefault="00A76738" w:rsidP="00B63F89">
      <w:pPr>
        <w:spacing w:line="360" w:lineRule="auto"/>
        <w:jc w:val="both"/>
        <w:rPr>
          <w:sz w:val="28"/>
          <w:szCs w:val="28"/>
        </w:rPr>
      </w:pPr>
      <w:r>
        <w:rPr>
          <w:sz w:val="28"/>
          <w:szCs w:val="28"/>
        </w:rPr>
        <w:tab/>
      </w:r>
    </w:p>
    <w:p w:rsidR="00B63F89" w:rsidRPr="00B63F89" w:rsidRDefault="00B63F89">
      <w:pPr>
        <w:rPr>
          <w:b/>
          <w:sz w:val="28"/>
          <w:szCs w:val="28"/>
        </w:rPr>
      </w:pPr>
      <w:r>
        <w:rPr>
          <w:b/>
          <w:sz w:val="28"/>
          <w:szCs w:val="28"/>
        </w:rPr>
        <w:tab/>
      </w:r>
    </w:p>
    <w:sectPr w:rsidR="00B63F89" w:rsidRPr="00B63F89" w:rsidSect="00A76738">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D02" w:rsidRDefault="00AC3D02" w:rsidP="00A76738">
      <w:pPr>
        <w:spacing w:after="0" w:line="240" w:lineRule="auto"/>
      </w:pPr>
      <w:r>
        <w:separator/>
      </w:r>
    </w:p>
  </w:endnote>
  <w:endnote w:type="continuationSeparator" w:id="1">
    <w:p w:rsidR="00AC3D02" w:rsidRDefault="00AC3D02" w:rsidP="00A76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D02" w:rsidRDefault="00AC3D02" w:rsidP="00A76738">
      <w:pPr>
        <w:spacing w:after="0" w:line="240" w:lineRule="auto"/>
      </w:pPr>
      <w:r>
        <w:separator/>
      </w:r>
    </w:p>
  </w:footnote>
  <w:footnote w:type="continuationSeparator" w:id="1">
    <w:p w:rsidR="00AC3D02" w:rsidRDefault="00AC3D02" w:rsidP="00A76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738" w:rsidRDefault="00A76738" w:rsidP="00A76738">
    <w:pPr>
      <w:spacing w:line="360" w:lineRule="auto"/>
      <w:ind w:left="4320" w:firstLine="720"/>
      <w:jc w:val="both"/>
      <w:rPr>
        <w:b/>
        <w:sz w:val="28"/>
        <w:szCs w:val="28"/>
      </w:rPr>
    </w:pPr>
    <w:r>
      <w:rPr>
        <w:b/>
        <w:sz w:val="28"/>
        <w:szCs w:val="28"/>
      </w:rPr>
      <w:t>JUDGMENT NO LC/H/</w:t>
    </w:r>
    <w:r w:rsidR="00CC295A">
      <w:rPr>
        <w:b/>
        <w:sz w:val="28"/>
        <w:szCs w:val="28"/>
      </w:rPr>
      <w:t>236</w:t>
    </w:r>
    <w:r>
      <w:rPr>
        <w:b/>
        <w:sz w:val="28"/>
        <w:szCs w:val="28"/>
      </w:rPr>
      <w:t>/14</w:t>
    </w:r>
  </w:p>
  <w:p w:rsidR="00A76738" w:rsidRDefault="00A767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C4129"/>
    <w:multiLevelType w:val="hybridMultilevel"/>
    <w:tmpl w:val="96D864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3F89"/>
    <w:rsid w:val="00256F4B"/>
    <w:rsid w:val="0026276E"/>
    <w:rsid w:val="0026487C"/>
    <w:rsid w:val="003E54A9"/>
    <w:rsid w:val="00604316"/>
    <w:rsid w:val="007A4509"/>
    <w:rsid w:val="00A238A0"/>
    <w:rsid w:val="00A76738"/>
    <w:rsid w:val="00AC3D02"/>
    <w:rsid w:val="00B63F89"/>
    <w:rsid w:val="00BF173C"/>
    <w:rsid w:val="00CC295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738"/>
  </w:style>
  <w:style w:type="paragraph" w:styleId="Footer">
    <w:name w:val="footer"/>
    <w:basedOn w:val="Normal"/>
    <w:link w:val="FooterChar"/>
    <w:uiPriority w:val="99"/>
    <w:unhideWhenUsed/>
    <w:rsid w:val="00A7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738"/>
  </w:style>
  <w:style w:type="paragraph" w:styleId="ListParagraph">
    <w:name w:val="List Paragraph"/>
    <w:basedOn w:val="Normal"/>
    <w:uiPriority w:val="34"/>
    <w:qFormat/>
    <w:rsid w:val="007A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738"/>
  </w:style>
  <w:style w:type="paragraph" w:styleId="Footer">
    <w:name w:val="footer"/>
    <w:basedOn w:val="Normal"/>
    <w:link w:val="FooterChar"/>
    <w:uiPriority w:val="99"/>
    <w:unhideWhenUsed/>
    <w:rsid w:val="00A7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738"/>
  </w:style>
  <w:style w:type="paragraph" w:styleId="ListParagraph">
    <w:name w:val="List Paragraph"/>
    <w:basedOn w:val="Normal"/>
    <w:uiPriority w:val="34"/>
    <w:qFormat/>
    <w:rsid w:val="007A45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2014-05-06T13:24:00Z</dcterms:created>
  <dcterms:modified xsi:type="dcterms:W3CDTF">2014-05-06T13:24:00Z</dcterms:modified>
</cp:coreProperties>
</file>