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A3" w:rsidRDefault="00221A64" w:rsidP="004E4A4D">
      <w:bookmarkStart w:id="0" w:name="_GoBack"/>
      <w:bookmarkEnd w:id="0"/>
      <w:r>
        <w:t>CHIWOMBERERWA PATRICK MAPFUMO</w:t>
      </w:r>
    </w:p>
    <w:p w:rsidR="00EE37A3" w:rsidRDefault="00221A64" w:rsidP="004E4A4D">
      <w:r>
        <w:t>and</w:t>
      </w:r>
    </w:p>
    <w:p w:rsidR="00EE37A3" w:rsidRDefault="00221A64" w:rsidP="004E4A4D">
      <w:r>
        <w:t>ESTHER MAPFUMO</w:t>
      </w:r>
    </w:p>
    <w:p w:rsidR="00EE37A3" w:rsidRDefault="00221A64" w:rsidP="004E4A4D">
      <w:r>
        <w:t>versus</w:t>
      </w:r>
    </w:p>
    <w:p w:rsidR="00EE37A3" w:rsidRDefault="00221A64" w:rsidP="004E4A4D">
      <w:r>
        <w:t>DIVVYLAND INVESTMENTS (PVT) LIMITED</w:t>
      </w:r>
    </w:p>
    <w:p w:rsidR="00EE37A3" w:rsidRDefault="00221A64" w:rsidP="004E4A4D">
      <w:r>
        <w:t>and</w:t>
      </w:r>
    </w:p>
    <w:p w:rsidR="00EE37A3" w:rsidRDefault="004E4A4D" w:rsidP="004E4A4D">
      <w:r>
        <w:t xml:space="preserve">MINISTER FOR JUSTICE LEGAL &amp; </w:t>
      </w:r>
      <w:r w:rsidR="00221A64">
        <w:t>PARLIAMENTARY AFFAIRS</w:t>
      </w:r>
    </w:p>
    <w:p w:rsidR="00EE37A3" w:rsidRDefault="00221A64" w:rsidP="004E4A4D">
      <w:r>
        <w:t>and</w:t>
      </w:r>
    </w:p>
    <w:p w:rsidR="00EE37A3" w:rsidRDefault="00221A64" w:rsidP="004E4A4D">
      <w:r>
        <w:t>DAVID CHIWEZA</w:t>
      </w:r>
    </w:p>
    <w:p w:rsidR="004E4A4D" w:rsidRDefault="004E4A4D" w:rsidP="004E4A4D"/>
    <w:p w:rsidR="00EE37A3" w:rsidRDefault="00EE37A3"/>
    <w:p w:rsidR="00EE37A3" w:rsidRDefault="00221A64">
      <w:r>
        <w:t>HIGH COURT OF ZIMBABWE</w:t>
      </w:r>
    </w:p>
    <w:p w:rsidR="00EE37A3" w:rsidRDefault="00221A64">
      <w:r>
        <w:t>BACHI MZAWAZI J</w:t>
      </w:r>
    </w:p>
    <w:p w:rsidR="00EE37A3" w:rsidRDefault="00221A64">
      <w:r>
        <w:t>HARARE</w:t>
      </w:r>
      <w:r w:rsidR="004E4A4D">
        <w:t>,</w:t>
      </w:r>
      <w:r>
        <w:t xml:space="preserve"> 28</w:t>
      </w:r>
      <w:r w:rsidR="004E4A4D">
        <w:t xml:space="preserve"> June &amp; </w:t>
      </w:r>
      <w:r w:rsidR="003D2041">
        <w:t>21</w:t>
      </w:r>
      <w:r w:rsidR="004E4A4D">
        <w:t xml:space="preserve"> July </w:t>
      </w:r>
      <w:r>
        <w:t>2022</w:t>
      </w:r>
    </w:p>
    <w:p w:rsidR="004E4A4D" w:rsidRDefault="004E4A4D"/>
    <w:p w:rsidR="00EE37A3" w:rsidRDefault="00EE37A3"/>
    <w:p w:rsidR="00EE37A3" w:rsidRDefault="000126C9">
      <w:pPr>
        <w:rPr>
          <w:b/>
        </w:rPr>
      </w:pPr>
      <w:r w:rsidRPr="004E4A4D">
        <w:rPr>
          <w:b/>
        </w:rPr>
        <w:t>Opposed Application</w:t>
      </w:r>
    </w:p>
    <w:p w:rsidR="004E4A4D" w:rsidRPr="004E4A4D" w:rsidRDefault="004E4A4D">
      <w:pPr>
        <w:rPr>
          <w:b/>
        </w:rPr>
      </w:pPr>
    </w:p>
    <w:p w:rsidR="00EE37A3" w:rsidRDefault="00EE37A3"/>
    <w:p w:rsidR="00EE37A3" w:rsidRDefault="00AC31BF">
      <w:r w:rsidRPr="003808FD">
        <w:rPr>
          <w:i/>
        </w:rPr>
        <w:t xml:space="preserve">T </w:t>
      </w:r>
      <w:r w:rsidR="00221A64" w:rsidRPr="003808FD">
        <w:rPr>
          <w:i/>
        </w:rPr>
        <w:t>Chinyoka</w:t>
      </w:r>
      <w:r w:rsidR="006539C6">
        <w:rPr>
          <w:i/>
        </w:rPr>
        <w:t xml:space="preserve">, </w:t>
      </w:r>
      <w:r w:rsidR="00221A64">
        <w:t>for the applicants</w:t>
      </w:r>
    </w:p>
    <w:p w:rsidR="00EE37A3" w:rsidRDefault="003808FD">
      <w:r w:rsidRPr="003808FD">
        <w:rPr>
          <w:i/>
        </w:rPr>
        <w:t>S</w:t>
      </w:r>
      <w:r w:rsidR="00A12CED">
        <w:rPr>
          <w:i/>
        </w:rPr>
        <w:t xml:space="preserve"> </w:t>
      </w:r>
      <w:r w:rsidRPr="003808FD">
        <w:rPr>
          <w:i/>
        </w:rPr>
        <w:t xml:space="preserve">M </w:t>
      </w:r>
      <w:r w:rsidR="00221A64" w:rsidRPr="003808FD">
        <w:rPr>
          <w:i/>
        </w:rPr>
        <w:t>Hashiti</w:t>
      </w:r>
      <w:r w:rsidR="006539C6">
        <w:t xml:space="preserve">, </w:t>
      </w:r>
      <w:r w:rsidR="00221A64">
        <w:t>for the</w:t>
      </w:r>
      <w:r w:rsidR="00AC31BF">
        <w:t xml:space="preserve"> </w:t>
      </w:r>
      <w:r w:rsidR="006539C6">
        <w:t>1</w:t>
      </w:r>
      <w:r w:rsidR="006539C6" w:rsidRPr="006539C6">
        <w:rPr>
          <w:vertAlign w:val="superscript"/>
        </w:rPr>
        <w:t>st</w:t>
      </w:r>
      <w:r w:rsidR="006539C6">
        <w:t xml:space="preserve"> </w:t>
      </w:r>
      <w:r w:rsidR="00221A64">
        <w:t>respondent</w:t>
      </w:r>
    </w:p>
    <w:p w:rsidR="00AC31BF" w:rsidRDefault="00AC31BF">
      <w:r>
        <w:t>No appearance for the 2</w:t>
      </w:r>
      <w:r w:rsidRPr="00AC31BF">
        <w:rPr>
          <w:vertAlign w:val="superscript"/>
        </w:rPr>
        <w:t>nd</w:t>
      </w:r>
      <w:r>
        <w:t xml:space="preserve"> and 3</w:t>
      </w:r>
      <w:r w:rsidRPr="00AC31BF">
        <w:rPr>
          <w:vertAlign w:val="superscript"/>
        </w:rPr>
        <w:t>rd</w:t>
      </w:r>
      <w:r>
        <w:t xml:space="preserve"> respondents</w:t>
      </w:r>
    </w:p>
    <w:p w:rsidR="004E4A4D" w:rsidRDefault="004E4A4D"/>
    <w:p w:rsidR="00EE37A3" w:rsidRDefault="00EE37A3"/>
    <w:p w:rsidR="00EE37A3" w:rsidRDefault="004E4A4D" w:rsidP="004E4A4D">
      <w:pPr>
        <w:spacing w:line="360" w:lineRule="auto"/>
        <w:jc w:val="both"/>
      </w:pPr>
      <w:r>
        <w:tab/>
      </w:r>
      <w:r w:rsidR="00221A64" w:rsidRPr="004E4A4D">
        <w:rPr>
          <w:b/>
        </w:rPr>
        <w:t>BACHI</w:t>
      </w:r>
      <w:r w:rsidRPr="004E4A4D">
        <w:rPr>
          <w:b/>
        </w:rPr>
        <w:t>-</w:t>
      </w:r>
      <w:r w:rsidR="00221A64" w:rsidRPr="004E4A4D">
        <w:rPr>
          <w:b/>
        </w:rPr>
        <w:t>MZ</w:t>
      </w:r>
      <w:r>
        <w:rPr>
          <w:b/>
        </w:rPr>
        <w:t>A</w:t>
      </w:r>
      <w:r w:rsidR="00221A64" w:rsidRPr="004E4A4D">
        <w:rPr>
          <w:b/>
        </w:rPr>
        <w:t>WAZI J</w:t>
      </w:r>
      <w:r w:rsidR="00221A64">
        <w:t>:</w:t>
      </w:r>
      <w:r>
        <w:t xml:space="preserve">  </w:t>
      </w:r>
      <w:r w:rsidR="00221A64">
        <w:t xml:space="preserve">On </w:t>
      </w:r>
      <w:r w:rsidR="006539C6">
        <w:t xml:space="preserve">5 </w:t>
      </w:r>
      <w:r w:rsidR="00221A64">
        <w:t xml:space="preserve">November 2021 in case SC 250/19 judgement </w:t>
      </w:r>
      <w:r w:rsidR="006539C6">
        <w:t>number</w:t>
      </w:r>
      <w:r w:rsidR="00221A64">
        <w:t xml:space="preserve"> SC</w:t>
      </w:r>
      <w:r w:rsidR="006539C6">
        <w:t xml:space="preserve"> </w:t>
      </w:r>
      <w:r w:rsidR="00221A64">
        <w:t xml:space="preserve">138/21 the </w:t>
      </w:r>
      <w:r w:rsidR="006539C6">
        <w:t>Supreme C</w:t>
      </w:r>
      <w:r w:rsidR="00221A64">
        <w:t xml:space="preserve">ourt issued an order, on appeal overturning the decision of this court of 10 April 2019 in case HC 6567/17. </w:t>
      </w:r>
      <w:r w:rsidR="006539C6">
        <w:t xml:space="preserve"> </w:t>
      </w:r>
      <w:r w:rsidR="00221A64">
        <w:t>Of significance is paragraph 2.1 of the order stating that</w:t>
      </w:r>
      <w:r w:rsidR="006539C6">
        <w:t>:</w:t>
      </w:r>
    </w:p>
    <w:p w:rsidR="00600BD2" w:rsidRPr="00CF623B" w:rsidRDefault="006539C6" w:rsidP="006539C6">
      <w:pPr>
        <w:jc w:val="both"/>
        <w:rPr>
          <w:sz w:val="22"/>
          <w:szCs w:val="22"/>
        </w:rPr>
      </w:pPr>
      <w:r>
        <w:rPr>
          <w:sz w:val="22"/>
          <w:szCs w:val="22"/>
        </w:rPr>
        <w:tab/>
      </w:r>
      <w:r w:rsidR="00600BD2" w:rsidRPr="00CF623B">
        <w:rPr>
          <w:sz w:val="22"/>
          <w:szCs w:val="22"/>
        </w:rPr>
        <w:t xml:space="preserve">“The plaintiff’s claim for eviction of the respondent and all those claiming </w:t>
      </w:r>
      <w:r w:rsidR="000667FB" w:rsidRPr="00CF623B">
        <w:rPr>
          <w:sz w:val="22"/>
          <w:szCs w:val="22"/>
        </w:rPr>
        <w:t xml:space="preserve">title through him </w:t>
      </w:r>
      <w:r>
        <w:rPr>
          <w:sz w:val="22"/>
          <w:szCs w:val="22"/>
        </w:rPr>
        <w:tab/>
      </w:r>
      <w:r w:rsidR="000667FB" w:rsidRPr="00CF623B">
        <w:rPr>
          <w:sz w:val="22"/>
          <w:szCs w:val="22"/>
        </w:rPr>
        <w:t xml:space="preserve">from house </w:t>
      </w:r>
      <w:r w:rsidRPr="00CF623B">
        <w:rPr>
          <w:sz w:val="22"/>
          <w:szCs w:val="22"/>
        </w:rPr>
        <w:t>number 12</w:t>
      </w:r>
      <w:r w:rsidR="000667FB" w:rsidRPr="00CF623B">
        <w:rPr>
          <w:sz w:val="22"/>
          <w:szCs w:val="22"/>
        </w:rPr>
        <w:t xml:space="preserve"> Le Roux Drive, Hillside, Harare is granted.”</w:t>
      </w:r>
    </w:p>
    <w:p w:rsidR="006539C6" w:rsidRDefault="006539C6" w:rsidP="004E4A4D">
      <w:pPr>
        <w:spacing w:line="360" w:lineRule="auto"/>
        <w:jc w:val="both"/>
      </w:pPr>
    </w:p>
    <w:p w:rsidR="000667FB" w:rsidRDefault="006539C6" w:rsidP="004E4A4D">
      <w:pPr>
        <w:spacing w:line="360" w:lineRule="auto"/>
        <w:jc w:val="both"/>
      </w:pPr>
      <w:r>
        <w:tab/>
      </w:r>
      <w:r w:rsidR="00221A64">
        <w:t>This order was in favour of the first respondent herein against the third respondent. The said order affected the applicant’s right of occupation as they were the ones in occupation at the time.</w:t>
      </w:r>
      <w:r w:rsidR="00C4422A">
        <w:t xml:space="preserve"> </w:t>
      </w:r>
      <w:r w:rsidR="00221A64">
        <w:t xml:space="preserve"> For one reason or the other applicants had not been made part to both suits mentioned above yet their occupation was known by the feuding parties. Their right of occupation emanated from a deed of donation of the property in contention entered into between the third respondent and themselves. </w:t>
      </w:r>
      <w:r>
        <w:t xml:space="preserve"> </w:t>
      </w:r>
      <w:r w:rsidR="00221A64">
        <w:t xml:space="preserve">The decision of the </w:t>
      </w:r>
      <w:r w:rsidR="007E5E0D">
        <w:t>a</w:t>
      </w:r>
      <w:r w:rsidR="00221A64">
        <w:t>ppellate court is ext</w:t>
      </w:r>
      <w:r w:rsidR="00AC31BF">
        <w:t>a</w:t>
      </w:r>
      <w:r w:rsidR="00221A64">
        <w:t>nt.</w:t>
      </w:r>
    </w:p>
    <w:p w:rsidR="00EE37A3" w:rsidRDefault="006539C6" w:rsidP="004E4A4D">
      <w:pPr>
        <w:spacing w:line="360" w:lineRule="auto"/>
        <w:jc w:val="both"/>
      </w:pPr>
      <w:r>
        <w:tab/>
      </w:r>
      <w:r w:rsidR="00221A64">
        <w:t xml:space="preserve">Applicants sought to resist the eviction as stated in the </w:t>
      </w:r>
      <w:r>
        <w:t>Supreme Court</w:t>
      </w:r>
      <w:r w:rsidR="00221A64">
        <w:t xml:space="preserve"> decision above, by the institution of this </w:t>
      </w:r>
      <w:r w:rsidR="004D0BC1">
        <w:t xml:space="preserve">Constitutional </w:t>
      </w:r>
      <w:r w:rsidR="00221A64">
        <w:t>court application for a declarator. The nature of the relief sought in detail is as follows:</w:t>
      </w:r>
    </w:p>
    <w:p w:rsidR="00480701" w:rsidRDefault="00221A64" w:rsidP="004E4A4D">
      <w:pPr>
        <w:pStyle w:val="ListParagraph"/>
        <w:numPr>
          <w:ilvl w:val="0"/>
          <w:numId w:val="4"/>
        </w:numPr>
        <w:spacing w:line="360" w:lineRule="auto"/>
        <w:jc w:val="both"/>
      </w:pPr>
      <w:r>
        <w:t>As a declaratory relief</w:t>
      </w:r>
      <w:r w:rsidR="006539C6">
        <w:t>;</w:t>
      </w:r>
    </w:p>
    <w:p w:rsidR="00480701" w:rsidRDefault="00480701" w:rsidP="004E4A4D">
      <w:pPr>
        <w:pStyle w:val="ListParagraph"/>
        <w:spacing w:line="360" w:lineRule="auto"/>
        <w:jc w:val="both"/>
      </w:pPr>
      <w:r>
        <w:t>1.</w:t>
      </w:r>
      <w:r w:rsidR="006539C6">
        <w:t xml:space="preserve"> T</w:t>
      </w:r>
      <w:r w:rsidR="00221A64">
        <w:t>he applicants are the occupiers of 12 Le Roux Drive</w:t>
      </w:r>
      <w:r w:rsidR="00AC31BF">
        <w:t>.</w:t>
      </w:r>
    </w:p>
    <w:p w:rsidR="00C0712B" w:rsidRDefault="00480701" w:rsidP="004E4A4D">
      <w:pPr>
        <w:pStyle w:val="ListParagraph"/>
        <w:spacing w:line="360" w:lineRule="auto"/>
        <w:jc w:val="both"/>
      </w:pPr>
      <w:r>
        <w:lastRenderedPageBreak/>
        <w:t>2.</w:t>
      </w:r>
      <w:r w:rsidR="006539C6">
        <w:t xml:space="preserve"> </w:t>
      </w:r>
      <w:r w:rsidR="00221A64">
        <w:t xml:space="preserve">The practice in eviction proceedings of claiming relief against one or more </w:t>
      </w:r>
    </w:p>
    <w:p w:rsidR="00C0712B" w:rsidRDefault="00C0712B" w:rsidP="004E4A4D">
      <w:pPr>
        <w:pStyle w:val="ListParagraph"/>
        <w:spacing w:line="360" w:lineRule="auto"/>
        <w:jc w:val="both"/>
      </w:pPr>
      <w:r>
        <w:t xml:space="preserve">    </w:t>
      </w:r>
      <w:r w:rsidR="00221A64">
        <w:t>defendant</w:t>
      </w:r>
      <w:r w:rsidR="000667FB">
        <w:t>(s)</w:t>
      </w:r>
      <w:r w:rsidR="006539C6">
        <w:t xml:space="preserve"> </w:t>
      </w:r>
      <w:r w:rsidR="00221A64">
        <w:t>but for the eviction of “all th</w:t>
      </w:r>
      <w:r w:rsidR="000667FB">
        <w:t>o</w:t>
      </w:r>
      <w:r w:rsidR="00221A64">
        <w:t xml:space="preserve">se claiming title through him/them” </w:t>
      </w:r>
      <w:r>
        <w:t xml:space="preserve">   </w:t>
      </w:r>
    </w:p>
    <w:p w:rsidR="00C0712B" w:rsidRDefault="00C0712B" w:rsidP="004E4A4D">
      <w:pPr>
        <w:pStyle w:val="ListParagraph"/>
        <w:spacing w:line="360" w:lineRule="auto"/>
        <w:jc w:val="both"/>
      </w:pPr>
      <w:r>
        <w:t xml:space="preserve">    </w:t>
      </w:r>
      <w:r w:rsidR="00221A64">
        <w:t xml:space="preserve">without citing all occupiers in the home is in violation of </w:t>
      </w:r>
      <w:r w:rsidR="006539C6">
        <w:t>s</w:t>
      </w:r>
      <w:r w:rsidR="00221A64">
        <w:t xml:space="preserve"> 56 and 74 of the </w:t>
      </w:r>
      <w:r>
        <w:t xml:space="preserve">  </w:t>
      </w:r>
    </w:p>
    <w:p w:rsidR="00EE37A3" w:rsidRDefault="00C0712B" w:rsidP="004E4A4D">
      <w:pPr>
        <w:pStyle w:val="ListParagraph"/>
        <w:spacing w:line="360" w:lineRule="auto"/>
        <w:jc w:val="both"/>
      </w:pPr>
      <w:r>
        <w:t xml:space="preserve">    </w:t>
      </w:r>
      <w:r w:rsidR="006539C6">
        <w:t>C</w:t>
      </w:r>
      <w:r w:rsidR="00221A64">
        <w:t>onstitution of Zimbabwe.</w:t>
      </w:r>
    </w:p>
    <w:p w:rsidR="00480701" w:rsidRDefault="00221A64" w:rsidP="004E4A4D">
      <w:pPr>
        <w:pStyle w:val="ListParagraph"/>
        <w:numPr>
          <w:ilvl w:val="0"/>
          <w:numId w:val="4"/>
        </w:numPr>
        <w:spacing w:line="360" w:lineRule="auto"/>
        <w:jc w:val="both"/>
      </w:pPr>
      <w:r>
        <w:t>As ancillary relief</w:t>
      </w:r>
    </w:p>
    <w:p w:rsidR="00480701" w:rsidRDefault="006539C6" w:rsidP="006539C6">
      <w:pPr>
        <w:pStyle w:val="ListParagraph"/>
        <w:spacing w:line="360" w:lineRule="auto"/>
        <w:ind w:left="360"/>
        <w:jc w:val="both"/>
      </w:pPr>
      <w:r>
        <w:tab/>
        <w:t>1.</w:t>
      </w:r>
      <w:r w:rsidR="00221A64">
        <w:t xml:space="preserve"> The applicant as the occupiers of 12 Le Roux Drive cannot be evicted without an </w:t>
      </w:r>
      <w:r>
        <w:tab/>
        <w:t xml:space="preserve">    </w:t>
      </w:r>
      <w:r w:rsidR="00221A64">
        <w:t xml:space="preserve">order of court against them made after considering all the relevant circumstances of </w:t>
      </w:r>
      <w:r>
        <w:t xml:space="preserve"> </w:t>
      </w:r>
      <w:r>
        <w:tab/>
        <w:t xml:space="preserve">    </w:t>
      </w:r>
      <w:r w:rsidR="00221A64">
        <w:t xml:space="preserve">the occupiers of </w:t>
      </w:r>
      <w:r w:rsidR="00480701">
        <w:t>th</w:t>
      </w:r>
      <w:r w:rsidR="00221A64">
        <w:t>e home.</w:t>
      </w:r>
    </w:p>
    <w:p w:rsidR="00EE37A3" w:rsidRDefault="006539C6" w:rsidP="006539C6">
      <w:pPr>
        <w:spacing w:line="360" w:lineRule="auto"/>
        <w:jc w:val="both"/>
      </w:pPr>
      <w:r>
        <w:tab/>
        <w:t>2.</w:t>
      </w:r>
      <w:r w:rsidR="00221A64">
        <w:t xml:space="preserve"> That there be no order as to costs.</w:t>
      </w:r>
    </w:p>
    <w:p w:rsidR="00A6634E" w:rsidRDefault="006539C6" w:rsidP="004E4A4D">
      <w:pPr>
        <w:spacing w:line="360" w:lineRule="auto"/>
        <w:jc w:val="both"/>
      </w:pPr>
      <w:r>
        <w:tab/>
      </w:r>
      <w:r w:rsidR="00221A64">
        <w:t>Briefly</w:t>
      </w:r>
      <w:r w:rsidR="00480701">
        <w:t>,</w:t>
      </w:r>
      <w:r w:rsidR="00221A64">
        <w:t xml:space="preserve"> the first and third respondent</w:t>
      </w:r>
      <w:r w:rsidR="00480701">
        <w:t>s</w:t>
      </w:r>
      <w:r w:rsidR="00221A64">
        <w:t xml:space="preserve"> entered into a verbal instalment</w:t>
      </w:r>
      <w:r w:rsidR="00480701">
        <w:t xml:space="preserve"> </w:t>
      </w:r>
      <w:r w:rsidR="00221A64">
        <w:t xml:space="preserve">agreement </w:t>
      </w:r>
      <w:r w:rsidR="00A6634E">
        <w:t>for</w:t>
      </w:r>
      <w:r w:rsidR="00221A64">
        <w:t xml:space="preserve"> the sale of property</w:t>
      </w:r>
      <w:r w:rsidR="00A6634E">
        <w:t>, house number</w:t>
      </w:r>
      <w:r w:rsidR="00221A64">
        <w:t xml:space="preserve"> 12 Le Roux Drive, Hillside, Harare</w:t>
      </w:r>
      <w:r w:rsidR="00480701">
        <w:t>,</w:t>
      </w:r>
      <w:r w:rsidR="00221A64">
        <w:t xml:space="preserve"> sometime in 20</w:t>
      </w:r>
      <w:r w:rsidR="00A17CC1">
        <w:t>09.</w:t>
      </w:r>
      <w:r w:rsidR="00221A64">
        <w:t xml:space="preserve"> Vacant possession was given at the time of the signing </w:t>
      </w:r>
      <w:r w:rsidR="00480701">
        <w:t>o</w:t>
      </w:r>
      <w:r w:rsidR="00221A64">
        <w:t>f the agreement</w:t>
      </w:r>
      <w:r w:rsidR="00480701">
        <w:t xml:space="preserve"> and after</w:t>
      </w:r>
      <w:r w:rsidR="00221A64">
        <w:t xml:space="preserve"> the payment of the then agreed purchase deposit. </w:t>
      </w:r>
      <w:r w:rsidR="00480701">
        <w:t>Over a period of time as per the dictates of the said agreement, a</w:t>
      </w:r>
      <w:r w:rsidR="00221A64">
        <w:t xml:space="preserve"> substantial amount was paid by the third respondent, leaving a nominal amount. </w:t>
      </w:r>
      <w:r w:rsidR="00480701">
        <w:t xml:space="preserve"> From the onset, it</w:t>
      </w:r>
      <w:r w:rsidR="00221A64">
        <w:t xml:space="preserve"> was agreed that the seller would reduce the agreement to writing</w:t>
      </w:r>
      <w:r w:rsidR="00921ECC">
        <w:t>,</w:t>
      </w:r>
      <w:r w:rsidR="00221A64">
        <w:t xml:space="preserve"> which he never did even after several requests resulting in the purchaser withholding the payment of the balance. </w:t>
      </w:r>
    </w:p>
    <w:p w:rsidR="00A17CC1" w:rsidRDefault="006539C6" w:rsidP="004E4A4D">
      <w:pPr>
        <w:spacing w:line="360" w:lineRule="auto"/>
        <w:jc w:val="both"/>
      </w:pPr>
      <w:r>
        <w:tab/>
      </w:r>
      <w:r w:rsidR="00221A64">
        <w:t>The third respondent</w:t>
      </w:r>
      <w:r w:rsidR="00921ECC">
        <w:t>,</w:t>
      </w:r>
      <w:r w:rsidR="00A6634E">
        <w:t xml:space="preserve"> soon</w:t>
      </w:r>
      <w:r w:rsidR="00221A64">
        <w:t xml:space="preserve"> after getting vacant </w:t>
      </w:r>
      <w:r w:rsidR="00A6634E">
        <w:t>possession, donated</w:t>
      </w:r>
      <w:r w:rsidR="00221A64">
        <w:t xml:space="preserve"> the said property to the applicants </w:t>
      </w:r>
      <w:r w:rsidR="00921ECC">
        <w:t xml:space="preserve">pursuant to </w:t>
      </w:r>
      <w:r w:rsidR="00221A64">
        <w:t xml:space="preserve">a deed of donation. </w:t>
      </w:r>
      <w:r>
        <w:t xml:space="preserve"> </w:t>
      </w:r>
      <w:r w:rsidR="00221A64">
        <w:t>Applicants</w:t>
      </w:r>
      <w:r w:rsidR="00A6634E">
        <w:t>,</w:t>
      </w:r>
      <w:r w:rsidR="00921ECC">
        <w:t xml:space="preserve"> </w:t>
      </w:r>
      <w:r w:rsidR="00A6634E">
        <w:t>subsequently took</w:t>
      </w:r>
      <w:r w:rsidR="00221A64">
        <w:t xml:space="preserve"> occupation of the property. It is on record that</w:t>
      </w:r>
      <w:r w:rsidR="00921ECC">
        <w:t>,</w:t>
      </w:r>
      <w:r w:rsidR="00221A64">
        <w:t xml:space="preserve"> at one stage</w:t>
      </w:r>
      <w:r w:rsidR="00A6634E">
        <w:t>,</w:t>
      </w:r>
      <w:r w:rsidR="00221A64">
        <w:t xml:space="preserve"> the purchaser was informed of the rights of the applicant</w:t>
      </w:r>
      <w:r w:rsidR="00921ECC">
        <w:t>s</w:t>
      </w:r>
      <w:r w:rsidR="00221A64">
        <w:t xml:space="preserve"> and the need to draft the agreement of sale in their names instead of that of the third respondent.</w:t>
      </w:r>
      <w:r w:rsidR="00A6634E">
        <w:t xml:space="preserve"> </w:t>
      </w:r>
      <w:r>
        <w:t xml:space="preserve"> </w:t>
      </w:r>
      <w:r w:rsidR="006D241F">
        <w:t>Irrefutable</w:t>
      </w:r>
      <w:r w:rsidR="00221A64">
        <w:t xml:space="preserve"> </w:t>
      </w:r>
      <w:r w:rsidR="00A6634E">
        <w:t>e</w:t>
      </w:r>
      <w:r w:rsidR="00221A64">
        <w:t>vidence was placed before the courts that the applicants even paid the sum of three hundred dollars to the seller to facilitate the drawing of the long overdue agreement of sale.</w:t>
      </w:r>
      <w:r w:rsidR="002018C5">
        <w:t xml:space="preserve"> </w:t>
      </w:r>
      <w:r w:rsidR="00A6634E">
        <w:t xml:space="preserve"> However, </w:t>
      </w:r>
      <w:r w:rsidR="000667FB">
        <w:t>the seller</w:t>
      </w:r>
      <w:r w:rsidR="00221A64">
        <w:t xml:space="preserve">, who is the first respondent </w:t>
      </w:r>
      <w:r w:rsidR="000667FB">
        <w:t>herein, continued</w:t>
      </w:r>
      <w:r w:rsidR="00A6634E">
        <w:t xml:space="preserve"> to play hide and seek</w:t>
      </w:r>
      <w:r w:rsidR="00A17CC1">
        <w:t xml:space="preserve">. </w:t>
      </w:r>
      <w:r>
        <w:t xml:space="preserve"> </w:t>
      </w:r>
      <w:r w:rsidR="00A17CC1">
        <w:t xml:space="preserve">Contrary to </w:t>
      </w:r>
      <w:r w:rsidR="000667FB">
        <w:t>the acreage</w:t>
      </w:r>
      <w:r w:rsidR="00A17CC1">
        <w:t xml:space="preserve"> in their verbal agreement,</w:t>
      </w:r>
      <w:r w:rsidR="00A6634E">
        <w:t xml:space="preserve"> the third respondent learnt that</w:t>
      </w:r>
      <w:r w:rsidR="00A17CC1">
        <w:t>, t</w:t>
      </w:r>
      <w:r w:rsidR="00A6634E">
        <w:t>he</w:t>
      </w:r>
      <w:r w:rsidR="00A17CC1">
        <w:t xml:space="preserve"> first respondent</w:t>
      </w:r>
      <w:r w:rsidR="00A6634E">
        <w:t xml:space="preserve"> </w:t>
      </w:r>
      <w:r w:rsidR="000667FB">
        <w:t>had subdivided</w:t>
      </w:r>
      <w:r w:rsidR="00921ECC">
        <w:t xml:space="preserve"> the property in issue after surrepti</w:t>
      </w:r>
      <w:r w:rsidR="000667FB">
        <w:t>ti</w:t>
      </w:r>
      <w:r w:rsidR="00921ECC">
        <w:t>o</w:t>
      </w:r>
      <w:r w:rsidR="00A6634E">
        <w:t>u</w:t>
      </w:r>
      <w:r w:rsidR="00921ECC">
        <w:t>sly obtain</w:t>
      </w:r>
      <w:r w:rsidR="00A6634E">
        <w:t>ing</w:t>
      </w:r>
      <w:r w:rsidR="00921ECC">
        <w:t xml:space="preserve"> a subdivision permit from the respective </w:t>
      </w:r>
      <w:r w:rsidR="00A6634E">
        <w:t>authorities</w:t>
      </w:r>
      <w:r w:rsidR="00A17CC1">
        <w:t>.</w:t>
      </w:r>
      <w:r w:rsidR="00221A64">
        <w:t xml:space="preserve"> </w:t>
      </w:r>
      <w:r w:rsidR="00C4422A">
        <w:t xml:space="preserve"> </w:t>
      </w:r>
      <w:r w:rsidR="00221A64">
        <w:t xml:space="preserve">When </w:t>
      </w:r>
      <w:r w:rsidR="00A17CC1">
        <w:t>he</w:t>
      </w:r>
      <w:r w:rsidR="00221A64">
        <w:t xml:space="preserve"> registered his displeasure</w:t>
      </w:r>
      <w:r w:rsidR="00A17CC1">
        <w:t>,</w:t>
      </w:r>
      <w:r w:rsidR="00221A64">
        <w:t xml:space="preserve"> the first respondent</w:t>
      </w:r>
      <w:r w:rsidR="00A17CC1">
        <w:t xml:space="preserve">, </w:t>
      </w:r>
      <w:r w:rsidR="00221A64">
        <w:t>re</w:t>
      </w:r>
      <w:r w:rsidR="00A17CC1">
        <w:t>acted</w:t>
      </w:r>
      <w:r w:rsidR="00221A64">
        <w:t xml:space="preserve"> by issuing summons for</w:t>
      </w:r>
      <w:r w:rsidR="00A17CC1">
        <w:t xml:space="preserve"> his ejectment </w:t>
      </w:r>
      <w:r w:rsidR="00221A64">
        <w:t>and</w:t>
      </w:r>
      <w:r w:rsidR="00A17CC1">
        <w:t xml:space="preserve"> of</w:t>
      </w:r>
      <w:r w:rsidR="00221A64">
        <w:t xml:space="preserve"> all those who claimed </w:t>
      </w:r>
      <w:r w:rsidR="004D0BC1">
        <w:t>occupation</w:t>
      </w:r>
      <w:r w:rsidR="00221A64">
        <w:t xml:space="preserve"> through him.</w:t>
      </w:r>
    </w:p>
    <w:p w:rsidR="00EE37A3" w:rsidRDefault="008F25CA" w:rsidP="004E4A4D">
      <w:pPr>
        <w:spacing w:line="360" w:lineRule="auto"/>
        <w:jc w:val="both"/>
      </w:pPr>
      <w:r>
        <w:tab/>
      </w:r>
      <w:r w:rsidR="00221A64">
        <w:t>Despite the fact that</w:t>
      </w:r>
      <w:r w:rsidR="004D0BC1">
        <w:t>,</w:t>
      </w:r>
      <w:r w:rsidR="00221A64">
        <w:t xml:space="preserve"> the first respondent was aware of the existence of the applicants and their rights and interests</w:t>
      </w:r>
      <w:r w:rsidR="00A17CC1">
        <w:t xml:space="preserve"> in the property, he</w:t>
      </w:r>
      <w:r w:rsidR="00221A64">
        <w:t xml:space="preserve"> did not </w:t>
      </w:r>
      <w:r w:rsidR="000667FB">
        <w:t>en</w:t>
      </w:r>
      <w:r w:rsidR="00221A64">
        <w:t>join them as parties to those proceedings. On the 10 April 2019</w:t>
      </w:r>
      <w:r w:rsidR="00A17CC1">
        <w:t>,</w:t>
      </w:r>
      <w:r w:rsidR="006539C6">
        <w:t xml:space="preserve"> </w:t>
      </w:r>
      <w:r w:rsidR="00F66F01">
        <w:t xml:space="preserve">in a summons matter initiated by the first respondent for </w:t>
      </w:r>
      <w:r w:rsidR="00F66F01">
        <w:lastRenderedPageBreak/>
        <w:t>eviction, case HC</w:t>
      </w:r>
      <w:r w:rsidR="00C4422A">
        <w:t> </w:t>
      </w:r>
      <w:r w:rsidR="000667FB">
        <w:t xml:space="preserve">6567/17, </w:t>
      </w:r>
      <w:r w:rsidR="00F66F01">
        <w:t xml:space="preserve">judgment was given in favour of the </w:t>
      </w:r>
      <w:r w:rsidR="004D0BC1">
        <w:t>third</w:t>
      </w:r>
      <w:r w:rsidR="00F66F01">
        <w:t xml:space="preserve"> respondent</w:t>
      </w:r>
      <w:r w:rsidR="004D0BC1">
        <w:t>,</w:t>
      </w:r>
      <w:r w:rsidR="00F66F01">
        <w:t xml:space="preserve"> both in terms of the main and counterclaim. </w:t>
      </w:r>
      <w:r w:rsidR="00C4422A">
        <w:t xml:space="preserve"> </w:t>
      </w:r>
      <w:r w:rsidR="00F66F01">
        <w:t xml:space="preserve">The joy was short lived when </w:t>
      </w:r>
      <w:r w:rsidR="00221A64">
        <w:t xml:space="preserve">the first </w:t>
      </w:r>
      <w:r w:rsidR="006539C6">
        <w:t>respondent successfully</w:t>
      </w:r>
      <w:r w:rsidR="00F66F01">
        <w:t xml:space="preserve"> appealed the decision in case SC</w:t>
      </w:r>
      <w:r w:rsidR="006539C6">
        <w:t xml:space="preserve"> </w:t>
      </w:r>
      <w:r w:rsidR="000667FB">
        <w:t xml:space="preserve">250/19, </w:t>
      </w:r>
      <w:r w:rsidR="00F66F01">
        <w:t>which granted the</w:t>
      </w:r>
      <w:r w:rsidR="004D0BC1">
        <w:t xml:space="preserve"> now contentious</w:t>
      </w:r>
      <w:r w:rsidR="00F66F01">
        <w:t xml:space="preserve"> eviction order.</w:t>
      </w:r>
    </w:p>
    <w:p w:rsidR="00EE37A3" w:rsidRDefault="006539C6" w:rsidP="004E4A4D">
      <w:pPr>
        <w:spacing w:line="360" w:lineRule="auto"/>
        <w:jc w:val="both"/>
      </w:pPr>
      <w:r>
        <w:tab/>
      </w:r>
      <w:r w:rsidR="00221A64">
        <w:t>It is the applicants</w:t>
      </w:r>
      <w:r w:rsidR="00F66F01">
        <w:t>’</w:t>
      </w:r>
      <w:r w:rsidR="00221A64">
        <w:t xml:space="preserve"> case that</w:t>
      </w:r>
      <w:r w:rsidR="00F66F01">
        <w:t>,</w:t>
      </w:r>
      <w:r w:rsidR="000667FB">
        <w:t xml:space="preserve"> </w:t>
      </w:r>
      <w:r>
        <w:t xml:space="preserve">the </w:t>
      </w:r>
      <w:r w:rsidR="004D0BC1">
        <w:t xml:space="preserve">Supreme </w:t>
      </w:r>
      <w:r w:rsidR="002018C5">
        <w:t>Court</w:t>
      </w:r>
      <w:r w:rsidR="00F66F01">
        <w:t xml:space="preserve"> decision to eject them when they were not part to the proceedings is an infringement </w:t>
      </w:r>
      <w:r w:rsidR="004D0BC1">
        <w:t>of</w:t>
      </w:r>
      <w:r w:rsidR="00F66F01">
        <w:t xml:space="preserve"> their </w:t>
      </w:r>
      <w:r w:rsidR="000667FB">
        <w:t>C</w:t>
      </w:r>
      <w:r w:rsidR="00221A64">
        <w:t>onstitutional rights</w:t>
      </w:r>
      <w:r w:rsidR="00F66F01">
        <w:t>.  Differently put, they argue that, they are</w:t>
      </w:r>
      <w:r w:rsidR="000667FB">
        <w:t xml:space="preserve"> and have always</w:t>
      </w:r>
      <w:r w:rsidR="00F66F01">
        <w:t xml:space="preserve"> </w:t>
      </w:r>
      <w:r>
        <w:t>been in</w:t>
      </w:r>
      <w:r w:rsidR="00221A64">
        <w:t xml:space="preserve"> occupation</w:t>
      </w:r>
      <w:r w:rsidR="000667FB">
        <w:t xml:space="preserve"> of the property,</w:t>
      </w:r>
      <w:r w:rsidR="00F66F01">
        <w:t xml:space="preserve"> therefore the failure to</w:t>
      </w:r>
      <w:r w:rsidR="00221A64">
        <w:t xml:space="preserve"> incorporate</w:t>
      </w:r>
      <w:r w:rsidR="00F66F01">
        <w:t xml:space="preserve"> </w:t>
      </w:r>
      <w:r w:rsidR="002108F3">
        <w:t>them in</w:t>
      </w:r>
      <w:r w:rsidR="00221A64">
        <w:t xml:space="preserve"> a suit whose resultant judgement affected their rights</w:t>
      </w:r>
      <w:r w:rsidR="002108F3">
        <w:t xml:space="preserve"> was a violation of ss </w:t>
      </w:r>
      <w:r w:rsidR="00600BD2">
        <w:t>56 and 74 of the Constitution of Zimbabwe, Amendment Act No.</w:t>
      </w:r>
      <w:r w:rsidR="002108F3">
        <w:t xml:space="preserve"> </w:t>
      </w:r>
      <w:r w:rsidR="00600BD2">
        <w:t>20 of 2013</w:t>
      </w:r>
      <w:r w:rsidR="002108F3">
        <w:t>.</w:t>
      </w:r>
      <w:r w:rsidR="00221A64">
        <w:t xml:space="preserve"> </w:t>
      </w:r>
      <w:r w:rsidR="002018C5">
        <w:t>They advanced</w:t>
      </w:r>
      <w:r w:rsidR="00600BD2">
        <w:t xml:space="preserve"> that,</w:t>
      </w:r>
      <w:r w:rsidR="00221A64">
        <w:t xml:space="preserve"> they deserved equal protection and benefit of the law as espoused in </w:t>
      </w:r>
      <w:r w:rsidR="006D241F">
        <w:t>s</w:t>
      </w:r>
      <w:r w:rsidR="00600BD2">
        <w:t xml:space="preserve"> 56 of the</w:t>
      </w:r>
      <w:r w:rsidR="00221A64">
        <w:t xml:space="preserve"> </w:t>
      </w:r>
      <w:r w:rsidR="00600BD2">
        <w:t>C</w:t>
      </w:r>
      <w:r w:rsidR="00221A64">
        <w:t>onstitution</w:t>
      </w:r>
      <w:r w:rsidR="00600BD2">
        <w:t>.</w:t>
      </w:r>
      <w:r w:rsidR="00221A64">
        <w:t xml:space="preserve"> They also </w:t>
      </w:r>
      <w:r w:rsidR="002108F3">
        <w:t xml:space="preserve">claim that by virtue of s </w:t>
      </w:r>
      <w:r w:rsidR="00221A64">
        <w:t>74 of the same, they had the right not to be</w:t>
      </w:r>
      <w:r w:rsidR="004D0BC1">
        <w:t xml:space="preserve"> arbitrarily</w:t>
      </w:r>
      <w:r w:rsidR="00221A64">
        <w:t xml:space="preserve"> evicted from their home. They argue that they had a constitutional right to have their own personal circumstances, canvasse</w:t>
      </w:r>
      <w:r w:rsidR="00600BD2">
        <w:t>d</w:t>
      </w:r>
      <w:r w:rsidR="00221A64">
        <w:t>, and considered as they had occupational rights</w:t>
      </w:r>
      <w:r w:rsidR="00600BD2">
        <w:t xml:space="preserve"> independent of </w:t>
      </w:r>
      <w:r w:rsidR="002108F3">
        <w:t>and not</w:t>
      </w:r>
      <w:r w:rsidR="00221A64">
        <w:t xml:space="preserve"> related to the contract of donation, nor the third respondent. They contend that it would have been fair and just if the courts</w:t>
      </w:r>
      <w:r w:rsidR="00600BD2">
        <w:t>,</w:t>
      </w:r>
      <w:r w:rsidR="00221A64">
        <w:t xml:space="preserve"> before the eviction gave them an opportunity to defend their rights of occupation and freedom from eviction. It is their further contention that the eviction is arbitrary as the order of the superior court was given without their inclusion.</w:t>
      </w:r>
    </w:p>
    <w:p w:rsidR="00EE37A3" w:rsidRDefault="002108F3" w:rsidP="004E4A4D">
      <w:pPr>
        <w:spacing w:line="360" w:lineRule="auto"/>
        <w:jc w:val="both"/>
      </w:pPr>
      <w:r>
        <w:tab/>
        <w:t>Applicants further submit that s</w:t>
      </w:r>
      <w:r w:rsidR="00221A64">
        <w:t xml:space="preserve"> 74 of the constitution was meant to protect rights such as theirs irrespective of the fact that they derived their right of occupation from the person directly targeted by the order for ejectment. They are saying an omnibus order evicting other people not part of the suit but in occupation contravenes their own personal rights. </w:t>
      </w:r>
      <w:r w:rsidR="00C4422A">
        <w:t xml:space="preserve"> </w:t>
      </w:r>
      <w:r w:rsidR="00221A64">
        <w:t xml:space="preserve">In their view, </w:t>
      </w:r>
      <w:r>
        <w:t xml:space="preserve">s </w:t>
      </w:r>
      <w:r w:rsidR="00221A64">
        <w:t>74 should be construed as the remedy or panacea to redress umbrella treatment of rights of occupation separate from contractual obligations of the other parties.</w:t>
      </w:r>
      <w:r w:rsidR="00580DC3">
        <w:t xml:space="preserve"> In support of this position, </w:t>
      </w:r>
      <w:r w:rsidR="002018C5">
        <w:t>Mr</w:t>
      </w:r>
      <w:r w:rsidR="004D0BC1">
        <w:t xml:space="preserve"> </w:t>
      </w:r>
      <w:r w:rsidR="00580DC3" w:rsidRPr="002018C5">
        <w:rPr>
          <w:i/>
        </w:rPr>
        <w:t>Chinyoka</w:t>
      </w:r>
      <w:r w:rsidR="00580DC3">
        <w:t xml:space="preserve">, equated the </w:t>
      </w:r>
      <w:r w:rsidR="002018C5">
        <w:t>applicants’</w:t>
      </w:r>
      <w:r w:rsidR="00580DC3">
        <w:t xml:space="preserve"> circumstances to those o</w:t>
      </w:r>
      <w:r w:rsidR="002018C5">
        <w:t>f the applicants in the case of</w:t>
      </w:r>
      <w:r w:rsidR="00580DC3">
        <w:t xml:space="preserve">, </w:t>
      </w:r>
      <w:r w:rsidR="00580DC3">
        <w:rPr>
          <w:i/>
        </w:rPr>
        <w:t xml:space="preserve">Port Elizabeth Municipality </w:t>
      </w:r>
      <w:r w:rsidR="00580DC3" w:rsidRPr="002018C5">
        <w:t>v</w:t>
      </w:r>
      <w:r w:rsidR="00580DC3">
        <w:rPr>
          <w:i/>
        </w:rPr>
        <w:t xml:space="preserve"> Various </w:t>
      </w:r>
      <w:r w:rsidR="002018C5">
        <w:rPr>
          <w:i/>
        </w:rPr>
        <w:t>O</w:t>
      </w:r>
      <w:r w:rsidR="00580DC3">
        <w:rPr>
          <w:i/>
        </w:rPr>
        <w:t xml:space="preserve">ccupiers 2005(1) SA217 CC, </w:t>
      </w:r>
      <w:r w:rsidR="00580DC3">
        <w:t xml:space="preserve">where the court recognised the right of occupation of the illegal settlers on Municipal land, and protected those rights from arbitral eviction even from the owner of the land. </w:t>
      </w:r>
      <w:r w:rsidR="00221A64">
        <w:t xml:space="preserve"> In addition, they contend that they are not challenging the </w:t>
      </w:r>
      <w:r w:rsidR="002018C5">
        <w:t>Supreme Court</w:t>
      </w:r>
      <w:r w:rsidR="00221A64">
        <w:t xml:space="preserve"> decision from the back door but rather seeking equal protection by the law.</w:t>
      </w:r>
    </w:p>
    <w:p w:rsidR="00EE37A3" w:rsidRDefault="002108F3" w:rsidP="004E4A4D">
      <w:pPr>
        <w:spacing w:line="360" w:lineRule="auto"/>
        <w:jc w:val="both"/>
      </w:pPr>
      <w:r>
        <w:tab/>
      </w:r>
      <w:r w:rsidR="00600BD2">
        <w:t xml:space="preserve">The respondent raised four </w:t>
      </w:r>
      <w:r w:rsidR="00600BD2" w:rsidRPr="002108F3">
        <w:t xml:space="preserve">points </w:t>
      </w:r>
      <w:r w:rsidR="00600BD2" w:rsidRPr="00600BD2">
        <w:rPr>
          <w:i/>
        </w:rPr>
        <w:t>in limine</w:t>
      </w:r>
      <w:r w:rsidR="00600BD2">
        <w:t xml:space="preserve"> which are, u</w:t>
      </w:r>
      <w:r w:rsidR="00221A64">
        <w:t>n</w:t>
      </w:r>
      <w:r w:rsidR="00CB392B">
        <w:t xml:space="preserve"> </w:t>
      </w:r>
      <w:r w:rsidR="00221A64">
        <w:t>procedur</w:t>
      </w:r>
      <w:r>
        <w:t>al attempt to interfere with a Supreme C</w:t>
      </w:r>
      <w:r w:rsidR="00221A64">
        <w:t>ourt judgement</w:t>
      </w:r>
      <w:r w:rsidR="006B744A">
        <w:t>, (jurisdiction)</w:t>
      </w:r>
      <w:r w:rsidR="00600BD2">
        <w:t>, n</w:t>
      </w:r>
      <w:r w:rsidR="00221A64">
        <w:t xml:space="preserve">o </w:t>
      </w:r>
      <w:r w:rsidR="00221A64" w:rsidRPr="002108F3">
        <w:rPr>
          <w:i/>
        </w:rPr>
        <w:t>lo</w:t>
      </w:r>
      <w:r w:rsidR="00600BD2" w:rsidRPr="002108F3">
        <w:rPr>
          <w:i/>
        </w:rPr>
        <w:t>cus</w:t>
      </w:r>
      <w:r w:rsidR="00221A64" w:rsidRPr="002108F3">
        <w:rPr>
          <w:i/>
        </w:rPr>
        <w:t xml:space="preserve"> stand</w:t>
      </w:r>
      <w:r w:rsidR="00600BD2" w:rsidRPr="002108F3">
        <w:rPr>
          <w:i/>
        </w:rPr>
        <w:t>i</w:t>
      </w:r>
      <w:r w:rsidR="00600BD2">
        <w:t>, ripeness</w:t>
      </w:r>
      <w:r w:rsidR="00221A64">
        <w:t xml:space="preserve"> and constitutional avoidance</w:t>
      </w:r>
      <w:r w:rsidR="00600BD2">
        <w:t xml:space="preserve"> and n</w:t>
      </w:r>
      <w:r w:rsidR="00221A64">
        <w:t>eed for applicants to have applied for a joinder in case 6567/17</w:t>
      </w:r>
      <w:r w:rsidR="00600BD2">
        <w:t>.</w:t>
      </w:r>
    </w:p>
    <w:p w:rsidR="005E2F21" w:rsidRDefault="006D241F" w:rsidP="004E4A4D">
      <w:pPr>
        <w:spacing w:line="360" w:lineRule="auto"/>
        <w:jc w:val="both"/>
      </w:pPr>
      <w:r>
        <w:lastRenderedPageBreak/>
        <w:tab/>
      </w:r>
      <w:r w:rsidR="000667FB">
        <w:t xml:space="preserve">They </w:t>
      </w:r>
      <w:r w:rsidR="00580DC3">
        <w:t>controvert</w:t>
      </w:r>
      <w:r w:rsidR="000667FB">
        <w:t xml:space="preserve"> that </w:t>
      </w:r>
      <w:r w:rsidR="005E2F21">
        <w:t xml:space="preserve">the Supreme </w:t>
      </w:r>
      <w:r>
        <w:t>C</w:t>
      </w:r>
      <w:r w:rsidR="005E2F21">
        <w:t>ourt has ruled and its ruling stands. The effect of that ruling is that</w:t>
      </w:r>
      <w:r w:rsidR="00580DC3">
        <w:t xml:space="preserve">, as the legally declared owners, </w:t>
      </w:r>
      <w:r w:rsidR="005E2F21">
        <w:t xml:space="preserve">they have the right to vindicate the said property from </w:t>
      </w:r>
      <w:r>
        <w:t>whosoever</w:t>
      </w:r>
      <w:r w:rsidR="005E2F21">
        <w:t xml:space="preserve"> is in </w:t>
      </w:r>
      <w:r w:rsidR="00580DC3">
        <w:t xml:space="preserve">its </w:t>
      </w:r>
      <w:r w:rsidR="005E2F21">
        <w:t>possession without their consent.</w:t>
      </w:r>
      <w:r>
        <w:t xml:space="preserve"> </w:t>
      </w:r>
      <w:r w:rsidR="005E2F21">
        <w:t xml:space="preserve"> It is their submission that since the appellate court has made a decision that all occupants be evicted, this court has no jurisdiction to review query, rescind or set aside that decision even in respect of a constitutional argument. </w:t>
      </w:r>
      <w:r>
        <w:t xml:space="preserve"> </w:t>
      </w:r>
      <w:r w:rsidR="005E2F21">
        <w:t xml:space="preserve">In their view, the applicant is seeking to indirectly challenge the Supreme </w:t>
      </w:r>
      <w:r>
        <w:t>C</w:t>
      </w:r>
      <w:r w:rsidR="005E2F21">
        <w:t>ourt decision under the guise of constitutional violations.</w:t>
      </w:r>
      <w:r w:rsidR="00580DC3">
        <w:t xml:space="preserve"> </w:t>
      </w:r>
      <w:r w:rsidR="00882880">
        <w:t xml:space="preserve">They cited the cases of </w:t>
      </w:r>
      <w:r w:rsidR="00882880" w:rsidRPr="00882880">
        <w:rPr>
          <w:i/>
        </w:rPr>
        <w:t>Commercial</w:t>
      </w:r>
      <w:r w:rsidR="00882880">
        <w:t xml:space="preserve"> Fa</w:t>
      </w:r>
      <w:r w:rsidR="00882880" w:rsidRPr="00882880">
        <w:rPr>
          <w:i/>
        </w:rPr>
        <w:t xml:space="preserve">rmers Union </w:t>
      </w:r>
      <w:r w:rsidR="00882880" w:rsidRPr="002018C5">
        <w:t xml:space="preserve">v </w:t>
      </w:r>
      <w:r w:rsidR="00882880" w:rsidRPr="00882880">
        <w:rPr>
          <w:i/>
        </w:rPr>
        <w:t>Mhuriro</w:t>
      </w:r>
      <w:r w:rsidR="00882880">
        <w:rPr>
          <w:i/>
        </w:rPr>
        <w:t>,</w:t>
      </w:r>
      <w:r w:rsidR="00882880">
        <w:t xml:space="preserve"> 2000 (2) ZLR 405 SC and </w:t>
      </w:r>
      <w:r w:rsidR="00882880" w:rsidRPr="00882880">
        <w:rPr>
          <w:i/>
        </w:rPr>
        <w:t>The Church of the Province of Central</w:t>
      </w:r>
      <w:r w:rsidR="00882880">
        <w:t xml:space="preserve"> </w:t>
      </w:r>
      <w:r w:rsidR="00882880" w:rsidRPr="00882880">
        <w:rPr>
          <w:i/>
        </w:rPr>
        <w:t xml:space="preserve">Africa </w:t>
      </w:r>
      <w:r w:rsidR="00882880" w:rsidRPr="002018C5">
        <w:t>v</w:t>
      </w:r>
      <w:r w:rsidR="00882880" w:rsidRPr="00882880">
        <w:rPr>
          <w:i/>
        </w:rPr>
        <w:t xml:space="preserve"> Diocesan Trustees for the Diocese of Harare and The Sheriff for Zimbabwe</w:t>
      </w:r>
      <w:r w:rsidR="00882880">
        <w:rPr>
          <w:i/>
        </w:rPr>
        <w:t>,</w:t>
      </w:r>
      <w:r w:rsidR="00882880">
        <w:t xml:space="preserve"> HH</w:t>
      </w:r>
      <w:r w:rsidR="002018C5">
        <w:t> </w:t>
      </w:r>
      <w:r w:rsidR="00882880">
        <w:t>206/11.</w:t>
      </w:r>
    </w:p>
    <w:p w:rsidR="00EE37A3" w:rsidRDefault="006D241F" w:rsidP="004E4A4D">
      <w:pPr>
        <w:spacing w:line="360" w:lineRule="auto"/>
        <w:jc w:val="both"/>
      </w:pPr>
      <w:r>
        <w:tab/>
      </w:r>
      <w:r w:rsidR="00221A64">
        <w:t>In response</w:t>
      </w:r>
      <w:r w:rsidR="00882880">
        <w:t>,</w:t>
      </w:r>
      <w:r w:rsidR="00221A64">
        <w:t xml:space="preserve"> the applicant maintains that they are not attacking the </w:t>
      </w:r>
      <w:r>
        <w:t>S</w:t>
      </w:r>
      <w:r w:rsidR="00221A64">
        <w:t xml:space="preserve">upreme </w:t>
      </w:r>
      <w:r>
        <w:t>C</w:t>
      </w:r>
      <w:r w:rsidR="00221A64">
        <w:t>ourt decision but the constitutionality of an order which has the effect of depriving people</w:t>
      </w:r>
      <w:r w:rsidR="006B744A">
        <w:t xml:space="preserve"> with right of occupation</w:t>
      </w:r>
      <w:r w:rsidR="00221A64">
        <w:t xml:space="preserve"> of their homes.</w:t>
      </w:r>
    </w:p>
    <w:p w:rsidR="000129DC" w:rsidRDefault="006D241F" w:rsidP="004E4A4D">
      <w:pPr>
        <w:spacing w:line="360" w:lineRule="auto"/>
        <w:jc w:val="both"/>
      </w:pPr>
      <w:r>
        <w:tab/>
      </w:r>
      <w:r w:rsidR="000129DC">
        <w:t xml:space="preserve">The compounded issue </w:t>
      </w:r>
      <w:r w:rsidR="00882880">
        <w:t>f</w:t>
      </w:r>
      <w:r w:rsidR="000129DC">
        <w:t xml:space="preserve">rom the preliminary points </w:t>
      </w:r>
      <w:r w:rsidR="00882880">
        <w:t>particularly,</w:t>
      </w:r>
      <w:r w:rsidR="000129DC">
        <w:t xml:space="preserve"> from the oral submissions by Mr </w:t>
      </w:r>
      <w:r w:rsidR="000129DC" w:rsidRPr="00A12CED">
        <w:rPr>
          <w:i/>
        </w:rPr>
        <w:t>Hashiti</w:t>
      </w:r>
      <w:r>
        <w:t>, is</w:t>
      </w:r>
      <w:r w:rsidR="000129DC">
        <w:t xml:space="preserve"> that of jurisdiction. Whether or not this court has jurisdiction to entertain a </w:t>
      </w:r>
      <w:r w:rsidR="0019122A">
        <w:t>Constitutional</w:t>
      </w:r>
      <w:r w:rsidR="000129DC">
        <w:t xml:space="preserve"> matter arising or sprouting from a decision of the appellate court of the land?</w:t>
      </w:r>
    </w:p>
    <w:p w:rsidR="00B41808" w:rsidRDefault="00882880" w:rsidP="004E4A4D">
      <w:pPr>
        <w:spacing w:line="360" w:lineRule="auto"/>
        <w:jc w:val="both"/>
      </w:pPr>
      <w:r>
        <w:t xml:space="preserve"> </w:t>
      </w:r>
      <w:r w:rsidR="006B744A">
        <w:t xml:space="preserve"> </w:t>
      </w:r>
      <w:r w:rsidR="00A12CED">
        <w:t xml:space="preserve"> </w:t>
      </w:r>
      <w:r>
        <w:t xml:space="preserve"> </w:t>
      </w:r>
      <w:r w:rsidR="008F25CA">
        <w:tab/>
      </w:r>
      <w:r>
        <w:t>On analysis, t</w:t>
      </w:r>
      <w:r w:rsidR="006B744A">
        <w:t xml:space="preserve">he issue of </w:t>
      </w:r>
      <w:r w:rsidR="006B744A" w:rsidRPr="00A12CED">
        <w:rPr>
          <w:i/>
        </w:rPr>
        <w:t>locus standi</w:t>
      </w:r>
      <w:r w:rsidR="006B744A">
        <w:t xml:space="preserve"> does not hold as clearly from the record applicants have real and substantial rights</w:t>
      </w:r>
      <w:r w:rsidR="00CD6F52">
        <w:t>,</w:t>
      </w:r>
      <w:r w:rsidR="006B744A">
        <w:t xml:space="preserve"> as people who had been in occupation from the date of sale of the property pursuant to a deed of donation whose legality was never challenged nor disputed.</w:t>
      </w:r>
      <w:r w:rsidR="00CD6F52">
        <w:t xml:space="preserve"> Not only that, s</w:t>
      </w:r>
      <w:r w:rsidR="00A12CED">
        <w:t xml:space="preserve"> </w:t>
      </w:r>
      <w:r w:rsidR="00CD6F52">
        <w:t>85(1</w:t>
      </w:r>
      <w:r w:rsidR="00A12CED">
        <w:t>)(</w:t>
      </w:r>
      <w:r w:rsidR="00CD6F52">
        <w:t xml:space="preserve">a) of the </w:t>
      </w:r>
      <w:r w:rsidR="00A12CED">
        <w:t>Constitution</w:t>
      </w:r>
      <w:r w:rsidR="00CD6F52">
        <w:t xml:space="preserve"> of Zimbabwe accords them the requisite </w:t>
      </w:r>
      <w:r w:rsidR="00CD6F52" w:rsidRPr="00CD6F52">
        <w:rPr>
          <w:i/>
        </w:rPr>
        <w:t>locus standi in judicio</w:t>
      </w:r>
      <w:r w:rsidR="00CD6F52">
        <w:t xml:space="preserve"> within the backdrop of their peculiar circumstances.</w:t>
      </w:r>
      <w:r w:rsidR="00B41808" w:rsidRPr="00B41808">
        <w:t xml:space="preserve"> </w:t>
      </w:r>
      <w:r w:rsidR="00B41808">
        <w:t xml:space="preserve">See, </w:t>
      </w:r>
      <w:r w:rsidR="00B41808" w:rsidRPr="00B41808">
        <w:rPr>
          <w:i/>
        </w:rPr>
        <w:t>Makarudze</w:t>
      </w:r>
      <w:r w:rsidR="00B41808">
        <w:t xml:space="preserve"> </w:t>
      </w:r>
      <w:r w:rsidR="002018C5">
        <w:rPr>
          <w:i/>
        </w:rPr>
        <w:t>&amp; Anor </w:t>
      </w:r>
      <w:r w:rsidR="00B41808" w:rsidRPr="00A12CED">
        <w:t>v</w:t>
      </w:r>
      <w:r w:rsidR="00B41808" w:rsidRPr="00B41808">
        <w:rPr>
          <w:i/>
        </w:rPr>
        <w:t xml:space="preserve"> Bungu &amp; Ors,</w:t>
      </w:r>
      <w:r w:rsidR="00B41808">
        <w:t xml:space="preserve"> 2015 (1) ZLR 15 (H), </w:t>
      </w:r>
      <w:r w:rsidR="00B41808" w:rsidRPr="00B41808">
        <w:rPr>
          <w:i/>
        </w:rPr>
        <w:t xml:space="preserve">Bonnyview Estate (Private) Limited </w:t>
      </w:r>
      <w:r w:rsidR="00B41808" w:rsidRPr="00A12CED">
        <w:t>v</w:t>
      </w:r>
      <w:r w:rsidR="00B41808" w:rsidRPr="00B41808">
        <w:rPr>
          <w:i/>
        </w:rPr>
        <w:t xml:space="preserve"> Zimbabwe</w:t>
      </w:r>
      <w:r w:rsidR="00B41808">
        <w:t xml:space="preserve"> </w:t>
      </w:r>
      <w:r w:rsidR="00B41808" w:rsidRPr="00B41808">
        <w:rPr>
          <w:i/>
        </w:rPr>
        <w:t>Platinum Mine</w:t>
      </w:r>
      <w:r w:rsidR="00B41808">
        <w:t xml:space="preserve"> (Private) Limited &amp; Anor CCZ6/19.</w:t>
      </w:r>
      <w:r w:rsidR="00CD6F52">
        <w:t xml:space="preserve"> </w:t>
      </w:r>
      <w:r w:rsidR="00B41808">
        <w:t xml:space="preserve"> Section 85 (1) (a) of Amendment Act No. 20 of 2013 reads:</w:t>
      </w:r>
    </w:p>
    <w:p w:rsidR="00B41808" w:rsidRPr="00B41808" w:rsidRDefault="00B41808" w:rsidP="00B41808">
      <w:pPr>
        <w:pStyle w:val="ListParagraph"/>
        <w:numPr>
          <w:ilvl w:val="0"/>
          <w:numId w:val="8"/>
        </w:numPr>
        <w:spacing w:line="276" w:lineRule="auto"/>
        <w:jc w:val="both"/>
        <w:rPr>
          <w:i/>
          <w:sz w:val="22"/>
          <w:szCs w:val="22"/>
        </w:rPr>
      </w:pPr>
      <w:r w:rsidRPr="00B41808">
        <w:rPr>
          <w:sz w:val="22"/>
          <w:szCs w:val="22"/>
        </w:rPr>
        <w:t xml:space="preserve">Any person acting on their own interests; </w:t>
      </w:r>
    </w:p>
    <w:p w:rsidR="00B41808" w:rsidRPr="00B41808" w:rsidRDefault="00B41808" w:rsidP="00B41808">
      <w:pPr>
        <w:pStyle w:val="ListParagraph"/>
        <w:spacing w:line="276" w:lineRule="auto"/>
        <w:jc w:val="both"/>
        <w:rPr>
          <w:i/>
        </w:rPr>
      </w:pPr>
      <w:r w:rsidRPr="00B41808">
        <w:rPr>
          <w:sz w:val="22"/>
          <w:szCs w:val="22"/>
        </w:rPr>
        <w:t>is entitled to approach a court , alleging that a fundamental right or freedom enshrined in this Chapter has been , is being, or is likely to be infringed, and the court may grant an appropriate relief, including a declaration of rights and an award of compensation</w:t>
      </w:r>
      <w:r>
        <w:t>.</w:t>
      </w:r>
    </w:p>
    <w:p w:rsidR="00B41808" w:rsidRDefault="00B41808" w:rsidP="00B41808">
      <w:pPr>
        <w:pStyle w:val="ListParagraph"/>
        <w:spacing w:line="360" w:lineRule="auto"/>
        <w:jc w:val="both"/>
      </w:pPr>
      <w:r>
        <w:t xml:space="preserve"> </w:t>
      </w:r>
    </w:p>
    <w:p w:rsidR="00A12CED" w:rsidRPr="00B41808" w:rsidRDefault="003808FD" w:rsidP="00B41808">
      <w:pPr>
        <w:pStyle w:val="ListParagraph"/>
        <w:spacing w:line="360" w:lineRule="auto"/>
        <w:jc w:val="both"/>
        <w:rPr>
          <w:i/>
        </w:rPr>
      </w:pPr>
      <w:r>
        <w:t xml:space="preserve">  As such it will be missta</w:t>
      </w:r>
      <w:r w:rsidR="00CB392B">
        <w:t>te</w:t>
      </w:r>
      <w:r>
        <w:t xml:space="preserve">ment to say that the applicants have </w:t>
      </w:r>
      <w:r w:rsidRPr="002018C5">
        <w:t>no</w:t>
      </w:r>
      <w:r w:rsidRPr="00B41808">
        <w:rPr>
          <w:i/>
        </w:rPr>
        <w:t xml:space="preserve"> locus standi.</w:t>
      </w:r>
    </w:p>
    <w:p w:rsidR="0019122A" w:rsidRPr="004266F2" w:rsidRDefault="00A12CED" w:rsidP="004E4A4D">
      <w:pPr>
        <w:spacing w:line="360" w:lineRule="auto"/>
        <w:jc w:val="both"/>
        <w:rPr>
          <w:i/>
        </w:rPr>
      </w:pPr>
      <w:r>
        <w:tab/>
      </w:r>
      <w:r w:rsidR="00B41808">
        <w:t>However, i</w:t>
      </w:r>
      <w:r w:rsidR="00882880">
        <w:t>t is apparent that the Supreme Court has made a ruling. It is against this ruling that the applicants have launched their constitutional violations</w:t>
      </w:r>
      <w:r w:rsidR="00B41808">
        <w:t xml:space="preserve"> application</w:t>
      </w:r>
      <w:r w:rsidR="00882880">
        <w:t xml:space="preserve">.  </w:t>
      </w:r>
      <w:r w:rsidR="00B41808">
        <w:t xml:space="preserve">That being </w:t>
      </w:r>
      <w:r w:rsidR="00B41808">
        <w:lastRenderedPageBreak/>
        <w:t>so</w:t>
      </w:r>
      <w:r w:rsidR="00CD6F52">
        <w:t>, e</w:t>
      </w:r>
      <w:r w:rsidR="0019122A">
        <w:t>ven if this court has concurrent jurisd</w:t>
      </w:r>
      <w:r>
        <w:t>iction with the Constitutional Court, in term of s</w:t>
      </w:r>
      <w:r w:rsidR="002018C5">
        <w:t> </w:t>
      </w:r>
      <w:r w:rsidR="0019122A">
        <w:t xml:space="preserve">171(c) of Amendment </w:t>
      </w:r>
      <w:r>
        <w:t>Act</w:t>
      </w:r>
      <w:r w:rsidR="0019122A">
        <w:t xml:space="preserve"> No. 20 of 2013, to sit as a court of first instance in constitutional matters, in my view it cannot do so in respect to a</w:t>
      </w:r>
      <w:r w:rsidR="00CD6F52">
        <w:t xml:space="preserve"> challenge of the</w:t>
      </w:r>
      <w:r w:rsidR="0019122A">
        <w:t xml:space="preserve"> decision of a superior court. See</w:t>
      </w:r>
      <w:r w:rsidR="00B41808">
        <w:t>,</w:t>
      </w:r>
      <w:r w:rsidR="0019122A">
        <w:t xml:space="preserve"> </w:t>
      </w:r>
      <w:r w:rsidR="0019122A" w:rsidRPr="004266F2">
        <w:rPr>
          <w:i/>
        </w:rPr>
        <w:t xml:space="preserve">Mbatha </w:t>
      </w:r>
      <w:r w:rsidR="0019122A" w:rsidRPr="00A12CED">
        <w:t>v</w:t>
      </w:r>
      <w:r>
        <w:rPr>
          <w:i/>
        </w:rPr>
        <w:t xml:space="preserve"> N</w:t>
      </w:r>
      <w:r w:rsidR="0019122A" w:rsidRPr="004266F2">
        <w:rPr>
          <w:i/>
        </w:rPr>
        <w:t xml:space="preserve">ational </w:t>
      </w:r>
      <w:r>
        <w:rPr>
          <w:i/>
        </w:rPr>
        <w:t>F</w:t>
      </w:r>
      <w:r w:rsidR="0019122A" w:rsidRPr="004266F2">
        <w:rPr>
          <w:i/>
        </w:rPr>
        <w:t>oods (Private) Limited</w:t>
      </w:r>
      <w:r w:rsidR="0019122A">
        <w:t xml:space="preserve"> CCZ</w:t>
      </w:r>
      <w:r>
        <w:t xml:space="preserve"> </w:t>
      </w:r>
      <w:r w:rsidR="0019122A">
        <w:t xml:space="preserve">6/21. </w:t>
      </w:r>
      <w:r w:rsidR="004266F2">
        <w:t xml:space="preserve"> In my view, the court with the inherent jurisdiction in all Constitutional</w:t>
      </w:r>
      <w:r>
        <w:t xml:space="preserve"> matters is the Constitutional C</w:t>
      </w:r>
      <w:r w:rsidR="004266F2">
        <w:t>ourt</w:t>
      </w:r>
      <w:r w:rsidR="00B41808">
        <w:t>,</w:t>
      </w:r>
      <w:r w:rsidR="004266F2">
        <w:t xml:space="preserve"> irrespective of the fact that</w:t>
      </w:r>
      <w:r w:rsidR="00B41808">
        <w:t>,</w:t>
      </w:r>
      <w:r w:rsidR="004266F2">
        <w:t xml:space="preserve"> the constitutional argument was not canvassed and determined by the lower court or the fact that it is not a constitutional invalidity case. See</w:t>
      </w:r>
      <w:r w:rsidR="003808FD">
        <w:t>,</w:t>
      </w:r>
      <w:r w:rsidR="004266F2">
        <w:t xml:space="preserve"> </w:t>
      </w:r>
      <w:r w:rsidR="003808FD" w:rsidRPr="003808FD">
        <w:rPr>
          <w:i/>
        </w:rPr>
        <w:t>Bonnyview Estate (Private) Limited</w:t>
      </w:r>
      <w:r w:rsidR="003808FD">
        <w:rPr>
          <w:i/>
        </w:rPr>
        <w:t xml:space="preserve"> (supra)</w:t>
      </w:r>
      <w:r w:rsidR="0028217C">
        <w:rPr>
          <w:i/>
        </w:rPr>
        <w:t>, De Lacy and Anor</w:t>
      </w:r>
      <w:r w:rsidR="004266F2" w:rsidRPr="004266F2">
        <w:rPr>
          <w:i/>
        </w:rPr>
        <w:t xml:space="preserve"> </w:t>
      </w:r>
      <w:r w:rsidR="004266F2" w:rsidRPr="00A12CED">
        <w:t>v</w:t>
      </w:r>
      <w:r w:rsidR="0028217C">
        <w:rPr>
          <w:i/>
        </w:rPr>
        <w:t xml:space="preserve"> South African Post O</w:t>
      </w:r>
      <w:r w:rsidR="004266F2" w:rsidRPr="004266F2">
        <w:rPr>
          <w:i/>
        </w:rPr>
        <w:t>ffice</w:t>
      </w:r>
      <w:r w:rsidR="004266F2">
        <w:t xml:space="preserve"> 2011 (a) BCLR 905 (CC) and </w:t>
      </w:r>
      <w:r w:rsidR="0028217C">
        <w:rPr>
          <w:i/>
        </w:rPr>
        <w:t>Chiite </w:t>
      </w:r>
      <w:r>
        <w:rPr>
          <w:i/>
        </w:rPr>
        <w:t>&amp;</w:t>
      </w:r>
      <w:r w:rsidR="0028217C">
        <w:rPr>
          <w:i/>
        </w:rPr>
        <w:t> </w:t>
      </w:r>
      <w:r w:rsidR="004266F2" w:rsidRPr="004266F2">
        <w:rPr>
          <w:i/>
        </w:rPr>
        <w:t xml:space="preserve">Ors </w:t>
      </w:r>
      <w:r w:rsidR="004266F2" w:rsidRPr="00A12CED">
        <w:t>v</w:t>
      </w:r>
      <w:r w:rsidR="004266F2" w:rsidRPr="004266F2">
        <w:rPr>
          <w:i/>
        </w:rPr>
        <w:t xml:space="preserve"> The Trustees of the Leo</w:t>
      </w:r>
      <w:r w:rsidR="004266F2">
        <w:rPr>
          <w:i/>
        </w:rPr>
        <w:t>nard</w:t>
      </w:r>
      <w:r w:rsidR="004266F2" w:rsidRPr="004266F2">
        <w:rPr>
          <w:i/>
        </w:rPr>
        <w:t xml:space="preserve"> Cheshire Homes Zimbabwe </w:t>
      </w:r>
      <w:r>
        <w:rPr>
          <w:i/>
        </w:rPr>
        <w:t>C</w:t>
      </w:r>
      <w:r w:rsidR="004266F2" w:rsidRPr="004266F2">
        <w:rPr>
          <w:i/>
        </w:rPr>
        <w:t xml:space="preserve">entral </w:t>
      </w:r>
      <w:r>
        <w:rPr>
          <w:i/>
        </w:rPr>
        <w:t>T</w:t>
      </w:r>
      <w:r w:rsidR="004266F2" w:rsidRPr="004266F2">
        <w:rPr>
          <w:i/>
        </w:rPr>
        <w:t xml:space="preserve">rust </w:t>
      </w:r>
      <w:r w:rsidR="004266F2" w:rsidRPr="00A12CED">
        <w:t>CCZ 10/17.</w:t>
      </w:r>
    </w:p>
    <w:p w:rsidR="00EE37A3" w:rsidRPr="00307CF6" w:rsidRDefault="00A12CED" w:rsidP="004E4A4D">
      <w:pPr>
        <w:spacing w:line="360" w:lineRule="auto"/>
        <w:jc w:val="both"/>
      </w:pPr>
      <w:r>
        <w:tab/>
      </w:r>
      <w:r w:rsidR="00221A64">
        <w:t>From whatever angle you look or view this matte</w:t>
      </w:r>
      <w:r w:rsidR="005E2F21">
        <w:t>r</w:t>
      </w:r>
      <w:r w:rsidR="00221A64">
        <w:t>, constitutional argument or not, it zeroes</w:t>
      </w:r>
      <w:r w:rsidR="00B41808">
        <w:t xml:space="preserve"> in</w:t>
      </w:r>
      <w:r w:rsidR="00221A64">
        <w:t xml:space="preserve"> on the decision of the Appellate court.</w:t>
      </w:r>
      <w:r>
        <w:t xml:space="preserve"> </w:t>
      </w:r>
      <w:r w:rsidR="00221A64">
        <w:t xml:space="preserve"> It is true that</w:t>
      </w:r>
      <w:r w:rsidR="00B41808">
        <w:t>,</w:t>
      </w:r>
      <w:r w:rsidR="00221A64">
        <w:t xml:space="preserve"> indeed there is authority to the effect that</w:t>
      </w:r>
      <w:r w:rsidR="00B41808">
        <w:t>,</w:t>
      </w:r>
      <w:r w:rsidR="00221A64">
        <w:t xml:space="preserve"> whenever a decision is to be made whose outcome affects the rights and interests of other people not part to suit then those people should be enjoined</w:t>
      </w:r>
      <w:r w:rsidR="005E2F21">
        <w:t>.</w:t>
      </w:r>
      <w:r w:rsidR="00307CF6">
        <w:t xml:space="preserve"> See, </w:t>
      </w:r>
      <w:r w:rsidR="00307CF6">
        <w:rPr>
          <w:i/>
        </w:rPr>
        <w:t xml:space="preserve">Drum City (Private) Limited </w:t>
      </w:r>
      <w:r w:rsidR="00307CF6" w:rsidRPr="00A12CED">
        <w:t>v</w:t>
      </w:r>
      <w:r w:rsidR="00307CF6">
        <w:rPr>
          <w:i/>
        </w:rPr>
        <w:t xml:space="preserve"> Garudzo </w:t>
      </w:r>
      <w:r>
        <w:t>SC 57/</w:t>
      </w:r>
      <w:r w:rsidR="00307CF6" w:rsidRPr="00A12CED">
        <w:t>18</w:t>
      </w:r>
      <w:r w:rsidR="00307CF6">
        <w:rPr>
          <w:i/>
        </w:rPr>
        <w:t>.</w:t>
      </w:r>
      <w:r>
        <w:rPr>
          <w:i/>
        </w:rPr>
        <w:t xml:space="preserve"> </w:t>
      </w:r>
      <w:r>
        <w:t xml:space="preserve"> </w:t>
      </w:r>
      <w:r w:rsidR="00307CF6">
        <w:t xml:space="preserve">In this case, it was held that in cases of necessity, if the parties do not raise the issue of non-joinder the court should raise it </w:t>
      </w:r>
      <w:r w:rsidR="00307CF6" w:rsidRPr="00307CF6">
        <w:rPr>
          <w:i/>
        </w:rPr>
        <w:t>mero motu</w:t>
      </w:r>
      <w:r w:rsidR="00307CF6">
        <w:t xml:space="preserve"> to safe guard the interests of third parties in any matter before it and should decline to hear the matter until such joinder is effected.</w:t>
      </w:r>
    </w:p>
    <w:p w:rsidR="006B744A" w:rsidRDefault="00A12CED" w:rsidP="004E4A4D">
      <w:pPr>
        <w:spacing w:line="360" w:lineRule="auto"/>
        <w:jc w:val="both"/>
      </w:pPr>
      <w:r>
        <w:rPr>
          <w:i/>
        </w:rPr>
        <w:tab/>
      </w:r>
      <w:r w:rsidR="00221A64" w:rsidRPr="004266F2">
        <w:rPr>
          <w:i/>
        </w:rPr>
        <w:t>In cas</w:t>
      </w:r>
      <w:r w:rsidR="00E66974" w:rsidRPr="004266F2">
        <w:rPr>
          <w:i/>
        </w:rPr>
        <w:t>u,</w:t>
      </w:r>
      <w:r w:rsidR="00221A64">
        <w:t xml:space="preserve"> applicants had </w:t>
      </w:r>
      <w:r w:rsidR="00E66974">
        <w:t>been in occupation for several years</w:t>
      </w:r>
      <w:r w:rsidR="00221A64">
        <w:t>.</w:t>
      </w:r>
      <w:r w:rsidR="00E66974">
        <w:t xml:space="preserve"> </w:t>
      </w:r>
      <w:r>
        <w:t xml:space="preserve"> </w:t>
      </w:r>
      <w:r w:rsidR="00E66974">
        <w:t>In addition, they had made several improvements regarding the place as their family home. They had occupation rights emanating from a lawfully executed deed of donation.</w:t>
      </w:r>
      <w:r w:rsidR="00221A64">
        <w:t xml:space="preserve"> The first respondent chose not to incorporate them in the summons matter initiating the eviction proceedings on one hand. On the other hand</w:t>
      </w:r>
      <w:r w:rsidR="00E66974">
        <w:t>,</w:t>
      </w:r>
      <w:r w:rsidR="00221A64">
        <w:t xml:space="preserve"> through ignorance or inadvertence the applicants testified in the action matter but never sought to be joined to the proceedings. </w:t>
      </w:r>
    </w:p>
    <w:p w:rsidR="005E4C8B" w:rsidRDefault="00A12CED" w:rsidP="004E4A4D">
      <w:pPr>
        <w:spacing w:line="360" w:lineRule="auto"/>
        <w:jc w:val="both"/>
      </w:pPr>
      <w:r>
        <w:tab/>
      </w:r>
      <w:r w:rsidR="00B41808">
        <w:t xml:space="preserve">One cannot be faulted to say, as oft </w:t>
      </w:r>
      <w:r w:rsidR="005E4C8B">
        <w:t xml:space="preserve">stated, </w:t>
      </w:r>
      <w:r w:rsidR="00A10E6E">
        <w:t>“The</w:t>
      </w:r>
      <w:r w:rsidR="005E4C8B">
        <w:t xml:space="preserve"> law is an ass’, </w:t>
      </w:r>
      <w:r w:rsidR="00A10E6E">
        <w:t>but</w:t>
      </w:r>
      <w:r w:rsidR="00026079">
        <w:t xml:space="preserve"> nevertheless,</w:t>
      </w:r>
      <w:r w:rsidR="00A10E6E">
        <w:t xml:space="preserve"> it must be obeyed for the preservation of the rule of law.  </w:t>
      </w:r>
      <w:r w:rsidR="00221A64">
        <w:t>No matter how intriguing the</w:t>
      </w:r>
      <w:r w:rsidR="005E4C8B">
        <w:t xml:space="preserve"> </w:t>
      </w:r>
      <w:r w:rsidR="00A10E6E">
        <w:t>applicant’s argument</w:t>
      </w:r>
      <w:r w:rsidR="00221A64">
        <w:t xml:space="preserve"> may be</w:t>
      </w:r>
      <w:r w:rsidR="005E2F21">
        <w:t>,</w:t>
      </w:r>
      <w:r w:rsidR="00221A64">
        <w:t xml:space="preserve"> the bottom line is</w:t>
      </w:r>
      <w:r w:rsidR="00E66974">
        <w:t>,</w:t>
      </w:r>
      <w:r w:rsidR="00221A64">
        <w:t xml:space="preserve"> the appellate court made a decision that the third respondent and all who claim </w:t>
      </w:r>
      <w:r w:rsidR="00E36B60">
        <w:t>occupation</w:t>
      </w:r>
      <w:r w:rsidR="00221A64">
        <w:t xml:space="preserve"> through him be evicted on the property</w:t>
      </w:r>
      <w:r w:rsidR="00E66974">
        <w:t xml:space="preserve"> it</w:t>
      </w:r>
      <w:r w:rsidR="00221A64">
        <w:t xml:space="preserve"> ruled belonged to the first respondent. </w:t>
      </w:r>
      <w:r>
        <w:t xml:space="preserve"> </w:t>
      </w:r>
      <w:r w:rsidR="005E4C8B">
        <w:t xml:space="preserve">In </w:t>
      </w:r>
      <w:r w:rsidR="005E4C8B">
        <w:rPr>
          <w:i/>
        </w:rPr>
        <w:t xml:space="preserve">The </w:t>
      </w:r>
      <w:r w:rsidR="00C4422A">
        <w:rPr>
          <w:i/>
        </w:rPr>
        <w:t>C</w:t>
      </w:r>
      <w:r w:rsidR="005E4C8B">
        <w:rPr>
          <w:i/>
        </w:rPr>
        <w:t>hurch of the Province of Central Africa</w:t>
      </w:r>
      <w:r w:rsidR="005E4C8B">
        <w:t>, above, it was explicitly stated that,</w:t>
      </w:r>
    </w:p>
    <w:p w:rsidR="005E4C8B" w:rsidRDefault="005E4C8B" w:rsidP="005E4C8B">
      <w:pPr>
        <w:spacing w:line="276" w:lineRule="auto"/>
        <w:jc w:val="both"/>
      </w:pPr>
      <w:r>
        <w:t xml:space="preserve">“… </w:t>
      </w:r>
      <w:r w:rsidRPr="005E4C8B">
        <w:rPr>
          <w:sz w:val="22"/>
          <w:szCs w:val="22"/>
        </w:rPr>
        <w:t>as already said , once the Supreme Court issues an order either in the exercise of its appellate or original jurisdiction, it can only be interfered with by itself and by no other court”</w:t>
      </w:r>
    </w:p>
    <w:p w:rsidR="005E4C8B" w:rsidRDefault="005E4C8B" w:rsidP="004E4A4D">
      <w:pPr>
        <w:spacing w:line="360" w:lineRule="auto"/>
        <w:jc w:val="both"/>
      </w:pPr>
    </w:p>
    <w:p w:rsidR="00EE37A3" w:rsidRDefault="00221A64" w:rsidP="004E4A4D">
      <w:pPr>
        <w:spacing w:line="360" w:lineRule="auto"/>
        <w:jc w:val="both"/>
      </w:pPr>
      <w:r>
        <w:lastRenderedPageBreak/>
        <w:t xml:space="preserve">Although the court did not </w:t>
      </w:r>
      <w:r w:rsidR="00E66974">
        <w:t>address</w:t>
      </w:r>
      <w:r>
        <w:t xml:space="preserve"> on the rights that flowed from the deeds of donation in the possession of the applicants</w:t>
      </w:r>
      <w:r w:rsidR="006B744A">
        <w:t>, their occupation</w:t>
      </w:r>
      <w:r>
        <w:t xml:space="preserve"> or anything to do with those outside the scope of the appeal before it, it is clear that the applicants </w:t>
      </w:r>
      <w:r w:rsidR="005E4C8B">
        <w:t>where in occupation for several years and considered the premises their home.</w:t>
      </w:r>
      <w:r w:rsidR="00A12CED">
        <w:t xml:space="preserve"> </w:t>
      </w:r>
      <w:r w:rsidR="00E36B60">
        <w:t xml:space="preserve"> </w:t>
      </w:r>
      <w:r>
        <w:t>As it were, the order of that court specifically spoke to their eviction.</w:t>
      </w:r>
      <w:r w:rsidR="00E36B60">
        <w:t xml:space="preserve">  The court is cognisant of the judgment of this court in case HC 214/22 in favour of the applicant.  The distinctive feature of this jud</w:t>
      </w:r>
      <w:r w:rsidR="00A174C1">
        <w:t>gment is that the High Court has</w:t>
      </w:r>
      <w:r w:rsidR="00E36B60">
        <w:t xml:space="preserve"> jurisdiction to execute and implement Supreme Court orders. It has no power to revisit the judgment itself even when it is clear that the application is based on a different constitu</w:t>
      </w:r>
      <w:r w:rsidR="008003DA">
        <w:t xml:space="preserve">tional </w:t>
      </w:r>
      <w:r w:rsidR="00E36B60">
        <w:t xml:space="preserve">dimension.  </w:t>
      </w:r>
    </w:p>
    <w:p w:rsidR="00E66974" w:rsidRDefault="00A12CED" w:rsidP="004E4A4D">
      <w:pPr>
        <w:spacing w:line="360" w:lineRule="auto"/>
        <w:jc w:val="both"/>
      </w:pPr>
      <w:r>
        <w:tab/>
      </w:r>
      <w:r w:rsidR="006B744A">
        <w:t>As already alluded to</w:t>
      </w:r>
      <w:r w:rsidR="005E4C8B">
        <w:t>,</w:t>
      </w:r>
      <w:r w:rsidR="006B744A">
        <w:t xml:space="preserve"> </w:t>
      </w:r>
      <w:r w:rsidR="006B744A" w:rsidRPr="006B744A">
        <w:rPr>
          <w:i/>
        </w:rPr>
        <w:t>supra</w:t>
      </w:r>
      <w:r w:rsidR="005E4C8B">
        <w:rPr>
          <w:i/>
        </w:rPr>
        <w:t>,</w:t>
      </w:r>
      <w:r w:rsidR="006B744A">
        <w:t xml:space="preserve"> t</w:t>
      </w:r>
      <w:r w:rsidR="00221A64">
        <w:t>he law on this aspect is very clear. This court has no jurisdiction to determine a matter which has already been determined by the superior court. The appellate court has spoken.</w:t>
      </w:r>
      <w:r w:rsidR="00CF18BB">
        <w:t xml:space="preserve"> It is the final court of appeal unless there is a constitutional twist to the argument to be appealed against from its judgment. See</w:t>
      </w:r>
      <w:r w:rsidR="005E4C8B">
        <w:t>,</w:t>
      </w:r>
      <w:r w:rsidR="006B744A">
        <w:t xml:space="preserve"> the </w:t>
      </w:r>
      <w:r w:rsidR="00CB392B">
        <w:t>Constitutional</w:t>
      </w:r>
      <w:r w:rsidR="006B744A">
        <w:t xml:space="preserve"> cases mentioned above as well as,</w:t>
      </w:r>
      <w:r w:rsidR="00CF18BB">
        <w:t xml:space="preserve"> </w:t>
      </w:r>
      <w:r w:rsidR="00CF18BB" w:rsidRPr="006B744A">
        <w:rPr>
          <w:i/>
        </w:rPr>
        <w:t xml:space="preserve">Gabriel </w:t>
      </w:r>
      <w:r w:rsidR="000129DC" w:rsidRPr="006B744A">
        <w:rPr>
          <w:i/>
        </w:rPr>
        <w:t>N</w:t>
      </w:r>
      <w:r w:rsidR="00CF18BB" w:rsidRPr="006B744A">
        <w:rPr>
          <w:i/>
        </w:rPr>
        <w:t xml:space="preserve">tleli </w:t>
      </w:r>
      <w:r w:rsidR="000129DC" w:rsidRPr="006B744A">
        <w:rPr>
          <w:i/>
        </w:rPr>
        <w:t>S</w:t>
      </w:r>
      <w:r w:rsidR="00CF18BB" w:rsidRPr="006B744A">
        <w:rPr>
          <w:i/>
        </w:rPr>
        <w:t xml:space="preserve">wartbooi and </w:t>
      </w:r>
      <w:r w:rsidR="000129DC" w:rsidRPr="006B744A">
        <w:rPr>
          <w:i/>
        </w:rPr>
        <w:t>S</w:t>
      </w:r>
      <w:r w:rsidR="00CF18BB" w:rsidRPr="006B744A">
        <w:rPr>
          <w:i/>
        </w:rPr>
        <w:t xml:space="preserve">eventeen </w:t>
      </w:r>
      <w:r w:rsidR="000129DC" w:rsidRPr="006B744A">
        <w:rPr>
          <w:i/>
        </w:rPr>
        <w:t>O</w:t>
      </w:r>
      <w:r w:rsidR="00CF18BB" w:rsidRPr="006B744A">
        <w:rPr>
          <w:i/>
        </w:rPr>
        <w:t xml:space="preserve">thers </w:t>
      </w:r>
      <w:r w:rsidRPr="00A12CED">
        <w:t>v</w:t>
      </w:r>
      <w:r w:rsidR="00CF18BB" w:rsidRPr="006B744A">
        <w:rPr>
          <w:i/>
        </w:rPr>
        <w:t xml:space="preserve"> </w:t>
      </w:r>
      <w:r w:rsidR="000129DC" w:rsidRPr="006B744A">
        <w:rPr>
          <w:i/>
        </w:rPr>
        <w:t>L</w:t>
      </w:r>
      <w:r w:rsidR="00CF18BB" w:rsidRPr="006B744A">
        <w:rPr>
          <w:i/>
        </w:rPr>
        <w:t xml:space="preserve">ilian </w:t>
      </w:r>
      <w:r w:rsidR="000129DC" w:rsidRPr="006B744A">
        <w:rPr>
          <w:i/>
        </w:rPr>
        <w:t>R</w:t>
      </w:r>
      <w:r w:rsidR="00CF18BB" w:rsidRPr="006B744A">
        <w:rPr>
          <w:i/>
        </w:rPr>
        <w:t xml:space="preserve">ay </w:t>
      </w:r>
      <w:r w:rsidR="000129DC" w:rsidRPr="006B744A">
        <w:rPr>
          <w:i/>
        </w:rPr>
        <w:t>B</w:t>
      </w:r>
      <w:r w:rsidR="00CF18BB" w:rsidRPr="006B744A">
        <w:rPr>
          <w:i/>
        </w:rPr>
        <w:t xml:space="preserve">rink and </w:t>
      </w:r>
      <w:r w:rsidR="000129DC" w:rsidRPr="006B744A">
        <w:rPr>
          <w:i/>
        </w:rPr>
        <w:t>G</w:t>
      </w:r>
      <w:r w:rsidR="00CF18BB" w:rsidRPr="006B744A">
        <w:rPr>
          <w:i/>
        </w:rPr>
        <w:t xml:space="preserve">errit </w:t>
      </w:r>
      <w:r w:rsidR="000129DC" w:rsidRPr="006B744A">
        <w:rPr>
          <w:i/>
        </w:rPr>
        <w:t>N</w:t>
      </w:r>
      <w:r w:rsidR="00CF18BB" w:rsidRPr="006B744A">
        <w:rPr>
          <w:i/>
        </w:rPr>
        <w:t xml:space="preserve">iewoudt, </w:t>
      </w:r>
      <w:r w:rsidR="006B744A" w:rsidRPr="006B744A">
        <w:t>C</w:t>
      </w:r>
      <w:r w:rsidR="00CF18BB" w:rsidRPr="006B744A">
        <w:t>onstitutiona</w:t>
      </w:r>
      <w:r w:rsidR="00CF18BB">
        <w:t xml:space="preserve">l </w:t>
      </w:r>
      <w:r w:rsidR="006B744A">
        <w:t>C</w:t>
      </w:r>
      <w:r w:rsidR="00CF18BB">
        <w:t xml:space="preserve">ourt of </w:t>
      </w:r>
      <w:r w:rsidR="006B744A">
        <w:t>S</w:t>
      </w:r>
      <w:r w:rsidR="00CF18BB">
        <w:t>outh Africa</w:t>
      </w:r>
      <w:r w:rsidR="006B744A">
        <w:t>,</w:t>
      </w:r>
      <w:r w:rsidR="00CF18BB">
        <w:t xml:space="preserve"> case </w:t>
      </w:r>
      <w:r w:rsidR="006B744A">
        <w:t>CCT</w:t>
      </w:r>
      <w:r w:rsidR="00CF18BB">
        <w:t xml:space="preserve"> 27/02</w:t>
      </w:r>
      <w:r w:rsidR="000129DC">
        <w:t xml:space="preserve">, </w:t>
      </w:r>
      <w:r w:rsidR="000129DC" w:rsidRPr="006B744A">
        <w:rPr>
          <w:i/>
        </w:rPr>
        <w:t xml:space="preserve">Mphahlele </w:t>
      </w:r>
      <w:r w:rsidR="000129DC" w:rsidRPr="00A12CED">
        <w:t>v</w:t>
      </w:r>
      <w:r w:rsidR="000129DC" w:rsidRPr="006B744A">
        <w:rPr>
          <w:i/>
        </w:rPr>
        <w:t xml:space="preserve"> First National Bank of South</w:t>
      </w:r>
      <w:r w:rsidR="000129DC">
        <w:t xml:space="preserve"> </w:t>
      </w:r>
      <w:r w:rsidR="000129DC" w:rsidRPr="006B744A">
        <w:rPr>
          <w:i/>
        </w:rPr>
        <w:t>Africa Ltd</w:t>
      </w:r>
      <w:r w:rsidR="000129DC">
        <w:t xml:space="preserve"> 1999 2 SA 667 CC. </w:t>
      </w:r>
      <w:r>
        <w:t xml:space="preserve"> </w:t>
      </w:r>
      <w:r w:rsidR="00221A64">
        <w:t>Its decision still stands</w:t>
      </w:r>
      <w:r w:rsidR="005E4C8B">
        <w:t>.</w:t>
      </w:r>
      <w:r w:rsidR="00C4422A">
        <w:t xml:space="preserve"> </w:t>
      </w:r>
      <w:r w:rsidR="00221A64">
        <w:t xml:space="preserve"> </w:t>
      </w:r>
      <w:r w:rsidR="005E4C8B">
        <w:t>I</w:t>
      </w:r>
      <w:r w:rsidR="00221A64">
        <w:t>t is ext</w:t>
      </w:r>
      <w:r w:rsidR="00E66974">
        <w:t>a</w:t>
      </w:r>
      <w:r w:rsidR="00221A64">
        <w:t>nt.</w:t>
      </w:r>
      <w:r w:rsidR="00CA2059">
        <w:t xml:space="preserve"> </w:t>
      </w:r>
      <w:r w:rsidR="00221A64">
        <w:t>The recourse available</w:t>
      </w:r>
      <w:r w:rsidR="005E4C8B">
        <w:t>,</w:t>
      </w:r>
      <w:r w:rsidR="00221A64">
        <w:t xml:space="preserve"> even if it is a constitutional matter where</w:t>
      </w:r>
      <w:r w:rsidR="00E66974">
        <w:t xml:space="preserve"> t</w:t>
      </w:r>
      <w:r w:rsidR="00221A64">
        <w:t xml:space="preserve">his court has concurrent jurisdiction </w:t>
      </w:r>
      <w:r w:rsidR="00FC6CC4">
        <w:t xml:space="preserve">lies </w:t>
      </w:r>
      <w:r w:rsidR="00221A64">
        <w:t>with the constitutional court</w:t>
      </w:r>
      <w:r w:rsidR="00E66974">
        <w:t xml:space="preserve"> in terms of s</w:t>
      </w:r>
      <w:r>
        <w:t xml:space="preserve"> </w:t>
      </w:r>
      <w:r w:rsidR="00E66974">
        <w:t>171(c) of the Constitution</w:t>
      </w:r>
      <w:r w:rsidR="00CA2059">
        <w:t xml:space="preserve"> </w:t>
      </w:r>
      <w:r w:rsidR="000840ED">
        <w:t>as stated before.</w:t>
      </w:r>
      <w:r w:rsidR="00221A64">
        <w:t xml:space="preserve"> </w:t>
      </w:r>
      <w:r w:rsidR="000840ED">
        <w:t>T</w:t>
      </w:r>
      <w:r w:rsidR="00221A64">
        <w:t>his is not the case</w:t>
      </w:r>
      <w:r w:rsidR="005E4C8B">
        <w:t>,</w:t>
      </w:r>
      <w:r w:rsidR="00221A64">
        <w:t xml:space="preserve"> where it can exercise that jurisdiction. Grievanc</w:t>
      </w:r>
      <w:r w:rsidR="00026079">
        <w:t>es from the appellate court lie</w:t>
      </w:r>
      <w:r w:rsidR="00221A64">
        <w:t xml:space="preserve"> with the </w:t>
      </w:r>
      <w:r w:rsidR="00E66974">
        <w:t>C</w:t>
      </w:r>
      <w:r w:rsidR="00221A64">
        <w:t xml:space="preserve">onstitutional </w:t>
      </w:r>
      <w:r>
        <w:t>C</w:t>
      </w:r>
      <w:r w:rsidR="00221A64">
        <w:t>ourt.</w:t>
      </w:r>
    </w:p>
    <w:p w:rsidR="00EE37A3" w:rsidRDefault="00A12CED" w:rsidP="004E4A4D">
      <w:pPr>
        <w:spacing w:line="360" w:lineRule="auto"/>
        <w:jc w:val="both"/>
      </w:pPr>
      <w:r>
        <w:tab/>
      </w:r>
      <w:r w:rsidR="00221A64">
        <w:t>I find th</w:t>
      </w:r>
      <w:r w:rsidR="005E4C8B">
        <w:t>e</w:t>
      </w:r>
      <w:r w:rsidR="00221A64">
        <w:t xml:space="preserve"> preliminary point </w:t>
      </w:r>
      <w:r w:rsidR="005E4C8B">
        <w:t xml:space="preserve">on jurisdiction over an extant decision of a superior court </w:t>
      </w:r>
      <w:r w:rsidR="00221A64">
        <w:t>being dispositive of the whole matter. There will be no justification in determining the rest of the preliminary object</w:t>
      </w:r>
      <w:r w:rsidR="00E66974">
        <w:t>ions</w:t>
      </w:r>
      <w:r w:rsidR="00221A64">
        <w:t xml:space="preserve"> raised.</w:t>
      </w:r>
    </w:p>
    <w:p w:rsidR="00EE37A3" w:rsidRDefault="00A12CED" w:rsidP="006B744A">
      <w:pPr>
        <w:spacing w:line="360" w:lineRule="auto"/>
        <w:jc w:val="both"/>
      </w:pPr>
      <w:r>
        <w:tab/>
      </w:r>
      <w:r w:rsidR="00221A64">
        <w:t>Accordingly the applicants</w:t>
      </w:r>
      <w:r w:rsidR="00E66974">
        <w:t>’</w:t>
      </w:r>
      <w:r w:rsidR="00221A64">
        <w:t xml:space="preserve"> claim is dismissed with costs.</w:t>
      </w:r>
    </w:p>
    <w:p w:rsidR="00A12CED" w:rsidRDefault="00A12CED" w:rsidP="006B744A">
      <w:pPr>
        <w:spacing w:line="360" w:lineRule="auto"/>
        <w:jc w:val="both"/>
      </w:pPr>
    </w:p>
    <w:p w:rsidR="00A12CED" w:rsidRDefault="00A12CED" w:rsidP="006B744A">
      <w:pPr>
        <w:spacing w:line="360" w:lineRule="auto"/>
        <w:jc w:val="both"/>
      </w:pPr>
    </w:p>
    <w:p w:rsidR="00A12CED" w:rsidRDefault="00A12CED" w:rsidP="006B744A">
      <w:pPr>
        <w:spacing w:line="360" w:lineRule="auto"/>
        <w:jc w:val="both"/>
      </w:pPr>
    </w:p>
    <w:p w:rsidR="00A12CED" w:rsidRDefault="00A12CED" w:rsidP="006B744A">
      <w:pPr>
        <w:spacing w:line="360" w:lineRule="auto"/>
        <w:jc w:val="both"/>
      </w:pPr>
    </w:p>
    <w:p w:rsidR="00EE37A3" w:rsidRPr="00A12CED" w:rsidRDefault="003808FD" w:rsidP="00A12CED">
      <w:pPr>
        <w:jc w:val="both"/>
      </w:pPr>
      <w:r w:rsidRPr="003808FD">
        <w:rPr>
          <w:i/>
        </w:rPr>
        <w:t xml:space="preserve">Gunje </w:t>
      </w:r>
      <w:r w:rsidR="00A12CED">
        <w:rPr>
          <w:i/>
        </w:rPr>
        <w:t>L</w:t>
      </w:r>
      <w:r w:rsidRPr="003808FD">
        <w:rPr>
          <w:i/>
        </w:rPr>
        <w:t>egal Practice</w:t>
      </w:r>
      <w:r w:rsidR="00A12CED">
        <w:rPr>
          <w:i/>
        </w:rPr>
        <w:t>,</w:t>
      </w:r>
      <w:r w:rsidRPr="003808FD">
        <w:rPr>
          <w:i/>
        </w:rPr>
        <w:t xml:space="preserve"> </w:t>
      </w:r>
      <w:r w:rsidR="00A12CED" w:rsidRPr="00A12CED">
        <w:t>applicant’s legal p</w:t>
      </w:r>
      <w:r w:rsidRPr="00A12CED">
        <w:t>ractitioners</w:t>
      </w:r>
    </w:p>
    <w:p w:rsidR="003808FD" w:rsidRDefault="003808FD" w:rsidP="00A12CED">
      <w:pPr>
        <w:jc w:val="both"/>
      </w:pPr>
      <w:r w:rsidRPr="003808FD">
        <w:rPr>
          <w:i/>
        </w:rPr>
        <w:t>Mushoriwa Pasi Corporate Attorneys</w:t>
      </w:r>
      <w:r w:rsidR="00A12CED">
        <w:rPr>
          <w:i/>
        </w:rPr>
        <w:t>,</w:t>
      </w:r>
      <w:r w:rsidRPr="003808FD">
        <w:rPr>
          <w:i/>
        </w:rPr>
        <w:t xml:space="preserve"> </w:t>
      </w:r>
      <w:r w:rsidR="00A12CED">
        <w:t>first</w:t>
      </w:r>
      <w:r w:rsidRPr="00A12CED">
        <w:t xml:space="preserve"> respondent’s legal practitioners</w:t>
      </w:r>
    </w:p>
    <w:p w:rsidR="00EE37A3" w:rsidRDefault="00EE37A3" w:rsidP="006B744A">
      <w:pPr>
        <w:spacing w:line="360" w:lineRule="auto"/>
        <w:jc w:val="both"/>
      </w:pPr>
    </w:p>
    <w:sectPr w:rsidR="00EE37A3" w:rsidSect="004E4A4D">
      <w:headerReference w:type="default" r:id="rId7"/>
      <w:pgSz w:w="11906" w:h="16838"/>
      <w:pgMar w:top="1440" w:right="1440" w:bottom="1440" w:left="144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CF3" w:rsidRDefault="00E85CF3" w:rsidP="004E4A4D">
      <w:r>
        <w:separator/>
      </w:r>
    </w:p>
  </w:endnote>
  <w:endnote w:type="continuationSeparator" w:id="0">
    <w:p w:rsidR="00E85CF3" w:rsidRDefault="00E85CF3" w:rsidP="004E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CF3" w:rsidRDefault="00E85CF3" w:rsidP="004E4A4D">
      <w:r>
        <w:separator/>
      </w:r>
    </w:p>
  </w:footnote>
  <w:footnote w:type="continuationSeparator" w:id="0">
    <w:p w:rsidR="00E85CF3" w:rsidRDefault="00E85CF3" w:rsidP="004E4A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A4D" w:rsidRDefault="004E4A4D">
    <w:pPr>
      <w:pStyle w:val="Header"/>
      <w:jc w:val="right"/>
    </w:pPr>
  </w:p>
  <w:p w:rsidR="004E4A4D" w:rsidRDefault="004E4A4D">
    <w:pPr>
      <w:pStyle w:val="Header"/>
      <w:jc w:val="right"/>
    </w:pPr>
  </w:p>
  <w:p w:rsidR="004E4A4D" w:rsidRDefault="004E4A4D">
    <w:pPr>
      <w:pStyle w:val="Header"/>
      <w:jc w:val="right"/>
    </w:pPr>
  </w:p>
  <w:sdt>
    <w:sdtPr>
      <w:id w:val="63306008"/>
      <w:docPartObj>
        <w:docPartGallery w:val="Page Numbers (Top of Page)"/>
        <w:docPartUnique/>
      </w:docPartObj>
    </w:sdtPr>
    <w:sdtEndPr>
      <w:rPr>
        <w:noProof/>
        <w:sz w:val="22"/>
        <w:szCs w:val="22"/>
      </w:rPr>
    </w:sdtEndPr>
    <w:sdtContent>
      <w:p w:rsidR="004E4A4D" w:rsidRPr="00170DB0" w:rsidRDefault="004E4A4D">
        <w:pPr>
          <w:pStyle w:val="Header"/>
          <w:jc w:val="right"/>
          <w:rPr>
            <w:noProof/>
            <w:sz w:val="22"/>
            <w:szCs w:val="22"/>
          </w:rPr>
        </w:pPr>
        <w:r w:rsidRPr="00170DB0">
          <w:rPr>
            <w:sz w:val="22"/>
            <w:szCs w:val="22"/>
          </w:rPr>
          <w:fldChar w:fldCharType="begin"/>
        </w:r>
        <w:r w:rsidRPr="00170DB0">
          <w:rPr>
            <w:sz w:val="22"/>
            <w:szCs w:val="22"/>
          </w:rPr>
          <w:instrText xml:space="preserve"> PAGE   \* MERGEFORMAT </w:instrText>
        </w:r>
        <w:r w:rsidRPr="00170DB0">
          <w:rPr>
            <w:sz w:val="22"/>
            <w:szCs w:val="22"/>
          </w:rPr>
          <w:fldChar w:fldCharType="separate"/>
        </w:r>
        <w:r w:rsidR="00F04FF5">
          <w:rPr>
            <w:noProof/>
            <w:sz w:val="22"/>
            <w:szCs w:val="22"/>
          </w:rPr>
          <w:t>1</w:t>
        </w:r>
        <w:r w:rsidRPr="00170DB0">
          <w:rPr>
            <w:noProof/>
            <w:sz w:val="22"/>
            <w:szCs w:val="22"/>
          </w:rPr>
          <w:fldChar w:fldCharType="end"/>
        </w:r>
      </w:p>
      <w:p w:rsidR="004E4A4D" w:rsidRPr="00170DB0" w:rsidRDefault="004E4A4D">
        <w:pPr>
          <w:pStyle w:val="Header"/>
          <w:jc w:val="right"/>
          <w:rPr>
            <w:noProof/>
            <w:sz w:val="22"/>
            <w:szCs w:val="22"/>
          </w:rPr>
        </w:pPr>
        <w:r w:rsidRPr="00170DB0">
          <w:rPr>
            <w:noProof/>
            <w:sz w:val="22"/>
            <w:szCs w:val="22"/>
          </w:rPr>
          <w:t>HH</w:t>
        </w:r>
        <w:r w:rsidR="00C0712B">
          <w:rPr>
            <w:noProof/>
            <w:sz w:val="22"/>
            <w:szCs w:val="22"/>
          </w:rPr>
          <w:t xml:space="preserve"> 501-22</w:t>
        </w:r>
        <w:r w:rsidR="00170DB0">
          <w:rPr>
            <w:noProof/>
            <w:sz w:val="22"/>
            <w:szCs w:val="22"/>
          </w:rPr>
          <w:t xml:space="preserve"> </w:t>
        </w:r>
      </w:p>
      <w:p w:rsidR="004E4A4D" w:rsidRPr="00170DB0" w:rsidRDefault="004E4A4D">
        <w:pPr>
          <w:pStyle w:val="Header"/>
          <w:jc w:val="right"/>
          <w:rPr>
            <w:noProof/>
            <w:sz w:val="22"/>
            <w:szCs w:val="22"/>
          </w:rPr>
        </w:pPr>
        <w:r w:rsidRPr="00170DB0">
          <w:rPr>
            <w:noProof/>
            <w:sz w:val="22"/>
            <w:szCs w:val="22"/>
          </w:rPr>
          <w:t>HC 6891/21</w:t>
        </w:r>
      </w:p>
      <w:p w:rsidR="004E4A4D" w:rsidRPr="00170DB0" w:rsidRDefault="004E4A4D">
        <w:pPr>
          <w:pStyle w:val="Header"/>
          <w:jc w:val="right"/>
          <w:rPr>
            <w:sz w:val="22"/>
            <w:szCs w:val="22"/>
          </w:rPr>
        </w:pPr>
        <w:r w:rsidRPr="00170DB0">
          <w:rPr>
            <w:noProof/>
            <w:sz w:val="22"/>
            <w:szCs w:val="22"/>
          </w:rPr>
          <w:t>Ref: HC 6567/17</w:t>
        </w:r>
      </w:p>
    </w:sdtContent>
  </w:sdt>
  <w:p w:rsidR="004E4A4D" w:rsidRPr="00170DB0" w:rsidRDefault="004E4A4D">
    <w:pPr>
      <w:pStyle w:val="Heade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67F02"/>
    <w:multiLevelType w:val="hybridMultilevel"/>
    <w:tmpl w:val="CE787A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DF12F1D"/>
    <w:multiLevelType w:val="hybridMultilevel"/>
    <w:tmpl w:val="0584FE60"/>
    <w:lvl w:ilvl="0" w:tplc="D3D8B2DA">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B1857C2"/>
    <w:multiLevelType w:val="hybridMultilevel"/>
    <w:tmpl w:val="56FC77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E277276"/>
    <w:multiLevelType w:val="hybridMultilevel"/>
    <w:tmpl w:val="2D683CF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EEB5EB1"/>
    <w:multiLevelType w:val="hybridMultilevel"/>
    <w:tmpl w:val="C66C9806"/>
    <w:lvl w:ilvl="0" w:tplc="30090019">
      <w:start w:val="1"/>
      <w:numFmt w:val="lowerLetter"/>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4C24F91"/>
    <w:multiLevelType w:val="hybridMultilevel"/>
    <w:tmpl w:val="AB848B46"/>
    <w:lvl w:ilvl="0" w:tplc="20A6D602">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C6A2A44"/>
    <w:multiLevelType w:val="hybridMultilevel"/>
    <w:tmpl w:val="276238F2"/>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15:restartNumberingAfterBreak="0">
    <w:nsid w:val="67E473F8"/>
    <w:multiLevelType w:val="hybridMultilevel"/>
    <w:tmpl w:val="09426E4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A3"/>
    <w:rsid w:val="000126C9"/>
    <w:rsid w:val="000129DC"/>
    <w:rsid w:val="00026079"/>
    <w:rsid w:val="000667FB"/>
    <w:rsid w:val="000840ED"/>
    <w:rsid w:val="0008453A"/>
    <w:rsid w:val="000A4525"/>
    <w:rsid w:val="00170DB0"/>
    <w:rsid w:val="0019122A"/>
    <w:rsid w:val="002018C5"/>
    <w:rsid w:val="002108F3"/>
    <w:rsid w:val="00221A64"/>
    <w:rsid w:val="0028217C"/>
    <w:rsid w:val="00307CF6"/>
    <w:rsid w:val="003808FD"/>
    <w:rsid w:val="003D2041"/>
    <w:rsid w:val="004266F2"/>
    <w:rsid w:val="00480701"/>
    <w:rsid w:val="004D0BC1"/>
    <w:rsid w:val="004E4A4D"/>
    <w:rsid w:val="00542697"/>
    <w:rsid w:val="00580DC3"/>
    <w:rsid w:val="005871DC"/>
    <w:rsid w:val="005E2F21"/>
    <w:rsid w:val="005E4C8B"/>
    <w:rsid w:val="00600BD2"/>
    <w:rsid w:val="006539C6"/>
    <w:rsid w:val="006567F6"/>
    <w:rsid w:val="006B744A"/>
    <w:rsid w:val="006D241F"/>
    <w:rsid w:val="007D5CF3"/>
    <w:rsid w:val="007E5E0D"/>
    <w:rsid w:val="008003DA"/>
    <w:rsid w:val="00821D91"/>
    <w:rsid w:val="0082739E"/>
    <w:rsid w:val="00863A4B"/>
    <w:rsid w:val="00882880"/>
    <w:rsid w:val="008A1833"/>
    <w:rsid w:val="008F25CA"/>
    <w:rsid w:val="00921ECC"/>
    <w:rsid w:val="009721D1"/>
    <w:rsid w:val="009C5F95"/>
    <w:rsid w:val="00A10E6E"/>
    <w:rsid w:val="00A12CED"/>
    <w:rsid w:val="00A174C1"/>
    <w:rsid w:val="00A17CC1"/>
    <w:rsid w:val="00A6634E"/>
    <w:rsid w:val="00A87B3E"/>
    <w:rsid w:val="00AA2C3E"/>
    <w:rsid w:val="00AC31BF"/>
    <w:rsid w:val="00AE423D"/>
    <w:rsid w:val="00B00359"/>
    <w:rsid w:val="00B41808"/>
    <w:rsid w:val="00B42803"/>
    <w:rsid w:val="00BC485E"/>
    <w:rsid w:val="00C0712B"/>
    <w:rsid w:val="00C4422A"/>
    <w:rsid w:val="00CA2059"/>
    <w:rsid w:val="00CB392B"/>
    <w:rsid w:val="00CD6F52"/>
    <w:rsid w:val="00CF18BB"/>
    <w:rsid w:val="00CF623B"/>
    <w:rsid w:val="00D40EA0"/>
    <w:rsid w:val="00E36B60"/>
    <w:rsid w:val="00E66974"/>
    <w:rsid w:val="00E85CF3"/>
    <w:rsid w:val="00EE37A3"/>
    <w:rsid w:val="00F04FF5"/>
    <w:rsid w:val="00F66F01"/>
    <w:rsid w:val="00FC6C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CA25D-B216-4324-A0E0-C5EAB45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kern w:val="2"/>
        <w:szCs w:val="24"/>
        <w:lang w:val="en-ZW"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AC31BF"/>
    <w:pPr>
      <w:ind w:left="720"/>
      <w:contextualSpacing/>
    </w:pPr>
    <w:rPr>
      <w:rFonts w:cs="Mangal"/>
      <w:szCs w:val="21"/>
    </w:rPr>
  </w:style>
  <w:style w:type="paragraph" w:styleId="Header">
    <w:name w:val="header"/>
    <w:basedOn w:val="Normal"/>
    <w:link w:val="HeaderChar"/>
    <w:uiPriority w:val="99"/>
    <w:unhideWhenUsed/>
    <w:rsid w:val="004E4A4D"/>
    <w:pPr>
      <w:tabs>
        <w:tab w:val="center" w:pos="4680"/>
        <w:tab w:val="right" w:pos="9360"/>
      </w:tabs>
    </w:pPr>
    <w:rPr>
      <w:rFonts w:cs="Mangal"/>
      <w:szCs w:val="21"/>
    </w:rPr>
  </w:style>
  <w:style w:type="character" w:customStyle="1" w:styleId="HeaderChar">
    <w:name w:val="Header Char"/>
    <w:basedOn w:val="DefaultParagraphFont"/>
    <w:link w:val="Header"/>
    <w:uiPriority w:val="99"/>
    <w:rsid w:val="004E4A4D"/>
    <w:rPr>
      <w:rFonts w:cs="Mangal"/>
      <w:sz w:val="24"/>
      <w:szCs w:val="21"/>
    </w:rPr>
  </w:style>
  <w:style w:type="paragraph" w:styleId="Footer">
    <w:name w:val="footer"/>
    <w:basedOn w:val="Normal"/>
    <w:link w:val="FooterChar"/>
    <w:uiPriority w:val="99"/>
    <w:unhideWhenUsed/>
    <w:rsid w:val="004E4A4D"/>
    <w:pPr>
      <w:tabs>
        <w:tab w:val="center" w:pos="4680"/>
        <w:tab w:val="right" w:pos="9360"/>
      </w:tabs>
    </w:pPr>
    <w:rPr>
      <w:rFonts w:cs="Mangal"/>
      <w:szCs w:val="21"/>
    </w:rPr>
  </w:style>
  <w:style w:type="character" w:customStyle="1" w:styleId="FooterChar">
    <w:name w:val="Footer Char"/>
    <w:basedOn w:val="DefaultParagraphFont"/>
    <w:link w:val="Footer"/>
    <w:uiPriority w:val="99"/>
    <w:rsid w:val="004E4A4D"/>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dc:description/>
  <cp:lastModifiedBy>JSC</cp:lastModifiedBy>
  <cp:revision>2</cp:revision>
  <cp:lastPrinted>2022-07-22T10:34:00Z</cp:lastPrinted>
  <dcterms:created xsi:type="dcterms:W3CDTF">2022-07-22T10:47:00Z</dcterms:created>
  <dcterms:modified xsi:type="dcterms:W3CDTF">2022-07-22T10:47:00Z</dcterms:modified>
  <dc:language>en-ZW</dc:language>
</cp:coreProperties>
</file>