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D07" w:rsidRPr="008714E3" w:rsidRDefault="00C86DD8" w:rsidP="00AF12AD">
      <w:pPr>
        <w:pStyle w:val="NoSpacing"/>
        <w:jc w:val="both"/>
        <w:rPr>
          <w:b/>
          <w:sz w:val="24"/>
          <w:szCs w:val="24"/>
          <w:lang w:val="en-US"/>
        </w:rPr>
      </w:pPr>
      <w:r w:rsidRPr="008714E3">
        <w:rPr>
          <w:b/>
          <w:sz w:val="24"/>
          <w:szCs w:val="24"/>
          <w:lang w:val="en-US"/>
        </w:rPr>
        <w:t>CHIRATIDZO LORRAINE JEYACHEYA</w:t>
      </w:r>
    </w:p>
    <w:p w:rsidR="00C86DD8" w:rsidRPr="008714E3" w:rsidRDefault="00C86DD8" w:rsidP="00AF12AD">
      <w:pPr>
        <w:pStyle w:val="NoSpacing"/>
        <w:jc w:val="both"/>
        <w:rPr>
          <w:b/>
          <w:sz w:val="24"/>
          <w:szCs w:val="24"/>
          <w:lang w:val="en-US"/>
        </w:rPr>
      </w:pPr>
      <w:r w:rsidRPr="008714E3">
        <w:rPr>
          <w:b/>
          <w:sz w:val="24"/>
          <w:szCs w:val="24"/>
          <w:lang w:val="en-US"/>
        </w:rPr>
        <w:t>(In her capacity as the Executrix Dative of the</w:t>
      </w:r>
    </w:p>
    <w:p w:rsidR="00C86DD8" w:rsidRPr="008714E3" w:rsidRDefault="00C86DD8" w:rsidP="00AF12AD">
      <w:pPr>
        <w:pStyle w:val="NoSpacing"/>
        <w:jc w:val="both"/>
        <w:rPr>
          <w:b/>
          <w:sz w:val="24"/>
          <w:szCs w:val="24"/>
          <w:lang w:val="en-US"/>
        </w:rPr>
      </w:pPr>
      <w:r w:rsidRPr="008714E3">
        <w:rPr>
          <w:b/>
          <w:sz w:val="24"/>
          <w:szCs w:val="24"/>
          <w:lang w:val="en-US"/>
        </w:rPr>
        <w:t>Estate Late EUNICE JEYACHEYA)</w:t>
      </w:r>
    </w:p>
    <w:p w:rsidR="00C86DD8" w:rsidRPr="008714E3" w:rsidRDefault="00C86DD8" w:rsidP="00AF12AD">
      <w:pPr>
        <w:pStyle w:val="NoSpacing"/>
        <w:jc w:val="both"/>
        <w:rPr>
          <w:b/>
          <w:sz w:val="24"/>
          <w:szCs w:val="24"/>
          <w:lang w:val="en-US"/>
        </w:rPr>
      </w:pPr>
    </w:p>
    <w:p w:rsidR="00C86DD8" w:rsidRPr="008714E3" w:rsidRDefault="00C86DD8" w:rsidP="00AF12AD">
      <w:pPr>
        <w:pStyle w:val="NoSpacing"/>
        <w:jc w:val="both"/>
        <w:rPr>
          <w:b/>
          <w:sz w:val="24"/>
          <w:szCs w:val="24"/>
          <w:lang w:val="en-US"/>
        </w:rPr>
      </w:pPr>
      <w:r w:rsidRPr="008714E3">
        <w:rPr>
          <w:b/>
          <w:sz w:val="24"/>
          <w:szCs w:val="24"/>
          <w:lang w:val="en-US"/>
        </w:rPr>
        <w:t>Versus</w:t>
      </w:r>
    </w:p>
    <w:p w:rsidR="00C86DD8" w:rsidRPr="008714E3" w:rsidRDefault="00C86DD8" w:rsidP="00AF12AD">
      <w:pPr>
        <w:pStyle w:val="NoSpacing"/>
        <w:jc w:val="both"/>
        <w:rPr>
          <w:b/>
          <w:sz w:val="24"/>
          <w:szCs w:val="24"/>
          <w:lang w:val="en-US"/>
        </w:rPr>
      </w:pPr>
    </w:p>
    <w:p w:rsidR="00C86DD8" w:rsidRPr="008714E3" w:rsidRDefault="00C86DD8" w:rsidP="00AF12AD">
      <w:pPr>
        <w:pStyle w:val="NoSpacing"/>
        <w:jc w:val="both"/>
        <w:rPr>
          <w:b/>
          <w:sz w:val="24"/>
          <w:szCs w:val="24"/>
          <w:lang w:val="en-US"/>
        </w:rPr>
      </w:pPr>
      <w:r w:rsidRPr="008714E3">
        <w:rPr>
          <w:b/>
          <w:sz w:val="24"/>
          <w:szCs w:val="24"/>
          <w:lang w:val="en-US"/>
        </w:rPr>
        <w:t>CITY OF KWEKWE</w:t>
      </w:r>
    </w:p>
    <w:p w:rsidR="00C86DD8" w:rsidRPr="008714E3" w:rsidRDefault="00C86DD8" w:rsidP="00AF12AD">
      <w:pPr>
        <w:pStyle w:val="NoSpacing"/>
        <w:jc w:val="both"/>
        <w:rPr>
          <w:b/>
          <w:sz w:val="24"/>
          <w:szCs w:val="24"/>
          <w:lang w:val="en-US"/>
        </w:rPr>
      </w:pPr>
    </w:p>
    <w:p w:rsidR="00C86DD8" w:rsidRPr="008714E3" w:rsidRDefault="00C86DD8" w:rsidP="00AF12AD">
      <w:pPr>
        <w:pStyle w:val="NoSpacing"/>
        <w:jc w:val="both"/>
        <w:rPr>
          <w:b/>
          <w:sz w:val="24"/>
          <w:szCs w:val="24"/>
          <w:lang w:val="en-US"/>
        </w:rPr>
      </w:pPr>
      <w:r w:rsidRPr="008714E3">
        <w:rPr>
          <w:b/>
          <w:sz w:val="24"/>
          <w:szCs w:val="24"/>
          <w:lang w:val="en-US"/>
        </w:rPr>
        <w:t>And</w:t>
      </w:r>
    </w:p>
    <w:p w:rsidR="00C86DD8" w:rsidRPr="008714E3" w:rsidRDefault="00C86DD8" w:rsidP="00AF12AD">
      <w:pPr>
        <w:pStyle w:val="NoSpacing"/>
        <w:jc w:val="both"/>
        <w:rPr>
          <w:b/>
          <w:sz w:val="24"/>
          <w:szCs w:val="24"/>
          <w:lang w:val="en-US"/>
        </w:rPr>
      </w:pPr>
    </w:p>
    <w:p w:rsidR="00C86DD8" w:rsidRPr="008714E3" w:rsidRDefault="00C86DD8" w:rsidP="00AF12AD">
      <w:pPr>
        <w:pStyle w:val="NoSpacing"/>
        <w:jc w:val="both"/>
        <w:rPr>
          <w:b/>
          <w:sz w:val="24"/>
          <w:szCs w:val="24"/>
          <w:lang w:val="en-US"/>
        </w:rPr>
      </w:pPr>
      <w:r w:rsidRPr="008714E3">
        <w:rPr>
          <w:b/>
          <w:sz w:val="24"/>
          <w:szCs w:val="24"/>
          <w:lang w:val="en-US"/>
        </w:rPr>
        <w:t>MINISTER OF LOCAL GOVERNMENT,</w:t>
      </w:r>
    </w:p>
    <w:p w:rsidR="00C86DD8" w:rsidRPr="008714E3" w:rsidRDefault="00C86DD8" w:rsidP="00AF12AD">
      <w:pPr>
        <w:pStyle w:val="NoSpacing"/>
        <w:jc w:val="both"/>
        <w:rPr>
          <w:b/>
          <w:sz w:val="24"/>
          <w:szCs w:val="24"/>
          <w:lang w:val="en-US"/>
        </w:rPr>
      </w:pPr>
      <w:r w:rsidRPr="008714E3">
        <w:rPr>
          <w:b/>
          <w:sz w:val="24"/>
          <w:szCs w:val="24"/>
          <w:lang w:val="en-US"/>
        </w:rPr>
        <w:t>PUBLIC WORKS &amp; NATIONAL HOUSING N.O.</w:t>
      </w:r>
    </w:p>
    <w:p w:rsidR="00C86DD8" w:rsidRPr="008714E3" w:rsidRDefault="00C86DD8" w:rsidP="00AF12AD">
      <w:pPr>
        <w:pStyle w:val="NoSpacing"/>
        <w:jc w:val="both"/>
        <w:rPr>
          <w:b/>
          <w:sz w:val="24"/>
          <w:szCs w:val="24"/>
          <w:lang w:val="en-US"/>
        </w:rPr>
      </w:pPr>
    </w:p>
    <w:p w:rsidR="00C86DD8" w:rsidRPr="008714E3" w:rsidRDefault="00C86DD8" w:rsidP="00AF12AD">
      <w:pPr>
        <w:pStyle w:val="NoSpacing"/>
        <w:jc w:val="both"/>
        <w:rPr>
          <w:b/>
          <w:sz w:val="24"/>
          <w:szCs w:val="24"/>
          <w:lang w:val="en-US"/>
        </w:rPr>
      </w:pPr>
      <w:r w:rsidRPr="008714E3">
        <w:rPr>
          <w:b/>
          <w:sz w:val="24"/>
          <w:szCs w:val="24"/>
          <w:lang w:val="en-US"/>
        </w:rPr>
        <w:t>And</w:t>
      </w:r>
    </w:p>
    <w:p w:rsidR="00C86DD8" w:rsidRPr="008714E3" w:rsidRDefault="00C86DD8" w:rsidP="00AF12AD">
      <w:pPr>
        <w:pStyle w:val="NoSpacing"/>
        <w:jc w:val="both"/>
        <w:rPr>
          <w:b/>
          <w:sz w:val="24"/>
          <w:szCs w:val="24"/>
          <w:lang w:val="en-US"/>
        </w:rPr>
      </w:pPr>
    </w:p>
    <w:p w:rsidR="00C86DD8" w:rsidRPr="008714E3" w:rsidRDefault="00C86DD8" w:rsidP="00AF12AD">
      <w:pPr>
        <w:pStyle w:val="NoSpacing"/>
        <w:jc w:val="both"/>
        <w:rPr>
          <w:b/>
          <w:sz w:val="24"/>
          <w:szCs w:val="24"/>
          <w:lang w:val="en-US"/>
        </w:rPr>
      </w:pPr>
      <w:r w:rsidRPr="008714E3">
        <w:rPr>
          <w:b/>
          <w:sz w:val="24"/>
          <w:szCs w:val="24"/>
          <w:lang w:val="en-US"/>
        </w:rPr>
        <w:t>REGISTRAR OF DEEDS N.O.</w:t>
      </w:r>
    </w:p>
    <w:p w:rsidR="00C86DD8" w:rsidRPr="008714E3" w:rsidRDefault="00C86DD8" w:rsidP="00AF12AD">
      <w:pPr>
        <w:pStyle w:val="NoSpacing"/>
        <w:jc w:val="both"/>
        <w:rPr>
          <w:b/>
          <w:sz w:val="24"/>
          <w:szCs w:val="24"/>
          <w:lang w:val="en-US"/>
        </w:rPr>
      </w:pPr>
    </w:p>
    <w:p w:rsidR="00C86DD8" w:rsidRPr="008714E3" w:rsidRDefault="00C86DD8" w:rsidP="00AF12AD">
      <w:pPr>
        <w:pStyle w:val="NoSpacing"/>
        <w:jc w:val="both"/>
        <w:rPr>
          <w:b/>
          <w:sz w:val="24"/>
          <w:szCs w:val="24"/>
          <w:lang w:val="en-US"/>
        </w:rPr>
      </w:pPr>
      <w:r w:rsidRPr="008714E3">
        <w:rPr>
          <w:b/>
          <w:sz w:val="24"/>
          <w:szCs w:val="24"/>
          <w:lang w:val="en-US"/>
        </w:rPr>
        <w:t>And</w:t>
      </w:r>
    </w:p>
    <w:p w:rsidR="00C86DD8" w:rsidRPr="008714E3" w:rsidRDefault="00C86DD8" w:rsidP="00AF12AD">
      <w:pPr>
        <w:pStyle w:val="NoSpacing"/>
        <w:jc w:val="both"/>
        <w:rPr>
          <w:b/>
          <w:sz w:val="24"/>
          <w:szCs w:val="24"/>
          <w:lang w:val="en-US"/>
        </w:rPr>
      </w:pPr>
    </w:p>
    <w:p w:rsidR="00C86DD8" w:rsidRPr="008714E3" w:rsidRDefault="00C86DD8" w:rsidP="00AF12AD">
      <w:pPr>
        <w:pStyle w:val="NoSpacing"/>
        <w:jc w:val="both"/>
        <w:rPr>
          <w:b/>
          <w:sz w:val="24"/>
          <w:szCs w:val="24"/>
          <w:lang w:val="en-US"/>
        </w:rPr>
      </w:pPr>
      <w:r w:rsidRPr="008714E3">
        <w:rPr>
          <w:b/>
          <w:sz w:val="24"/>
          <w:szCs w:val="24"/>
          <w:lang w:val="en-US"/>
        </w:rPr>
        <w:t xml:space="preserve">THE DEPUTY SHERIFF OF THE HIGH COURT </w:t>
      </w:r>
    </w:p>
    <w:p w:rsidR="00C86DD8" w:rsidRPr="008714E3" w:rsidRDefault="00C86DD8" w:rsidP="00AF12AD">
      <w:pPr>
        <w:pStyle w:val="NoSpacing"/>
        <w:jc w:val="both"/>
        <w:rPr>
          <w:b/>
          <w:sz w:val="24"/>
          <w:szCs w:val="24"/>
          <w:lang w:val="en-US"/>
        </w:rPr>
      </w:pPr>
      <w:r w:rsidRPr="008714E3">
        <w:rPr>
          <w:b/>
          <w:sz w:val="24"/>
          <w:szCs w:val="24"/>
          <w:lang w:val="en-US"/>
        </w:rPr>
        <w:t>OF ZIMBABWE N.O.</w:t>
      </w:r>
    </w:p>
    <w:p w:rsidR="00C86DD8" w:rsidRPr="008714E3" w:rsidRDefault="00C86DD8" w:rsidP="00AF12AD">
      <w:pPr>
        <w:pStyle w:val="NoSpacing"/>
        <w:jc w:val="both"/>
        <w:rPr>
          <w:b/>
          <w:sz w:val="24"/>
          <w:szCs w:val="24"/>
          <w:lang w:val="en-US"/>
        </w:rPr>
      </w:pPr>
    </w:p>
    <w:p w:rsidR="00C86DD8" w:rsidRPr="008714E3" w:rsidRDefault="00C86DD8" w:rsidP="00AF12AD">
      <w:pPr>
        <w:pStyle w:val="NoSpacing"/>
        <w:jc w:val="both"/>
        <w:rPr>
          <w:sz w:val="24"/>
          <w:szCs w:val="24"/>
          <w:lang w:val="en-US"/>
        </w:rPr>
      </w:pPr>
      <w:r w:rsidRPr="008714E3">
        <w:rPr>
          <w:sz w:val="24"/>
          <w:szCs w:val="24"/>
          <w:lang w:val="en-US"/>
        </w:rPr>
        <w:t>IN THE HIGH COURT OF ZIMBABWE</w:t>
      </w:r>
    </w:p>
    <w:p w:rsidR="00C86DD8" w:rsidRPr="008714E3" w:rsidRDefault="00C86DD8" w:rsidP="00AF12AD">
      <w:pPr>
        <w:pStyle w:val="NoSpacing"/>
        <w:jc w:val="both"/>
        <w:rPr>
          <w:sz w:val="24"/>
          <w:szCs w:val="24"/>
          <w:lang w:val="en-US"/>
        </w:rPr>
      </w:pPr>
      <w:r w:rsidRPr="008714E3">
        <w:rPr>
          <w:sz w:val="24"/>
          <w:szCs w:val="24"/>
          <w:lang w:val="en-US"/>
        </w:rPr>
        <w:t>KABASA J</w:t>
      </w:r>
    </w:p>
    <w:p w:rsidR="00C86DD8" w:rsidRPr="008714E3" w:rsidRDefault="00C86DD8" w:rsidP="00AF12AD">
      <w:pPr>
        <w:pStyle w:val="NoSpacing"/>
        <w:jc w:val="both"/>
        <w:rPr>
          <w:sz w:val="24"/>
          <w:szCs w:val="24"/>
          <w:lang w:val="en-US"/>
        </w:rPr>
      </w:pPr>
      <w:r w:rsidRPr="008714E3">
        <w:rPr>
          <w:sz w:val="24"/>
          <w:szCs w:val="24"/>
          <w:lang w:val="en-US"/>
        </w:rPr>
        <w:t>BULAWAYO 6 AND 16 JUNE 2022</w:t>
      </w:r>
    </w:p>
    <w:p w:rsidR="00C86DD8" w:rsidRPr="008714E3" w:rsidRDefault="00C86DD8" w:rsidP="00AF12AD">
      <w:pPr>
        <w:pStyle w:val="NoSpacing"/>
        <w:jc w:val="both"/>
        <w:rPr>
          <w:sz w:val="24"/>
          <w:szCs w:val="24"/>
          <w:lang w:val="en-US"/>
        </w:rPr>
      </w:pPr>
    </w:p>
    <w:p w:rsidR="00C86DD8" w:rsidRPr="008714E3" w:rsidRDefault="00C86DD8" w:rsidP="00AF12AD">
      <w:pPr>
        <w:pStyle w:val="NoSpacing"/>
        <w:jc w:val="both"/>
        <w:rPr>
          <w:sz w:val="24"/>
          <w:szCs w:val="24"/>
          <w:lang w:val="en-US"/>
        </w:rPr>
      </w:pPr>
      <w:r w:rsidRPr="008714E3">
        <w:rPr>
          <w:b/>
          <w:sz w:val="24"/>
          <w:szCs w:val="24"/>
          <w:lang w:val="en-US"/>
        </w:rPr>
        <w:t>Opposed Application</w:t>
      </w:r>
    </w:p>
    <w:p w:rsidR="00C86DD8" w:rsidRPr="008714E3" w:rsidRDefault="00C86DD8" w:rsidP="00AF12AD">
      <w:pPr>
        <w:pStyle w:val="NoSpacing"/>
        <w:jc w:val="both"/>
        <w:rPr>
          <w:sz w:val="24"/>
          <w:szCs w:val="24"/>
          <w:lang w:val="en-US"/>
        </w:rPr>
      </w:pPr>
    </w:p>
    <w:p w:rsidR="00C86DD8" w:rsidRPr="008714E3" w:rsidRDefault="00C86DD8" w:rsidP="00AF12AD">
      <w:pPr>
        <w:pStyle w:val="NoSpacing"/>
        <w:jc w:val="both"/>
        <w:rPr>
          <w:sz w:val="24"/>
          <w:szCs w:val="24"/>
          <w:lang w:val="en-US"/>
        </w:rPr>
      </w:pPr>
      <w:r w:rsidRPr="008714E3">
        <w:rPr>
          <w:i/>
          <w:sz w:val="24"/>
          <w:szCs w:val="24"/>
          <w:lang w:val="en-US"/>
        </w:rPr>
        <w:t>Advocate S. Siziba</w:t>
      </w:r>
      <w:r w:rsidR="00FD00AE">
        <w:rPr>
          <w:sz w:val="24"/>
          <w:szCs w:val="24"/>
          <w:lang w:val="en-US"/>
        </w:rPr>
        <w:t xml:space="preserve"> for the applicant</w:t>
      </w:r>
    </w:p>
    <w:p w:rsidR="00C86DD8" w:rsidRPr="008714E3" w:rsidRDefault="00C86DD8" w:rsidP="00AF12AD">
      <w:pPr>
        <w:pStyle w:val="NoSpacing"/>
        <w:jc w:val="both"/>
        <w:rPr>
          <w:sz w:val="24"/>
          <w:szCs w:val="24"/>
          <w:lang w:val="en-US"/>
        </w:rPr>
      </w:pPr>
      <w:r w:rsidRPr="008714E3">
        <w:rPr>
          <w:i/>
          <w:sz w:val="24"/>
          <w:szCs w:val="24"/>
          <w:lang w:val="en-US"/>
        </w:rPr>
        <w:t>A. Mutatu</w:t>
      </w:r>
      <w:r w:rsidRPr="008714E3">
        <w:rPr>
          <w:sz w:val="24"/>
          <w:szCs w:val="24"/>
          <w:lang w:val="en-US"/>
        </w:rPr>
        <w:t xml:space="preserve"> for the 1</w:t>
      </w:r>
      <w:r w:rsidRPr="008714E3">
        <w:rPr>
          <w:sz w:val="24"/>
          <w:szCs w:val="24"/>
          <w:vertAlign w:val="superscript"/>
          <w:lang w:val="en-US"/>
        </w:rPr>
        <w:t>st</w:t>
      </w:r>
      <w:r w:rsidRPr="008714E3">
        <w:rPr>
          <w:sz w:val="24"/>
          <w:szCs w:val="24"/>
          <w:lang w:val="en-US"/>
        </w:rPr>
        <w:t xml:space="preserve"> respondent</w:t>
      </w:r>
    </w:p>
    <w:p w:rsidR="00C86DD8" w:rsidRPr="008714E3" w:rsidRDefault="00C86DD8" w:rsidP="00AF12AD">
      <w:pPr>
        <w:pStyle w:val="NoSpacing"/>
        <w:jc w:val="both"/>
        <w:rPr>
          <w:sz w:val="24"/>
          <w:szCs w:val="24"/>
          <w:lang w:val="en-US"/>
        </w:rPr>
      </w:pPr>
      <w:r w:rsidRPr="008714E3">
        <w:rPr>
          <w:sz w:val="24"/>
          <w:szCs w:val="24"/>
          <w:lang w:val="en-US"/>
        </w:rPr>
        <w:t>T</w:t>
      </w:r>
      <w:r w:rsidR="00F91910">
        <w:rPr>
          <w:i/>
          <w:sz w:val="24"/>
          <w:szCs w:val="24"/>
          <w:lang w:val="en-US"/>
        </w:rPr>
        <w:t xml:space="preserve">. E. </w:t>
      </w:r>
      <w:proofErr w:type="spellStart"/>
      <w:r w:rsidR="00F91910">
        <w:rPr>
          <w:i/>
          <w:sz w:val="24"/>
          <w:szCs w:val="24"/>
          <w:lang w:val="en-US"/>
        </w:rPr>
        <w:t>Kam</w:t>
      </w:r>
      <w:r w:rsidRPr="008714E3">
        <w:rPr>
          <w:i/>
          <w:sz w:val="24"/>
          <w:szCs w:val="24"/>
          <w:lang w:val="en-US"/>
        </w:rPr>
        <w:t>ema</w:t>
      </w:r>
      <w:proofErr w:type="spellEnd"/>
      <w:r w:rsidRPr="008714E3">
        <w:rPr>
          <w:sz w:val="24"/>
          <w:szCs w:val="24"/>
          <w:lang w:val="en-US"/>
        </w:rPr>
        <w:t>, for the 2</w:t>
      </w:r>
      <w:r w:rsidRPr="008714E3">
        <w:rPr>
          <w:sz w:val="24"/>
          <w:szCs w:val="24"/>
          <w:vertAlign w:val="superscript"/>
          <w:lang w:val="en-US"/>
        </w:rPr>
        <w:t>nd</w:t>
      </w:r>
      <w:r w:rsidRPr="008714E3">
        <w:rPr>
          <w:sz w:val="24"/>
          <w:szCs w:val="24"/>
          <w:lang w:val="en-US"/>
        </w:rPr>
        <w:t xml:space="preserve"> – 4</w:t>
      </w:r>
      <w:r w:rsidRPr="008714E3">
        <w:rPr>
          <w:sz w:val="24"/>
          <w:szCs w:val="24"/>
          <w:vertAlign w:val="superscript"/>
          <w:lang w:val="en-US"/>
        </w:rPr>
        <w:t>th</w:t>
      </w:r>
      <w:r w:rsidRPr="008714E3">
        <w:rPr>
          <w:sz w:val="24"/>
          <w:szCs w:val="24"/>
          <w:lang w:val="en-US"/>
        </w:rPr>
        <w:t xml:space="preserve"> respondents</w:t>
      </w:r>
    </w:p>
    <w:p w:rsidR="00C86DD8" w:rsidRPr="008714E3" w:rsidRDefault="00C86DD8" w:rsidP="00AF12AD">
      <w:pPr>
        <w:pStyle w:val="NoSpacing"/>
        <w:jc w:val="both"/>
        <w:rPr>
          <w:sz w:val="24"/>
          <w:szCs w:val="24"/>
          <w:lang w:val="en-US"/>
        </w:rPr>
      </w:pPr>
    </w:p>
    <w:p w:rsidR="009966A5" w:rsidRPr="008714E3" w:rsidRDefault="009966A5" w:rsidP="00AF12AD">
      <w:pPr>
        <w:jc w:val="both"/>
        <w:rPr>
          <w:sz w:val="24"/>
          <w:szCs w:val="24"/>
          <w:lang w:val="en-US"/>
        </w:rPr>
      </w:pPr>
      <w:r w:rsidRPr="008714E3">
        <w:rPr>
          <w:sz w:val="24"/>
          <w:szCs w:val="24"/>
          <w:lang w:val="en-US"/>
        </w:rPr>
        <w:tab/>
      </w:r>
      <w:r w:rsidRPr="008714E3">
        <w:rPr>
          <w:b/>
          <w:sz w:val="24"/>
          <w:szCs w:val="24"/>
          <w:lang w:val="en-US"/>
        </w:rPr>
        <w:t>KABASA J:</w:t>
      </w:r>
      <w:r w:rsidRPr="008714E3">
        <w:rPr>
          <w:b/>
          <w:sz w:val="24"/>
          <w:szCs w:val="24"/>
          <w:lang w:val="en-US"/>
        </w:rPr>
        <w:tab/>
      </w:r>
      <w:r w:rsidRPr="008714E3">
        <w:rPr>
          <w:sz w:val="24"/>
          <w:szCs w:val="24"/>
          <w:lang w:val="en-US"/>
        </w:rPr>
        <w:t>This application was filed on 1</w:t>
      </w:r>
      <w:r w:rsidRPr="008714E3">
        <w:rPr>
          <w:sz w:val="24"/>
          <w:szCs w:val="24"/>
          <w:vertAlign w:val="superscript"/>
          <w:lang w:val="en-US"/>
        </w:rPr>
        <w:t>st</w:t>
      </w:r>
      <w:r w:rsidRPr="008714E3">
        <w:rPr>
          <w:sz w:val="24"/>
          <w:szCs w:val="24"/>
          <w:lang w:val="en-US"/>
        </w:rPr>
        <w:t xml:space="preserve"> Septem</w:t>
      </w:r>
      <w:r w:rsidR="005E4A56" w:rsidRPr="008714E3">
        <w:rPr>
          <w:sz w:val="24"/>
          <w:szCs w:val="24"/>
          <w:lang w:val="en-US"/>
        </w:rPr>
        <w:t>b</w:t>
      </w:r>
      <w:r w:rsidRPr="008714E3">
        <w:rPr>
          <w:sz w:val="24"/>
          <w:szCs w:val="24"/>
          <w:lang w:val="en-US"/>
        </w:rPr>
        <w:t>er 2020 by Eunice Jeyacheya.  Eunice subsequently died on 1</w:t>
      </w:r>
      <w:r w:rsidRPr="008714E3">
        <w:rPr>
          <w:sz w:val="24"/>
          <w:szCs w:val="24"/>
          <w:vertAlign w:val="superscript"/>
          <w:lang w:val="en-US"/>
        </w:rPr>
        <w:t>st</w:t>
      </w:r>
      <w:r w:rsidRPr="008714E3">
        <w:rPr>
          <w:sz w:val="24"/>
          <w:szCs w:val="24"/>
          <w:lang w:val="en-US"/>
        </w:rPr>
        <w:t xml:space="preserve"> August 2021 as per the death certificate filed of record.  Chiratidzo Lorraine Jeyacheya was then appointed Executrix Dative as per Letters of Administration also filed of record and in that</w:t>
      </w:r>
      <w:r w:rsidR="00051256">
        <w:rPr>
          <w:sz w:val="24"/>
          <w:szCs w:val="24"/>
          <w:lang w:val="en-US"/>
        </w:rPr>
        <w:t xml:space="preserve"> capacity sought to be substituted</w:t>
      </w:r>
      <w:r w:rsidRPr="008714E3">
        <w:rPr>
          <w:sz w:val="24"/>
          <w:szCs w:val="24"/>
          <w:lang w:val="en-US"/>
        </w:rPr>
        <w:t xml:space="preserve"> </w:t>
      </w:r>
      <w:r w:rsidR="00051256">
        <w:rPr>
          <w:sz w:val="24"/>
          <w:szCs w:val="24"/>
          <w:lang w:val="en-US"/>
        </w:rPr>
        <w:t>as the applicant and was so substituted</w:t>
      </w:r>
      <w:r w:rsidRPr="008714E3">
        <w:rPr>
          <w:sz w:val="24"/>
          <w:szCs w:val="24"/>
          <w:lang w:val="en-US"/>
        </w:rPr>
        <w:t xml:space="preserve"> in terms of Rule 32 (9) of SI 202/2021.</w:t>
      </w:r>
    </w:p>
    <w:p w:rsidR="009966A5" w:rsidRPr="008714E3" w:rsidRDefault="009966A5" w:rsidP="00AF12AD">
      <w:pPr>
        <w:jc w:val="both"/>
        <w:rPr>
          <w:sz w:val="24"/>
          <w:szCs w:val="24"/>
          <w:lang w:val="en-US"/>
        </w:rPr>
      </w:pPr>
      <w:r w:rsidRPr="008714E3">
        <w:rPr>
          <w:sz w:val="24"/>
          <w:szCs w:val="24"/>
          <w:lang w:val="en-US"/>
        </w:rPr>
        <w:tab/>
        <w:t>The app</w:t>
      </w:r>
      <w:r w:rsidR="00567BD8">
        <w:rPr>
          <w:sz w:val="24"/>
          <w:szCs w:val="24"/>
          <w:lang w:val="en-US"/>
        </w:rPr>
        <w:t>licant seeks the following relief</w:t>
      </w:r>
      <w:r w:rsidRPr="008714E3">
        <w:rPr>
          <w:sz w:val="24"/>
          <w:szCs w:val="24"/>
          <w:lang w:val="en-US"/>
        </w:rPr>
        <w:t>:</w:t>
      </w:r>
    </w:p>
    <w:p w:rsidR="009966A5" w:rsidRPr="008714E3" w:rsidRDefault="009966A5" w:rsidP="00AF12AD">
      <w:pPr>
        <w:pStyle w:val="NoSpacing"/>
        <w:jc w:val="both"/>
        <w:rPr>
          <w:sz w:val="24"/>
          <w:szCs w:val="24"/>
          <w:lang w:val="en-US"/>
        </w:rPr>
      </w:pPr>
      <w:r w:rsidRPr="008714E3">
        <w:rPr>
          <w:sz w:val="24"/>
          <w:szCs w:val="24"/>
          <w:lang w:val="en-US"/>
        </w:rPr>
        <w:tab/>
      </w:r>
    </w:p>
    <w:p w:rsidR="00C86DD8" w:rsidRPr="008714E3" w:rsidRDefault="00B93873" w:rsidP="00AF12AD">
      <w:pPr>
        <w:pStyle w:val="NoSpacing"/>
        <w:ind w:left="1440" w:hanging="720"/>
        <w:jc w:val="both"/>
        <w:rPr>
          <w:sz w:val="24"/>
          <w:szCs w:val="24"/>
          <w:lang w:val="en-US"/>
        </w:rPr>
      </w:pPr>
      <w:r w:rsidRPr="008714E3">
        <w:rPr>
          <w:sz w:val="24"/>
          <w:szCs w:val="24"/>
          <w:lang w:val="en-US"/>
        </w:rPr>
        <w:t>“1.</w:t>
      </w:r>
      <w:r w:rsidRPr="008714E3">
        <w:rPr>
          <w:sz w:val="24"/>
          <w:szCs w:val="24"/>
          <w:lang w:val="en-US"/>
        </w:rPr>
        <w:tab/>
        <w:t>The 1</w:t>
      </w:r>
      <w:r w:rsidRPr="008714E3">
        <w:rPr>
          <w:sz w:val="24"/>
          <w:szCs w:val="24"/>
          <w:vertAlign w:val="superscript"/>
          <w:lang w:val="en-US"/>
        </w:rPr>
        <w:t>st</w:t>
      </w:r>
      <w:r w:rsidR="00A027D8">
        <w:rPr>
          <w:sz w:val="24"/>
          <w:szCs w:val="24"/>
          <w:lang w:val="en-US"/>
        </w:rPr>
        <w:t xml:space="preserve"> respondent</w:t>
      </w:r>
      <w:r w:rsidRPr="008714E3">
        <w:rPr>
          <w:sz w:val="24"/>
          <w:szCs w:val="24"/>
          <w:lang w:val="en-US"/>
        </w:rPr>
        <w:t xml:space="preserve"> be and is hereby ordered to comply with the 2</w:t>
      </w:r>
      <w:r w:rsidRPr="008714E3">
        <w:rPr>
          <w:sz w:val="24"/>
          <w:szCs w:val="24"/>
          <w:vertAlign w:val="superscript"/>
          <w:lang w:val="en-US"/>
        </w:rPr>
        <w:t>nd</w:t>
      </w:r>
      <w:r w:rsidRPr="008714E3">
        <w:rPr>
          <w:sz w:val="24"/>
          <w:szCs w:val="24"/>
          <w:lang w:val="en-US"/>
        </w:rPr>
        <w:t xml:space="preserve"> respondent’s directive issued under Local Authorities Circular Minute No. 1 of 2015.</w:t>
      </w:r>
    </w:p>
    <w:p w:rsidR="00B93873" w:rsidRPr="008714E3" w:rsidRDefault="00B93873" w:rsidP="00AF12AD">
      <w:pPr>
        <w:pStyle w:val="NoSpacing"/>
        <w:ind w:left="1440" w:hanging="720"/>
        <w:jc w:val="both"/>
        <w:rPr>
          <w:sz w:val="24"/>
          <w:szCs w:val="24"/>
          <w:lang w:val="en-US"/>
        </w:rPr>
      </w:pPr>
      <w:r w:rsidRPr="008714E3">
        <w:rPr>
          <w:sz w:val="24"/>
          <w:szCs w:val="24"/>
          <w:lang w:val="en-US"/>
        </w:rPr>
        <w:t>2.</w:t>
      </w:r>
      <w:r w:rsidRPr="008714E3">
        <w:rPr>
          <w:sz w:val="24"/>
          <w:szCs w:val="24"/>
          <w:lang w:val="en-US"/>
        </w:rPr>
        <w:tab/>
        <w:t>The 1</w:t>
      </w:r>
      <w:r w:rsidRPr="008714E3">
        <w:rPr>
          <w:sz w:val="24"/>
          <w:szCs w:val="24"/>
          <w:vertAlign w:val="superscript"/>
          <w:lang w:val="en-US"/>
        </w:rPr>
        <w:t>st</w:t>
      </w:r>
      <w:r w:rsidRPr="008714E3">
        <w:rPr>
          <w:sz w:val="24"/>
          <w:szCs w:val="24"/>
          <w:lang w:val="en-US"/>
        </w:rPr>
        <w:t xml:space="preserve"> respondent be and is hereby ordered to take all the necessary steps to pass transfer of the property being house number 15 </w:t>
      </w:r>
      <w:r w:rsidR="00AF12AD" w:rsidRPr="008714E3">
        <w:rPr>
          <w:sz w:val="24"/>
          <w:szCs w:val="24"/>
          <w:lang w:val="en-US"/>
        </w:rPr>
        <w:t>Westminster</w:t>
      </w:r>
      <w:r w:rsidRPr="008714E3">
        <w:rPr>
          <w:sz w:val="24"/>
          <w:szCs w:val="24"/>
          <w:lang w:val="en-US"/>
        </w:rPr>
        <w:t xml:space="preserve"> Avenue, Fitchlea, Kwekwe into the applicant’s name failing which within thirty (30) </w:t>
      </w:r>
      <w:r w:rsidRPr="008714E3">
        <w:rPr>
          <w:sz w:val="24"/>
          <w:szCs w:val="24"/>
          <w:lang w:val="en-US"/>
        </w:rPr>
        <w:lastRenderedPageBreak/>
        <w:t xml:space="preserve">days of service of the order upon </w:t>
      </w:r>
      <w:r w:rsidR="005140A0" w:rsidRPr="008714E3">
        <w:rPr>
          <w:sz w:val="24"/>
          <w:szCs w:val="24"/>
          <w:lang w:val="en-US"/>
        </w:rPr>
        <w:t>them</w:t>
      </w:r>
      <w:r w:rsidRPr="008714E3">
        <w:rPr>
          <w:sz w:val="24"/>
          <w:szCs w:val="24"/>
          <w:lang w:val="en-US"/>
        </w:rPr>
        <w:t xml:space="preserve"> 4</w:t>
      </w:r>
      <w:r w:rsidRPr="008714E3">
        <w:rPr>
          <w:sz w:val="24"/>
          <w:szCs w:val="24"/>
          <w:vertAlign w:val="superscript"/>
          <w:lang w:val="en-US"/>
        </w:rPr>
        <w:t>th</w:t>
      </w:r>
      <w:r w:rsidRPr="008714E3">
        <w:rPr>
          <w:sz w:val="24"/>
          <w:szCs w:val="24"/>
          <w:lang w:val="en-US"/>
        </w:rPr>
        <w:t xml:space="preserve"> respondent be and is hereby authorized, directed and empowered to take all the necessary steps, sign all transfer documents on behalf of the 1</w:t>
      </w:r>
      <w:r w:rsidRPr="008714E3">
        <w:rPr>
          <w:sz w:val="24"/>
          <w:szCs w:val="24"/>
          <w:vertAlign w:val="superscript"/>
          <w:lang w:val="en-US"/>
        </w:rPr>
        <w:t>st</w:t>
      </w:r>
      <w:r w:rsidRPr="008714E3">
        <w:rPr>
          <w:sz w:val="24"/>
          <w:szCs w:val="24"/>
          <w:lang w:val="en-US"/>
        </w:rPr>
        <w:t xml:space="preserve"> respondent.</w:t>
      </w:r>
    </w:p>
    <w:p w:rsidR="00B93873" w:rsidRPr="008714E3" w:rsidRDefault="00B93873" w:rsidP="00AF12AD">
      <w:pPr>
        <w:pStyle w:val="NoSpacing"/>
        <w:ind w:left="1440" w:hanging="720"/>
        <w:jc w:val="both"/>
        <w:rPr>
          <w:sz w:val="24"/>
          <w:szCs w:val="24"/>
          <w:lang w:val="en-US"/>
        </w:rPr>
      </w:pPr>
      <w:r w:rsidRPr="008714E3">
        <w:rPr>
          <w:sz w:val="24"/>
          <w:szCs w:val="24"/>
          <w:lang w:val="en-US"/>
        </w:rPr>
        <w:t>3.</w:t>
      </w:r>
      <w:r w:rsidRPr="008714E3">
        <w:rPr>
          <w:sz w:val="24"/>
          <w:szCs w:val="24"/>
          <w:lang w:val="en-US"/>
        </w:rPr>
        <w:tab/>
        <w:t>3</w:t>
      </w:r>
      <w:r w:rsidRPr="008714E3">
        <w:rPr>
          <w:sz w:val="24"/>
          <w:szCs w:val="24"/>
          <w:vertAlign w:val="superscript"/>
          <w:lang w:val="en-US"/>
        </w:rPr>
        <w:t>rd</w:t>
      </w:r>
      <w:r w:rsidRPr="008714E3">
        <w:rPr>
          <w:sz w:val="24"/>
          <w:szCs w:val="24"/>
          <w:lang w:val="en-US"/>
        </w:rPr>
        <w:t xml:space="preserve"> respondent be and is hereby order</w:t>
      </w:r>
      <w:r w:rsidR="005140A0" w:rsidRPr="008714E3">
        <w:rPr>
          <w:sz w:val="24"/>
          <w:szCs w:val="24"/>
          <w:lang w:val="en-US"/>
        </w:rPr>
        <w:t>e</w:t>
      </w:r>
      <w:r w:rsidRPr="008714E3">
        <w:rPr>
          <w:sz w:val="24"/>
          <w:szCs w:val="24"/>
          <w:lang w:val="en-US"/>
        </w:rPr>
        <w:t xml:space="preserve">d to do all that is necessary to </w:t>
      </w:r>
      <w:r w:rsidR="005140A0" w:rsidRPr="008714E3">
        <w:rPr>
          <w:sz w:val="24"/>
          <w:szCs w:val="24"/>
          <w:lang w:val="en-US"/>
        </w:rPr>
        <w:t>ensure</w:t>
      </w:r>
      <w:r w:rsidRPr="008714E3">
        <w:rPr>
          <w:sz w:val="24"/>
          <w:szCs w:val="24"/>
          <w:lang w:val="en-US"/>
        </w:rPr>
        <w:t xml:space="preserve"> that the said property is transferred into the name of the applicant.</w:t>
      </w:r>
    </w:p>
    <w:p w:rsidR="00B93873" w:rsidRPr="008714E3" w:rsidRDefault="00B93873" w:rsidP="00AF12AD">
      <w:pPr>
        <w:pStyle w:val="NoSpacing"/>
        <w:ind w:left="1440" w:hanging="720"/>
        <w:jc w:val="both"/>
        <w:rPr>
          <w:sz w:val="24"/>
          <w:szCs w:val="24"/>
          <w:lang w:val="en-US"/>
        </w:rPr>
      </w:pPr>
      <w:r w:rsidRPr="008714E3">
        <w:rPr>
          <w:sz w:val="24"/>
          <w:szCs w:val="24"/>
          <w:lang w:val="en-US"/>
        </w:rPr>
        <w:t>4.</w:t>
      </w:r>
      <w:r w:rsidRPr="008714E3">
        <w:rPr>
          <w:sz w:val="24"/>
          <w:szCs w:val="24"/>
          <w:lang w:val="en-US"/>
        </w:rPr>
        <w:tab/>
        <w:t>The 1</w:t>
      </w:r>
      <w:r w:rsidRPr="008714E3">
        <w:rPr>
          <w:sz w:val="24"/>
          <w:szCs w:val="24"/>
          <w:vertAlign w:val="superscript"/>
          <w:lang w:val="en-US"/>
        </w:rPr>
        <w:t>st</w:t>
      </w:r>
      <w:r w:rsidRPr="008714E3">
        <w:rPr>
          <w:sz w:val="24"/>
          <w:szCs w:val="24"/>
          <w:lang w:val="en-US"/>
        </w:rPr>
        <w:t xml:space="preserve"> respondent be and is hereby ordered to pay applicant’s costs of suit.”</w:t>
      </w:r>
    </w:p>
    <w:p w:rsidR="005140A0" w:rsidRPr="008714E3" w:rsidRDefault="005140A0" w:rsidP="00AF12AD">
      <w:pPr>
        <w:pStyle w:val="NoSpacing"/>
        <w:jc w:val="both"/>
        <w:rPr>
          <w:sz w:val="24"/>
          <w:szCs w:val="24"/>
          <w:lang w:val="en-US"/>
        </w:rPr>
      </w:pPr>
    </w:p>
    <w:p w:rsidR="005140A0" w:rsidRPr="008714E3" w:rsidRDefault="005140A0" w:rsidP="00AF12AD">
      <w:pPr>
        <w:jc w:val="both"/>
        <w:rPr>
          <w:sz w:val="24"/>
          <w:szCs w:val="24"/>
          <w:lang w:val="en-US"/>
        </w:rPr>
      </w:pPr>
      <w:r w:rsidRPr="008714E3">
        <w:rPr>
          <w:sz w:val="24"/>
          <w:szCs w:val="24"/>
          <w:lang w:val="en-US"/>
        </w:rPr>
        <w:tab/>
      </w:r>
      <w:r w:rsidR="001D54A5">
        <w:rPr>
          <w:sz w:val="24"/>
          <w:szCs w:val="24"/>
          <w:lang w:val="en-US"/>
        </w:rPr>
        <w:t>This relief</w:t>
      </w:r>
      <w:r w:rsidR="003D03D2" w:rsidRPr="008714E3">
        <w:rPr>
          <w:sz w:val="24"/>
          <w:szCs w:val="24"/>
          <w:lang w:val="en-US"/>
        </w:rPr>
        <w:t xml:space="preserve"> is being sought premised on the following background:</w:t>
      </w:r>
    </w:p>
    <w:p w:rsidR="003D03D2" w:rsidRPr="008714E3" w:rsidRDefault="003D03D2" w:rsidP="00AF12AD">
      <w:pPr>
        <w:jc w:val="both"/>
        <w:rPr>
          <w:sz w:val="24"/>
          <w:szCs w:val="24"/>
          <w:lang w:val="en-US"/>
        </w:rPr>
      </w:pPr>
      <w:r w:rsidRPr="008714E3">
        <w:rPr>
          <w:sz w:val="24"/>
          <w:szCs w:val="24"/>
          <w:lang w:val="en-US"/>
        </w:rPr>
        <w:tab/>
        <w:t>Eunice Jeyacheya was employed by the 1</w:t>
      </w:r>
      <w:r w:rsidRPr="008714E3">
        <w:rPr>
          <w:sz w:val="24"/>
          <w:szCs w:val="24"/>
          <w:vertAlign w:val="superscript"/>
          <w:lang w:val="en-US"/>
        </w:rPr>
        <w:t>st</w:t>
      </w:r>
      <w:r w:rsidRPr="008714E3">
        <w:rPr>
          <w:sz w:val="24"/>
          <w:szCs w:val="24"/>
          <w:lang w:val="en-US"/>
        </w:rPr>
        <w:t xml:space="preserve"> respondent in January 1981 and allocated the house in question where she lived with her family.  She retired from the 1</w:t>
      </w:r>
      <w:r w:rsidRPr="008714E3">
        <w:rPr>
          <w:sz w:val="24"/>
          <w:szCs w:val="24"/>
          <w:vertAlign w:val="superscript"/>
          <w:lang w:val="en-US"/>
        </w:rPr>
        <w:t>st</w:t>
      </w:r>
      <w:r w:rsidRPr="008714E3">
        <w:rPr>
          <w:sz w:val="24"/>
          <w:szCs w:val="24"/>
          <w:lang w:val="en-US"/>
        </w:rPr>
        <w:t xml:space="preserve"> respondent employ in 2016 and continued</w:t>
      </w:r>
      <w:r w:rsidR="00937364">
        <w:rPr>
          <w:sz w:val="24"/>
          <w:szCs w:val="24"/>
          <w:lang w:val="en-US"/>
        </w:rPr>
        <w:t xml:space="preserve"> residing at the premises.  In </w:t>
      </w:r>
      <w:r w:rsidRPr="008714E3">
        <w:rPr>
          <w:sz w:val="24"/>
          <w:szCs w:val="24"/>
          <w:lang w:val="en-US"/>
        </w:rPr>
        <w:t>2018 she became aware of a circular issued by the 2</w:t>
      </w:r>
      <w:r w:rsidRPr="008714E3">
        <w:rPr>
          <w:sz w:val="24"/>
          <w:szCs w:val="24"/>
          <w:vertAlign w:val="superscript"/>
          <w:lang w:val="en-US"/>
        </w:rPr>
        <w:t>nd</w:t>
      </w:r>
      <w:r w:rsidRPr="008714E3">
        <w:rPr>
          <w:sz w:val="24"/>
          <w:szCs w:val="24"/>
          <w:lang w:val="en-US"/>
        </w:rPr>
        <w:t xml:space="preserve"> responde</w:t>
      </w:r>
      <w:r w:rsidR="002D2E66">
        <w:rPr>
          <w:sz w:val="24"/>
          <w:szCs w:val="24"/>
          <w:lang w:val="en-US"/>
        </w:rPr>
        <w:t>nt, which circular forms the basis of her claim.</w:t>
      </w:r>
      <w:r w:rsidRPr="008714E3">
        <w:rPr>
          <w:sz w:val="24"/>
          <w:szCs w:val="24"/>
          <w:lang w:val="en-US"/>
        </w:rPr>
        <w:t xml:space="preserve">  I propose to reproduce the contents hereunder:</w:t>
      </w:r>
    </w:p>
    <w:p w:rsidR="003D03D2" w:rsidRPr="008714E3" w:rsidRDefault="003D03D2" w:rsidP="00AF12AD">
      <w:pPr>
        <w:pStyle w:val="NoSpacing"/>
        <w:jc w:val="both"/>
        <w:rPr>
          <w:sz w:val="24"/>
          <w:szCs w:val="24"/>
          <w:lang w:val="en-US"/>
        </w:rPr>
      </w:pPr>
      <w:r w:rsidRPr="008714E3">
        <w:rPr>
          <w:sz w:val="24"/>
          <w:szCs w:val="24"/>
          <w:lang w:val="en-US"/>
        </w:rPr>
        <w:tab/>
        <w:t>“Local Authorities Circular Minute No. 1 of 2015</w:t>
      </w:r>
    </w:p>
    <w:p w:rsidR="003D03D2" w:rsidRPr="008714E3" w:rsidRDefault="003D03D2" w:rsidP="00AF12AD">
      <w:pPr>
        <w:pStyle w:val="NoSpacing"/>
        <w:jc w:val="both"/>
        <w:rPr>
          <w:sz w:val="24"/>
          <w:szCs w:val="24"/>
          <w:lang w:val="en-US"/>
        </w:rPr>
      </w:pPr>
    </w:p>
    <w:p w:rsidR="003D03D2" w:rsidRPr="008714E3" w:rsidRDefault="003D03D2" w:rsidP="00AF12AD">
      <w:pPr>
        <w:pStyle w:val="NoSpacing"/>
        <w:jc w:val="both"/>
        <w:rPr>
          <w:sz w:val="24"/>
          <w:szCs w:val="24"/>
          <w:lang w:val="en-US"/>
        </w:rPr>
      </w:pPr>
      <w:r w:rsidRPr="008714E3">
        <w:rPr>
          <w:sz w:val="24"/>
          <w:szCs w:val="24"/>
          <w:lang w:val="en-US"/>
        </w:rPr>
        <w:tab/>
        <w:t>All Town Clerks/Secretaries</w:t>
      </w:r>
    </w:p>
    <w:p w:rsidR="003D03D2" w:rsidRPr="008714E3" w:rsidRDefault="003D03D2" w:rsidP="00AF12AD">
      <w:pPr>
        <w:pStyle w:val="NoSpacing"/>
        <w:jc w:val="both"/>
        <w:rPr>
          <w:sz w:val="24"/>
          <w:szCs w:val="24"/>
          <w:lang w:val="en-US"/>
        </w:rPr>
      </w:pPr>
      <w:r w:rsidRPr="008714E3">
        <w:rPr>
          <w:sz w:val="24"/>
          <w:szCs w:val="24"/>
          <w:lang w:val="en-US"/>
        </w:rPr>
        <w:tab/>
        <w:t>All Provincial Administrators</w:t>
      </w:r>
    </w:p>
    <w:p w:rsidR="003D03D2" w:rsidRPr="008714E3" w:rsidRDefault="003D03D2" w:rsidP="00AF12AD">
      <w:pPr>
        <w:pStyle w:val="NoSpacing"/>
        <w:jc w:val="both"/>
        <w:rPr>
          <w:sz w:val="24"/>
          <w:szCs w:val="24"/>
          <w:lang w:val="en-US"/>
        </w:rPr>
      </w:pPr>
    </w:p>
    <w:p w:rsidR="003D03D2" w:rsidRPr="008714E3" w:rsidRDefault="003D03D2" w:rsidP="00AF12AD">
      <w:pPr>
        <w:pStyle w:val="NoSpacing"/>
        <w:jc w:val="both"/>
        <w:rPr>
          <w:sz w:val="24"/>
          <w:szCs w:val="24"/>
          <w:u w:val="single"/>
          <w:lang w:val="en-US"/>
        </w:rPr>
      </w:pPr>
      <w:r w:rsidRPr="008714E3">
        <w:rPr>
          <w:sz w:val="24"/>
          <w:szCs w:val="24"/>
          <w:lang w:val="en-US"/>
        </w:rPr>
        <w:tab/>
      </w:r>
      <w:r w:rsidRPr="008714E3">
        <w:rPr>
          <w:sz w:val="24"/>
          <w:szCs w:val="24"/>
          <w:u w:val="single"/>
          <w:lang w:val="en-US"/>
        </w:rPr>
        <w:t>Subject:</w:t>
      </w:r>
      <w:r w:rsidRPr="008714E3">
        <w:rPr>
          <w:sz w:val="24"/>
          <w:szCs w:val="24"/>
          <w:u w:val="single"/>
          <w:lang w:val="en-US"/>
        </w:rPr>
        <w:tab/>
        <w:t>Title Deeds for House Ownership Scheme</w:t>
      </w:r>
      <w:r w:rsidR="00D85851">
        <w:rPr>
          <w:sz w:val="24"/>
          <w:szCs w:val="24"/>
          <w:u w:val="single"/>
          <w:lang w:val="en-US"/>
        </w:rPr>
        <w:t>s</w:t>
      </w:r>
    </w:p>
    <w:p w:rsidR="003D03D2" w:rsidRPr="008714E3" w:rsidRDefault="003D03D2" w:rsidP="00AF12AD">
      <w:pPr>
        <w:pStyle w:val="NoSpacing"/>
        <w:jc w:val="both"/>
        <w:rPr>
          <w:sz w:val="24"/>
          <w:szCs w:val="24"/>
          <w:lang w:val="en-US"/>
        </w:rPr>
      </w:pPr>
      <w:r w:rsidRPr="008714E3">
        <w:rPr>
          <w:sz w:val="24"/>
          <w:szCs w:val="24"/>
          <w:lang w:val="en-US"/>
        </w:rPr>
        <w:tab/>
      </w:r>
    </w:p>
    <w:p w:rsidR="003D03D2" w:rsidRPr="008714E3" w:rsidRDefault="003D03D2" w:rsidP="00AF12AD">
      <w:pPr>
        <w:pStyle w:val="NoSpacing"/>
        <w:ind w:left="720"/>
        <w:jc w:val="both"/>
        <w:rPr>
          <w:sz w:val="24"/>
          <w:szCs w:val="24"/>
          <w:lang w:val="en-US"/>
        </w:rPr>
      </w:pPr>
      <w:r w:rsidRPr="008714E3">
        <w:rPr>
          <w:sz w:val="24"/>
          <w:szCs w:val="24"/>
          <w:lang w:val="en-US"/>
        </w:rPr>
        <w:t>Upon the attainment of Independence in 1980, Government inherited a</w:t>
      </w:r>
      <w:r w:rsidR="00713700" w:rsidRPr="008714E3">
        <w:rPr>
          <w:sz w:val="24"/>
          <w:szCs w:val="24"/>
          <w:lang w:val="en-US"/>
        </w:rPr>
        <w:t xml:space="preserve"> </w:t>
      </w:r>
      <w:r w:rsidRPr="008714E3">
        <w:rPr>
          <w:sz w:val="24"/>
          <w:szCs w:val="24"/>
          <w:lang w:val="en-US"/>
        </w:rPr>
        <w:t>scenario where most indigenous people did not own property in urban areas.  The Government then crafted a deliberate housing policy aimed at empowering the majority by granting title to</w:t>
      </w:r>
      <w:r w:rsidR="00713700" w:rsidRPr="008714E3">
        <w:rPr>
          <w:sz w:val="24"/>
          <w:szCs w:val="24"/>
          <w:lang w:val="en-US"/>
        </w:rPr>
        <w:t xml:space="preserve"> those who resided in urban areas throughout the country.  As a</w:t>
      </w:r>
      <w:r w:rsidR="000C6A7F">
        <w:rPr>
          <w:sz w:val="24"/>
          <w:szCs w:val="24"/>
          <w:lang w:val="en-US"/>
        </w:rPr>
        <w:t xml:space="preserve"> result, in the early 1980s som</w:t>
      </w:r>
      <w:r w:rsidR="00713700" w:rsidRPr="008714E3">
        <w:rPr>
          <w:sz w:val="24"/>
          <w:szCs w:val="24"/>
          <w:lang w:val="en-US"/>
        </w:rPr>
        <w:t>e residential properties which were administ</w:t>
      </w:r>
      <w:r w:rsidR="00D5227C" w:rsidRPr="008714E3">
        <w:rPr>
          <w:sz w:val="24"/>
          <w:szCs w:val="24"/>
          <w:lang w:val="en-US"/>
        </w:rPr>
        <w:t>e</w:t>
      </w:r>
      <w:r w:rsidR="00713700" w:rsidRPr="008714E3">
        <w:rPr>
          <w:sz w:val="24"/>
          <w:szCs w:val="24"/>
          <w:lang w:val="en-US"/>
        </w:rPr>
        <w:t>red by urban</w:t>
      </w:r>
      <w:r w:rsidR="00D5227C" w:rsidRPr="008714E3">
        <w:rPr>
          <w:sz w:val="24"/>
          <w:szCs w:val="24"/>
          <w:lang w:val="en-US"/>
        </w:rPr>
        <w:t xml:space="preserve"> local authorities as rented accommodation were converted to ownership schemes.  However, local authorities were </w:t>
      </w:r>
      <w:r w:rsidR="00A572AA">
        <w:rPr>
          <w:sz w:val="24"/>
          <w:szCs w:val="24"/>
          <w:lang w:val="en-US"/>
        </w:rPr>
        <w:t>allowed the discretion to retain</w:t>
      </w:r>
      <w:r w:rsidR="00D5227C" w:rsidRPr="008714E3">
        <w:rPr>
          <w:sz w:val="24"/>
          <w:szCs w:val="24"/>
          <w:lang w:val="en-US"/>
        </w:rPr>
        <w:t xml:space="preserve"> a c</w:t>
      </w:r>
      <w:r w:rsidR="00A572AA">
        <w:rPr>
          <w:sz w:val="24"/>
          <w:szCs w:val="24"/>
          <w:lang w:val="en-US"/>
        </w:rPr>
        <w:t>ertain percentage to be maintaine</w:t>
      </w:r>
      <w:r w:rsidR="00D5227C" w:rsidRPr="008714E3">
        <w:rPr>
          <w:sz w:val="24"/>
          <w:szCs w:val="24"/>
          <w:lang w:val="en-US"/>
        </w:rPr>
        <w:t>d and ma</w:t>
      </w:r>
      <w:r w:rsidR="00A572AA">
        <w:rPr>
          <w:sz w:val="24"/>
          <w:szCs w:val="24"/>
          <w:lang w:val="en-US"/>
        </w:rPr>
        <w:t>naged as institutional or rental</w:t>
      </w:r>
      <w:r w:rsidR="00D5227C" w:rsidRPr="008714E3">
        <w:rPr>
          <w:sz w:val="24"/>
          <w:szCs w:val="24"/>
          <w:lang w:val="en-US"/>
        </w:rPr>
        <w:t xml:space="preserve"> houses, depending on the housing units available on stock.</w:t>
      </w:r>
    </w:p>
    <w:p w:rsidR="005E4A56" w:rsidRPr="008714E3" w:rsidRDefault="006B50B6" w:rsidP="00AF12AD">
      <w:pPr>
        <w:pStyle w:val="NoSpacing"/>
        <w:jc w:val="both"/>
        <w:rPr>
          <w:sz w:val="24"/>
          <w:szCs w:val="24"/>
          <w:lang w:val="en-US"/>
        </w:rPr>
      </w:pPr>
      <w:r w:rsidRPr="008714E3">
        <w:rPr>
          <w:sz w:val="24"/>
          <w:szCs w:val="24"/>
          <w:lang w:val="en-US"/>
        </w:rPr>
        <w:tab/>
      </w:r>
    </w:p>
    <w:p w:rsidR="006B50B6" w:rsidRPr="008714E3" w:rsidRDefault="006B50B6" w:rsidP="00AF12AD">
      <w:pPr>
        <w:pStyle w:val="NoSpacing"/>
        <w:ind w:left="720"/>
        <w:jc w:val="both"/>
        <w:rPr>
          <w:sz w:val="24"/>
          <w:szCs w:val="24"/>
          <w:lang w:val="en-US"/>
        </w:rPr>
      </w:pPr>
      <w:r w:rsidRPr="008714E3">
        <w:rPr>
          <w:sz w:val="24"/>
          <w:szCs w:val="24"/>
          <w:lang w:val="en-US"/>
        </w:rPr>
        <w:t>The intention of Government was that sitting tenants would benefit and be granted title deeds to guarantee security of tenure and absolute ownership of the property.  The properties were offered to sitting tenants who, at the time, did not own a house/flat in any urban area in Zimbabwe.</w:t>
      </w:r>
    </w:p>
    <w:p w:rsidR="006B50B6" w:rsidRPr="008714E3" w:rsidRDefault="006B50B6" w:rsidP="00AF12AD">
      <w:pPr>
        <w:pStyle w:val="NoSpacing"/>
        <w:jc w:val="both"/>
        <w:rPr>
          <w:sz w:val="24"/>
          <w:szCs w:val="24"/>
          <w:lang w:val="en-US"/>
        </w:rPr>
      </w:pPr>
    </w:p>
    <w:p w:rsidR="006B50B6" w:rsidRPr="008714E3" w:rsidRDefault="006B50B6" w:rsidP="00AF12AD">
      <w:pPr>
        <w:pStyle w:val="NoSpacing"/>
        <w:ind w:left="720"/>
        <w:jc w:val="both"/>
        <w:rPr>
          <w:sz w:val="24"/>
          <w:szCs w:val="24"/>
          <w:lang w:val="en-US"/>
        </w:rPr>
      </w:pPr>
      <w:r w:rsidRPr="008714E3">
        <w:rPr>
          <w:sz w:val="24"/>
          <w:szCs w:val="24"/>
          <w:lang w:val="en-US"/>
        </w:rPr>
        <w:t xml:space="preserve">It has been noted that as of recent, some local authorities have shown reluctant </w:t>
      </w:r>
      <w:r w:rsidRPr="008714E3">
        <w:rPr>
          <w:i/>
          <w:sz w:val="24"/>
          <w:szCs w:val="24"/>
          <w:lang w:val="en-US"/>
        </w:rPr>
        <w:t>(sic)</w:t>
      </w:r>
      <w:r w:rsidRPr="008714E3">
        <w:rPr>
          <w:sz w:val="24"/>
          <w:szCs w:val="24"/>
          <w:lang w:val="en-US"/>
        </w:rPr>
        <w:t xml:space="preserve"> to implement the long standing policy.  Therefore, in terms of section 313 of the Urban Councils Act (Chapter 29:15), the Honourable Minister of Local Government, Public Works and National Housing directs that all</w:t>
      </w:r>
      <w:r w:rsidR="005E4A56" w:rsidRPr="008714E3">
        <w:rPr>
          <w:sz w:val="24"/>
          <w:szCs w:val="24"/>
          <w:lang w:val="en-US"/>
        </w:rPr>
        <w:t xml:space="preserve"> local authorities facilitate is</w:t>
      </w:r>
      <w:r w:rsidRPr="008714E3">
        <w:rPr>
          <w:sz w:val="24"/>
          <w:szCs w:val="24"/>
          <w:lang w:val="en-US"/>
        </w:rPr>
        <w:t>suance of title deeds to genuine and deserving tenants who have rented Council accommodation for a period of more tha</w:t>
      </w:r>
      <w:r w:rsidR="00D277AB" w:rsidRPr="008714E3">
        <w:rPr>
          <w:sz w:val="24"/>
          <w:szCs w:val="24"/>
          <w:lang w:val="en-US"/>
        </w:rPr>
        <w:t>n</w:t>
      </w:r>
      <w:r w:rsidRPr="008714E3">
        <w:rPr>
          <w:sz w:val="24"/>
          <w:szCs w:val="24"/>
          <w:lang w:val="en-US"/>
        </w:rPr>
        <w:t xml:space="preserve"> 20 years.  Council may consider converting other housing schemes into</w:t>
      </w:r>
      <w:r w:rsidR="00D277AB" w:rsidRPr="008714E3">
        <w:rPr>
          <w:sz w:val="24"/>
          <w:szCs w:val="24"/>
          <w:lang w:val="en-US"/>
        </w:rPr>
        <w:t xml:space="preserve"> house ownership schem</w:t>
      </w:r>
      <w:r w:rsidR="005E4A56" w:rsidRPr="008714E3">
        <w:rPr>
          <w:sz w:val="24"/>
          <w:szCs w:val="24"/>
          <w:lang w:val="en-US"/>
        </w:rPr>
        <w:t>e</w:t>
      </w:r>
      <w:r w:rsidR="00D277AB" w:rsidRPr="008714E3">
        <w:rPr>
          <w:sz w:val="24"/>
          <w:szCs w:val="24"/>
          <w:lang w:val="en-US"/>
        </w:rPr>
        <w:t xml:space="preserve">s.  The scheme should be </w:t>
      </w:r>
      <w:r w:rsidR="007C30A3" w:rsidRPr="008714E3">
        <w:rPr>
          <w:sz w:val="24"/>
          <w:szCs w:val="24"/>
          <w:lang w:val="en-US"/>
        </w:rPr>
        <w:t>extende</w:t>
      </w:r>
      <w:r w:rsidR="005E4A56" w:rsidRPr="008714E3">
        <w:rPr>
          <w:sz w:val="24"/>
          <w:szCs w:val="24"/>
          <w:lang w:val="en-US"/>
        </w:rPr>
        <w:t xml:space="preserve">d to those rented houses whose </w:t>
      </w:r>
      <w:r w:rsidR="007C30A3" w:rsidRPr="008714E3">
        <w:rPr>
          <w:sz w:val="24"/>
          <w:szCs w:val="24"/>
          <w:lang w:val="en-US"/>
        </w:rPr>
        <w:t>tenancy has been passed on to kith and kin because of varying circumstances.”</w:t>
      </w:r>
    </w:p>
    <w:p w:rsidR="005140A0" w:rsidRPr="008714E3" w:rsidRDefault="005140A0" w:rsidP="00AF12AD">
      <w:pPr>
        <w:jc w:val="both"/>
        <w:rPr>
          <w:sz w:val="24"/>
          <w:szCs w:val="24"/>
          <w:lang w:val="en-US"/>
        </w:rPr>
      </w:pPr>
    </w:p>
    <w:p w:rsidR="007C30A3" w:rsidRPr="008714E3" w:rsidRDefault="007C30A3" w:rsidP="00AF12AD">
      <w:pPr>
        <w:jc w:val="both"/>
        <w:rPr>
          <w:sz w:val="24"/>
          <w:szCs w:val="24"/>
          <w:lang w:val="en-US"/>
        </w:rPr>
      </w:pPr>
      <w:r w:rsidRPr="008714E3">
        <w:rPr>
          <w:sz w:val="24"/>
          <w:szCs w:val="24"/>
          <w:lang w:val="en-US"/>
        </w:rPr>
        <w:lastRenderedPageBreak/>
        <w:tab/>
        <w:t xml:space="preserve">The applicant considered herself a genuine and deserving tenant who therefore was supposed to benefit </w:t>
      </w:r>
      <w:r w:rsidR="00A572AA">
        <w:rPr>
          <w:sz w:val="24"/>
          <w:szCs w:val="24"/>
          <w:lang w:val="en-US"/>
        </w:rPr>
        <w:t>from this ministerial directive, giving rise to this application.</w:t>
      </w:r>
    </w:p>
    <w:p w:rsidR="007C30A3" w:rsidRPr="008714E3" w:rsidRDefault="007C30A3" w:rsidP="00AF12AD">
      <w:pPr>
        <w:jc w:val="both"/>
        <w:rPr>
          <w:sz w:val="24"/>
          <w:szCs w:val="24"/>
          <w:lang w:val="en-US"/>
        </w:rPr>
      </w:pPr>
      <w:r w:rsidRPr="008714E3">
        <w:rPr>
          <w:sz w:val="24"/>
          <w:szCs w:val="24"/>
          <w:lang w:val="en-US"/>
        </w:rPr>
        <w:tab/>
        <w:t>The 1</w:t>
      </w:r>
      <w:r w:rsidRPr="008714E3">
        <w:rPr>
          <w:sz w:val="24"/>
          <w:szCs w:val="24"/>
          <w:vertAlign w:val="superscript"/>
          <w:lang w:val="en-US"/>
        </w:rPr>
        <w:t>st</w:t>
      </w:r>
      <w:r w:rsidRPr="008714E3">
        <w:rPr>
          <w:sz w:val="24"/>
          <w:szCs w:val="24"/>
          <w:lang w:val="en-US"/>
        </w:rPr>
        <w:t xml:space="preserve"> respondent opposed the application whilst the 2</w:t>
      </w:r>
      <w:r w:rsidRPr="008714E3">
        <w:rPr>
          <w:sz w:val="24"/>
          <w:szCs w:val="24"/>
          <w:vertAlign w:val="superscript"/>
          <w:lang w:val="en-US"/>
        </w:rPr>
        <w:t>nd</w:t>
      </w:r>
      <w:r w:rsidRPr="008714E3">
        <w:rPr>
          <w:sz w:val="24"/>
          <w:szCs w:val="24"/>
          <w:lang w:val="en-US"/>
        </w:rPr>
        <w:t xml:space="preserve"> – 4</w:t>
      </w:r>
      <w:r w:rsidRPr="008714E3">
        <w:rPr>
          <w:sz w:val="24"/>
          <w:szCs w:val="24"/>
          <w:vertAlign w:val="superscript"/>
          <w:lang w:val="en-US"/>
        </w:rPr>
        <w:t>th</w:t>
      </w:r>
      <w:r w:rsidRPr="008714E3">
        <w:rPr>
          <w:sz w:val="24"/>
          <w:szCs w:val="24"/>
          <w:lang w:val="en-US"/>
        </w:rPr>
        <w:t xml:space="preserve"> respondents did not file any papers and chose to abide by the decision of the court.</w:t>
      </w:r>
    </w:p>
    <w:p w:rsidR="007C30A3" w:rsidRPr="008714E3" w:rsidRDefault="007C30A3" w:rsidP="00AF12AD">
      <w:pPr>
        <w:jc w:val="both"/>
        <w:rPr>
          <w:sz w:val="24"/>
          <w:szCs w:val="24"/>
          <w:lang w:val="en-US"/>
        </w:rPr>
      </w:pPr>
      <w:r w:rsidRPr="008714E3">
        <w:rPr>
          <w:sz w:val="24"/>
          <w:szCs w:val="24"/>
          <w:lang w:val="en-US"/>
        </w:rPr>
        <w:tab/>
        <w:t>In opposing the application the 1</w:t>
      </w:r>
      <w:r w:rsidRPr="008714E3">
        <w:rPr>
          <w:sz w:val="24"/>
          <w:szCs w:val="24"/>
          <w:vertAlign w:val="superscript"/>
          <w:lang w:val="en-US"/>
        </w:rPr>
        <w:t>st</w:t>
      </w:r>
      <w:r w:rsidRPr="008714E3">
        <w:rPr>
          <w:sz w:val="24"/>
          <w:szCs w:val="24"/>
          <w:lang w:val="en-US"/>
        </w:rPr>
        <w:t xml:space="preserve"> respondent took a point </w:t>
      </w:r>
      <w:r w:rsidRPr="008714E3">
        <w:rPr>
          <w:i/>
          <w:sz w:val="24"/>
          <w:szCs w:val="24"/>
          <w:lang w:val="en-US"/>
        </w:rPr>
        <w:t>in limine</w:t>
      </w:r>
      <w:r w:rsidR="00745A31">
        <w:rPr>
          <w:sz w:val="24"/>
          <w:szCs w:val="24"/>
          <w:lang w:val="en-US"/>
        </w:rPr>
        <w:t>, the impor</w:t>
      </w:r>
      <w:r w:rsidRPr="008714E3">
        <w:rPr>
          <w:sz w:val="24"/>
          <w:szCs w:val="24"/>
          <w:lang w:val="en-US"/>
        </w:rPr>
        <w:t>t of it being that the relief sought is incompetent as the applicant is seeking transfer of a property she did not purchase.  The terms of the agreement bestowing such right on the applicant are not c</w:t>
      </w:r>
      <w:r w:rsidR="000C0FE7" w:rsidRPr="008714E3">
        <w:rPr>
          <w:sz w:val="24"/>
          <w:szCs w:val="24"/>
          <w:lang w:val="en-US"/>
        </w:rPr>
        <w:t>l</w:t>
      </w:r>
      <w:r w:rsidRPr="008714E3">
        <w:rPr>
          <w:sz w:val="24"/>
          <w:szCs w:val="24"/>
          <w:lang w:val="en-US"/>
        </w:rPr>
        <w:t>ear and so the applicant has no legal basis to seek transfer of a house which belongs to the 1</w:t>
      </w:r>
      <w:r w:rsidRPr="008714E3">
        <w:rPr>
          <w:sz w:val="24"/>
          <w:szCs w:val="24"/>
          <w:vertAlign w:val="superscript"/>
          <w:lang w:val="en-US"/>
        </w:rPr>
        <w:t>st</w:t>
      </w:r>
      <w:r w:rsidR="00745A31">
        <w:rPr>
          <w:sz w:val="24"/>
          <w:szCs w:val="24"/>
          <w:lang w:val="en-US"/>
        </w:rPr>
        <w:t xml:space="preserve"> respondent, so argued the 1</w:t>
      </w:r>
      <w:r w:rsidR="00745A31" w:rsidRPr="00745A31">
        <w:rPr>
          <w:sz w:val="24"/>
          <w:szCs w:val="24"/>
          <w:vertAlign w:val="superscript"/>
          <w:lang w:val="en-US"/>
        </w:rPr>
        <w:t>st</w:t>
      </w:r>
      <w:r w:rsidR="00745A31">
        <w:rPr>
          <w:sz w:val="24"/>
          <w:szCs w:val="24"/>
          <w:lang w:val="en-US"/>
        </w:rPr>
        <w:t xml:space="preserve"> respondent.</w:t>
      </w:r>
    </w:p>
    <w:p w:rsidR="007C30A3" w:rsidRPr="008714E3" w:rsidRDefault="007C30A3" w:rsidP="00AF12AD">
      <w:pPr>
        <w:jc w:val="both"/>
        <w:rPr>
          <w:sz w:val="24"/>
          <w:szCs w:val="24"/>
          <w:lang w:val="en-US"/>
        </w:rPr>
      </w:pPr>
      <w:r w:rsidRPr="008714E3">
        <w:rPr>
          <w:sz w:val="24"/>
          <w:szCs w:val="24"/>
          <w:lang w:val="en-US"/>
        </w:rPr>
        <w:tab/>
        <w:t>At the hearing of the application I asked the parties to address me on both the preliminary point and on the merits so that whatever decision</w:t>
      </w:r>
      <w:r w:rsidR="000C0FE7" w:rsidRPr="008714E3">
        <w:rPr>
          <w:sz w:val="24"/>
          <w:szCs w:val="24"/>
          <w:lang w:val="en-US"/>
        </w:rPr>
        <w:t xml:space="preserve"> I made regarding the point </w:t>
      </w:r>
      <w:r w:rsidR="000C0FE7" w:rsidRPr="008714E3">
        <w:rPr>
          <w:i/>
          <w:sz w:val="24"/>
          <w:szCs w:val="24"/>
          <w:lang w:val="en-US"/>
        </w:rPr>
        <w:t>in limine</w:t>
      </w:r>
      <w:r w:rsidR="00B9355E">
        <w:rPr>
          <w:i/>
          <w:sz w:val="24"/>
          <w:szCs w:val="24"/>
          <w:lang w:val="en-US"/>
        </w:rPr>
        <w:t xml:space="preserve">, </w:t>
      </w:r>
      <w:r w:rsidR="00B9355E" w:rsidRPr="00B9355E">
        <w:rPr>
          <w:sz w:val="24"/>
          <w:szCs w:val="24"/>
          <w:lang w:val="en-US"/>
        </w:rPr>
        <w:t>it</w:t>
      </w:r>
      <w:r w:rsidR="00B9355E">
        <w:rPr>
          <w:sz w:val="24"/>
          <w:szCs w:val="24"/>
          <w:lang w:val="en-US"/>
        </w:rPr>
        <w:t xml:space="preserve"> would not result in the partie</w:t>
      </w:r>
      <w:r w:rsidR="000C0FE7" w:rsidRPr="008714E3">
        <w:rPr>
          <w:sz w:val="24"/>
          <w:szCs w:val="24"/>
          <w:lang w:val="en-US"/>
        </w:rPr>
        <w:t>s coming back to argue on the merits.</w:t>
      </w:r>
    </w:p>
    <w:p w:rsidR="000C0FE7" w:rsidRPr="008714E3" w:rsidRDefault="000C0FE7" w:rsidP="00AF12AD">
      <w:pPr>
        <w:jc w:val="both"/>
        <w:rPr>
          <w:sz w:val="24"/>
          <w:szCs w:val="24"/>
          <w:lang w:val="en-US"/>
        </w:rPr>
      </w:pPr>
      <w:r w:rsidRPr="008714E3">
        <w:rPr>
          <w:sz w:val="24"/>
          <w:szCs w:val="24"/>
          <w:lang w:val="en-US"/>
        </w:rPr>
        <w:tab/>
      </w:r>
      <w:r w:rsidRPr="008714E3">
        <w:rPr>
          <w:i/>
          <w:sz w:val="24"/>
          <w:szCs w:val="24"/>
          <w:lang w:val="en-US"/>
        </w:rPr>
        <w:t>Advoca</w:t>
      </w:r>
      <w:r w:rsidR="005B2472" w:rsidRPr="008714E3">
        <w:rPr>
          <w:i/>
          <w:sz w:val="24"/>
          <w:szCs w:val="24"/>
          <w:lang w:val="en-US"/>
        </w:rPr>
        <w:t>t</w:t>
      </w:r>
      <w:r w:rsidRPr="008714E3">
        <w:rPr>
          <w:i/>
          <w:sz w:val="24"/>
          <w:szCs w:val="24"/>
          <w:lang w:val="en-US"/>
        </w:rPr>
        <w:t>e Siziba’s</w:t>
      </w:r>
      <w:r w:rsidRPr="008714E3">
        <w:rPr>
          <w:sz w:val="24"/>
          <w:szCs w:val="24"/>
          <w:lang w:val="en-US"/>
        </w:rPr>
        <w:t xml:space="preserve"> contention was that the </w:t>
      </w:r>
      <w:r w:rsidR="005B2472" w:rsidRPr="008714E3">
        <w:rPr>
          <w:sz w:val="24"/>
          <w:szCs w:val="24"/>
          <w:lang w:val="en-US"/>
        </w:rPr>
        <w:t xml:space="preserve">point </w:t>
      </w:r>
      <w:r w:rsidR="005B2472" w:rsidRPr="008714E3">
        <w:rPr>
          <w:i/>
          <w:sz w:val="24"/>
          <w:szCs w:val="24"/>
          <w:lang w:val="en-US"/>
        </w:rPr>
        <w:t>in limine</w:t>
      </w:r>
      <w:r w:rsidR="005B2472" w:rsidRPr="008714E3">
        <w:rPr>
          <w:sz w:val="24"/>
          <w:szCs w:val="24"/>
          <w:lang w:val="en-US"/>
        </w:rPr>
        <w:t xml:space="preserve"> was not properly taken</w:t>
      </w:r>
      <w:r w:rsidR="00B9355E">
        <w:rPr>
          <w:sz w:val="24"/>
          <w:szCs w:val="24"/>
          <w:lang w:val="en-US"/>
        </w:rPr>
        <w:t xml:space="preserve"> because the applicant predicate</w:t>
      </w:r>
      <w:r w:rsidR="005B2472" w:rsidRPr="008714E3">
        <w:rPr>
          <w:sz w:val="24"/>
          <w:szCs w:val="24"/>
          <w:lang w:val="en-US"/>
        </w:rPr>
        <w:t>d her cause of action on the ministerial directive and not on a contract between her and the 1</w:t>
      </w:r>
      <w:r w:rsidR="005B2472" w:rsidRPr="008714E3">
        <w:rPr>
          <w:sz w:val="24"/>
          <w:szCs w:val="24"/>
          <w:vertAlign w:val="superscript"/>
          <w:lang w:val="en-US"/>
        </w:rPr>
        <w:t>st</w:t>
      </w:r>
      <w:r w:rsidR="005B2472" w:rsidRPr="008714E3">
        <w:rPr>
          <w:sz w:val="24"/>
          <w:szCs w:val="24"/>
          <w:lang w:val="en-US"/>
        </w:rPr>
        <w:t xml:space="preserve"> respondent.  In any event the point </w:t>
      </w:r>
      <w:r w:rsidR="005B2472" w:rsidRPr="008714E3">
        <w:rPr>
          <w:i/>
          <w:sz w:val="24"/>
          <w:szCs w:val="24"/>
          <w:lang w:val="en-US"/>
        </w:rPr>
        <w:t>in limine</w:t>
      </w:r>
      <w:r w:rsidR="005B2472" w:rsidRPr="008714E3">
        <w:rPr>
          <w:sz w:val="24"/>
          <w:szCs w:val="24"/>
          <w:lang w:val="en-US"/>
        </w:rPr>
        <w:t xml:space="preserve"> delves into the very issue this court is called upon to adjudicate and so effectively invites the court to go into the merits.</w:t>
      </w:r>
    </w:p>
    <w:p w:rsidR="005B2472" w:rsidRPr="008714E3" w:rsidRDefault="005B2472" w:rsidP="00AF12AD">
      <w:pPr>
        <w:jc w:val="both"/>
        <w:rPr>
          <w:sz w:val="24"/>
          <w:szCs w:val="24"/>
          <w:lang w:val="en-US"/>
        </w:rPr>
      </w:pPr>
      <w:r w:rsidRPr="008714E3">
        <w:rPr>
          <w:sz w:val="24"/>
          <w:szCs w:val="24"/>
          <w:lang w:val="en-US"/>
        </w:rPr>
        <w:tab/>
      </w:r>
      <w:r w:rsidRPr="008714E3">
        <w:rPr>
          <w:i/>
          <w:sz w:val="24"/>
          <w:szCs w:val="24"/>
          <w:lang w:val="en-US"/>
        </w:rPr>
        <w:t>Advocate Siziba’s</w:t>
      </w:r>
      <w:r w:rsidRPr="008714E3">
        <w:rPr>
          <w:sz w:val="24"/>
          <w:szCs w:val="24"/>
          <w:lang w:val="en-US"/>
        </w:rPr>
        <w:t xml:space="preserve"> argument is sound.  The applicant’s cause of action is predic</w:t>
      </w:r>
      <w:r w:rsidR="00B9355E">
        <w:rPr>
          <w:sz w:val="24"/>
          <w:szCs w:val="24"/>
          <w:lang w:val="en-US"/>
        </w:rPr>
        <w:t>a</w:t>
      </w:r>
      <w:r w:rsidRPr="008714E3">
        <w:rPr>
          <w:sz w:val="24"/>
          <w:szCs w:val="24"/>
          <w:lang w:val="en-US"/>
        </w:rPr>
        <w:t>ted on the ministerial directive and so</w:t>
      </w:r>
      <w:r w:rsidR="00701DA7">
        <w:rPr>
          <w:sz w:val="24"/>
          <w:szCs w:val="24"/>
          <w:lang w:val="en-US"/>
        </w:rPr>
        <w:t xml:space="preserve"> the court</w:t>
      </w:r>
      <w:r w:rsidRPr="008714E3">
        <w:rPr>
          <w:sz w:val="24"/>
          <w:szCs w:val="24"/>
          <w:lang w:val="en-US"/>
        </w:rPr>
        <w:t xml:space="preserve"> cannot possibly delve into issues of whether there was a contract of sale, the terms thereof and the purch</w:t>
      </w:r>
      <w:r w:rsidR="005E4A56" w:rsidRPr="008714E3">
        <w:rPr>
          <w:sz w:val="24"/>
          <w:szCs w:val="24"/>
          <w:lang w:val="en-US"/>
        </w:rPr>
        <w:t>a</w:t>
      </w:r>
      <w:r w:rsidRPr="008714E3">
        <w:rPr>
          <w:sz w:val="24"/>
          <w:szCs w:val="24"/>
          <w:lang w:val="en-US"/>
        </w:rPr>
        <w:t>se price.  The issue of whether she should get title to the property is what the matter is all about and it is therefore not</w:t>
      </w:r>
      <w:r w:rsidR="005E4A56" w:rsidRPr="008714E3">
        <w:rPr>
          <w:sz w:val="24"/>
          <w:szCs w:val="24"/>
          <w:lang w:val="en-US"/>
        </w:rPr>
        <w:t xml:space="preserve"> </w:t>
      </w:r>
      <w:r w:rsidRPr="008714E3">
        <w:rPr>
          <w:sz w:val="24"/>
          <w:szCs w:val="24"/>
          <w:lang w:val="en-US"/>
        </w:rPr>
        <w:t xml:space="preserve">an issue to be taken as a point </w:t>
      </w:r>
      <w:r w:rsidRPr="008714E3">
        <w:rPr>
          <w:i/>
          <w:sz w:val="24"/>
          <w:szCs w:val="24"/>
          <w:lang w:val="en-US"/>
        </w:rPr>
        <w:t>in limine</w:t>
      </w:r>
      <w:r w:rsidRPr="008714E3">
        <w:rPr>
          <w:sz w:val="24"/>
          <w:szCs w:val="24"/>
          <w:lang w:val="en-US"/>
        </w:rPr>
        <w:t xml:space="preserve">.  The point </w:t>
      </w:r>
      <w:r w:rsidRPr="008714E3">
        <w:rPr>
          <w:i/>
          <w:sz w:val="24"/>
          <w:szCs w:val="24"/>
          <w:lang w:val="en-US"/>
        </w:rPr>
        <w:t>in limine</w:t>
      </w:r>
      <w:r w:rsidRPr="008714E3">
        <w:rPr>
          <w:sz w:val="24"/>
          <w:szCs w:val="24"/>
          <w:lang w:val="en-US"/>
        </w:rPr>
        <w:t xml:space="preserve"> invites the court to go into the merits.</w:t>
      </w:r>
    </w:p>
    <w:p w:rsidR="005B2472" w:rsidRPr="008714E3" w:rsidRDefault="005B2472" w:rsidP="00AF12AD">
      <w:pPr>
        <w:jc w:val="both"/>
        <w:rPr>
          <w:sz w:val="24"/>
          <w:szCs w:val="24"/>
          <w:lang w:val="en-US"/>
        </w:rPr>
      </w:pPr>
      <w:r w:rsidRPr="008714E3">
        <w:rPr>
          <w:sz w:val="24"/>
          <w:szCs w:val="24"/>
          <w:lang w:val="en-US"/>
        </w:rPr>
        <w:tab/>
        <w:t xml:space="preserve">The point </w:t>
      </w:r>
      <w:r w:rsidRPr="008714E3">
        <w:rPr>
          <w:i/>
          <w:sz w:val="24"/>
          <w:szCs w:val="24"/>
          <w:lang w:val="en-US"/>
        </w:rPr>
        <w:t>in limine</w:t>
      </w:r>
      <w:r w:rsidRPr="008714E3">
        <w:rPr>
          <w:sz w:val="24"/>
          <w:szCs w:val="24"/>
          <w:lang w:val="en-US"/>
        </w:rPr>
        <w:t xml:space="preserve"> was therefore not properly taken and is accordingly dismissed.</w:t>
      </w:r>
    </w:p>
    <w:p w:rsidR="005B2472" w:rsidRPr="008714E3" w:rsidRDefault="005B2472" w:rsidP="00AF12AD">
      <w:pPr>
        <w:jc w:val="both"/>
        <w:rPr>
          <w:sz w:val="24"/>
          <w:szCs w:val="24"/>
          <w:lang w:val="en-US"/>
        </w:rPr>
      </w:pPr>
      <w:r w:rsidRPr="008714E3">
        <w:rPr>
          <w:sz w:val="24"/>
          <w:szCs w:val="24"/>
          <w:lang w:val="en-US"/>
        </w:rPr>
        <w:tab/>
        <w:t xml:space="preserve">As regards the merits, </w:t>
      </w:r>
      <w:r w:rsidRPr="008714E3">
        <w:rPr>
          <w:i/>
          <w:sz w:val="24"/>
          <w:szCs w:val="24"/>
          <w:lang w:val="en-US"/>
        </w:rPr>
        <w:t>Advocate Siziba’s</w:t>
      </w:r>
      <w:r w:rsidRPr="008714E3">
        <w:rPr>
          <w:sz w:val="24"/>
          <w:szCs w:val="24"/>
          <w:lang w:val="en-US"/>
        </w:rPr>
        <w:t xml:space="preserve"> argument was that the applicant </w:t>
      </w:r>
      <w:r w:rsidR="00A57F64" w:rsidRPr="008714E3">
        <w:rPr>
          <w:sz w:val="24"/>
          <w:szCs w:val="24"/>
          <w:lang w:val="en-US"/>
        </w:rPr>
        <w:t>was a tenant in a</w:t>
      </w:r>
      <w:r w:rsidRPr="008714E3">
        <w:rPr>
          <w:sz w:val="24"/>
          <w:szCs w:val="24"/>
          <w:lang w:val="en-US"/>
        </w:rPr>
        <w:t xml:space="preserve"> Council property and had been such for over 20 years as at the time the ministerial directive was issued.  That directive did not differentiate between those whose tenancy was by virtue of being ordinary citizens r</w:t>
      </w:r>
      <w:r w:rsidR="002C275D">
        <w:rPr>
          <w:sz w:val="24"/>
          <w:szCs w:val="24"/>
          <w:lang w:val="en-US"/>
        </w:rPr>
        <w:t>esiding in Council houses or such</w:t>
      </w:r>
      <w:r w:rsidRPr="008714E3">
        <w:rPr>
          <w:sz w:val="24"/>
          <w:szCs w:val="24"/>
          <w:lang w:val="en-US"/>
        </w:rPr>
        <w:t xml:space="preserve"> tenancy arising out of </w:t>
      </w:r>
      <w:r w:rsidR="00A57F64" w:rsidRPr="008714E3">
        <w:rPr>
          <w:sz w:val="24"/>
          <w:szCs w:val="24"/>
          <w:lang w:val="en-US"/>
        </w:rPr>
        <w:t>e</w:t>
      </w:r>
      <w:r w:rsidRPr="008714E3">
        <w:rPr>
          <w:sz w:val="24"/>
          <w:szCs w:val="24"/>
          <w:lang w:val="en-US"/>
        </w:rPr>
        <w:t>mployment and so an employment benefit.</w:t>
      </w:r>
    </w:p>
    <w:p w:rsidR="005B2472" w:rsidRPr="008714E3" w:rsidRDefault="005B2472" w:rsidP="00AF12AD">
      <w:pPr>
        <w:jc w:val="both"/>
        <w:rPr>
          <w:sz w:val="24"/>
          <w:szCs w:val="24"/>
          <w:lang w:val="en-US"/>
        </w:rPr>
      </w:pPr>
      <w:r w:rsidRPr="008714E3">
        <w:rPr>
          <w:sz w:val="24"/>
          <w:szCs w:val="24"/>
          <w:lang w:val="en-US"/>
        </w:rPr>
        <w:lastRenderedPageBreak/>
        <w:tab/>
      </w:r>
      <w:r w:rsidR="00597A2E" w:rsidRPr="008714E3">
        <w:rPr>
          <w:sz w:val="24"/>
          <w:szCs w:val="24"/>
          <w:lang w:val="en-US"/>
        </w:rPr>
        <w:t>The applicant did not own property elsewhere and following the ministerial directive, the 1</w:t>
      </w:r>
      <w:r w:rsidR="00597A2E" w:rsidRPr="008714E3">
        <w:rPr>
          <w:sz w:val="24"/>
          <w:szCs w:val="24"/>
          <w:vertAlign w:val="superscript"/>
          <w:lang w:val="en-US"/>
        </w:rPr>
        <w:t>st</w:t>
      </w:r>
      <w:r w:rsidR="00597A2E" w:rsidRPr="008714E3">
        <w:rPr>
          <w:sz w:val="24"/>
          <w:szCs w:val="24"/>
          <w:lang w:val="en-US"/>
        </w:rPr>
        <w:t xml:space="preserve"> respondent did not make any representations to the Minister in terms of section 313 (2) of the Urban Councils Act, Chapter 29:15.  The directive having been couched in peremptory terms, Council had to comply as s313 (3) of the same Act elevated the directive to a binding legislative requirement which the 1</w:t>
      </w:r>
      <w:r w:rsidR="00597A2E" w:rsidRPr="008714E3">
        <w:rPr>
          <w:sz w:val="24"/>
          <w:szCs w:val="24"/>
          <w:vertAlign w:val="superscript"/>
          <w:lang w:val="en-US"/>
        </w:rPr>
        <w:t>st</w:t>
      </w:r>
      <w:r w:rsidR="00597A2E" w:rsidRPr="008714E3">
        <w:rPr>
          <w:sz w:val="24"/>
          <w:szCs w:val="24"/>
          <w:lang w:val="en-US"/>
        </w:rPr>
        <w:t xml:space="preserve"> respondent had to comply with.</w:t>
      </w:r>
    </w:p>
    <w:p w:rsidR="00597A2E" w:rsidRPr="008714E3" w:rsidRDefault="00597A2E" w:rsidP="00AF12AD">
      <w:pPr>
        <w:jc w:val="both"/>
        <w:rPr>
          <w:sz w:val="24"/>
          <w:szCs w:val="24"/>
          <w:lang w:val="en-US"/>
        </w:rPr>
      </w:pPr>
      <w:r w:rsidRPr="008714E3">
        <w:rPr>
          <w:sz w:val="24"/>
          <w:szCs w:val="24"/>
          <w:lang w:val="en-US"/>
        </w:rPr>
        <w:tab/>
      </w:r>
      <w:r w:rsidRPr="008714E3">
        <w:rPr>
          <w:i/>
          <w:sz w:val="24"/>
          <w:szCs w:val="24"/>
          <w:lang w:val="en-US"/>
        </w:rPr>
        <w:t>Advocate Siziba</w:t>
      </w:r>
      <w:r w:rsidRPr="008714E3">
        <w:rPr>
          <w:sz w:val="24"/>
          <w:szCs w:val="24"/>
          <w:lang w:val="en-US"/>
        </w:rPr>
        <w:t xml:space="preserve"> urged the court to depart from an earlier decision of this court in </w:t>
      </w:r>
      <w:r w:rsidRPr="008714E3">
        <w:rPr>
          <w:i/>
          <w:sz w:val="24"/>
          <w:szCs w:val="24"/>
          <w:lang w:val="en-US"/>
        </w:rPr>
        <w:t>Maguma</w:t>
      </w:r>
      <w:r w:rsidRPr="008714E3">
        <w:rPr>
          <w:sz w:val="24"/>
          <w:szCs w:val="24"/>
          <w:lang w:val="en-US"/>
        </w:rPr>
        <w:t xml:space="preserve"> v </w:t>
      </w:r>
      <w:r w:rsidRPr="008714E3">
        <w:rPr>
          <w:i/>
          <w:sz w:val="24"/>
          <w:szCs w:val="24"/>
          <w:lang w:val="en-US"/>
        </w:rPr>
        <w:t>City of Kwekwe and 2 Ors</w:t>
      </w:r>
      <w:r w:rsidRPr="008714E3">
        <w:rPr>
          <w:sz w:val="24"/>
          <w:szCs w:val="24"/>
          <w:lang w:val="en-US"/>
        </w:rPr>
        <w:t xml:space="preserve"> HB-11-22 where the </w:t>
      </w:r>
      <w:r w:rsidR="002C275D">
        <w:rPr>
          <w:sz w:val="24"/>
          <w:szCs w:val="24"/>
          <w:lang w:val="en-US"/>
        </w:rPr>
        <w:t>court held that there was no priv</w:t>
      </w:r>
      <w:r w:rsidRPr="008714E3">
        <w:rPr>
          <w:sz w:val="24"/>
          <w:szCs w:val="24"/>
          <w:lang w:val="en-US"/>
        </w:rPr>
        <w:t>ity of contract b</w:t>
      </w:r>
      <w:r w:rsidR="002C275D">
        <w:rPr>
          <w:sz w:val="24"/>
          <w:szCs w:val="24"/>
          <w:lang w:val="en-US"/>
        </w:rPr>
        <w:t>etween the applicant in that case</w:t>
      </w:r>
      <w:r w:rsidRPr="008714E3">
        <w:rPr>
          <w:sz w:val="24"/>
          <w:szCs w:val="24"/>
          <w:lang w:val="en-US"/>
        </w:rPr>
        <w:t xml:space="preserve"> and the Minister as the directive was by the Minister to C</w:t>
      </w:r>
      <w:r w:rsidR="00AF12AD" w:rsidRPr="008714E3">
        <w:rPr>
          <w:sz w:val="24"/>
          <w:szCs w:val="24"/>
          <w:lang w:val="en-US"/>
        </w:rPr>
        <w:t>o</w:t>
      </w:r>
      <w:r w:rsidRPr="008714E3">
        <w:rPr>
          <w:sz w:val="24"/>
          <w:szCs w:val="24"/>
          <w:lang w:val="en-US"/>
        </w:rPr>
        <w:t xml:space="preserve">uncils and the applicant was not a party to that.  This court in the </w:t>
      </w:r>
      <w:r w:rsidRPr="008714E3">
        <w:rPr>
          <w:i/>
          <w:sz w:val="24"/>
          <w:szCs w:val="24"/>
          <w:lang w:val="en-US"/>
        </w:rPr>
        <w:t>Maguma</w:t>
      </w:r>
      <w:r w:rsidRPr="008714E3">
        <w:rPr>
          <w:sz w:val="24"/>
          <w:szCs w:val="24"/>
          <w:lang w:val="en-US"/>
        </w:rPr>
        <w:t xml:space="preserve"> case also held that since Council had not been afforded an opportunity to make represent</w:t>
      </w:r>
      <w:r w:rsidR="003C335B" w:rsidRPr="008714E3">
        <w:rPr>
          <w:sz w:val="24"/>
          <w:szCs w:val="24"/>
          <w:lang w:val="en-US"/>
        </w:rPr>
        <w:t>a</w:t>
      </w:r>
      <w:r w:rsidRPr="008714E3">
        <w:rPr>
          <w:sz w:val="24"/>
          <w:szCs w:val="24"/>
          <w:lang w:val="en-US"/>
        </w:rPr>
        <w:t>tions regarding the directive, such directive was therefore not binding on it.</w:t>
      </w:r>
      <w:r w:rsidR="003C335B" w:rsidRPr="008714E3">
        <w:rPr>
          <w:sz w:val="24"/>
          <w:szCs w:val="24"/>
          <w:lang w:val="en-US"/>
        </w:rPr>
        <w:t xml:space="preserve">  In urging the court to hold a different view, counsel submitted that section 313 (2) of the Act accorded the 1</w:t>
      </w:r>
      <w:r w:rsidR="003C335B" w:rsidRPr="008714E3">
        <w:rPr>
          <w:sz w:val="24"/>
          <w:szCs w:val="24"/>
          <w:vertAlign w:val="superscript"/>
          <w:lang w:val="en-US"/>
        </w:rPr>
        <w:t>st</w:t>
      </w:r>
      <w:r w:rsidR="003C335B" w:rsidRPr="008714E3">
        <w:rPr>
          <w:sz w:val="24"/>
          <w:szCs w:val="24"/>
          <w:lang w:val="en-US"/>
        </w:rPr>
        <w:t xml:space="preserve"> respondent an opportunity to respond and the 1</w:t>
      </w:r>
      <w:r w:rsidR="003C335B" w:rsidRPr="008714E3">
        <w:rPr>
          <w:sz w:val="24"/>
          <w:szCs w:val="24"/>
          <w:vertAlign w:val="superscript"/>
          <w:lang w:val="en-US"/>
        </w:rPr>
        <w:t>st</w:t>
      </w:r>
      <w:r w:rsidR="003C335B" w:rsidRPr="008714E3">
        <w:rPr>
          <w:sz w:val="24"/>
          <w:szCs w:val="24"/>
          <w:lang w:val="en-US"/>
        </w:rPr>
        <w:t xml:space="preserve"> respondent must look to s313 (2) and take up that invitation to respond if so inclined.  Such response is the</w:t>
      </w:r>
      <w:r w:rsidR="002C275D">
        <w:rPr>
          <w:sz w:val="24"/>
          <w:szCs w:val="24"/>
          <w:lang w:val="en-US"/>
        </w:rPr>
        <w:t>refore as provided by statute</w:t>
      </w:r>
      <w:r w:rsidR="003C335B" w:rsidRPr="008714E3">
        <w:rPr>
          <w:sz w:val="24"/>
          <w:szCs w:val="24"/>
          <w:lang w:val="en-US"/>
        </w:rPr>
        <w:t xml:space="preserve"> and not a matter of evidence.</w:t>
      </w:r>
    </w:p>
    <w:p w:rsidR="003C335B" w:rsidRPr="008714E3" w:rsidRDefault="003C335B" w:rsidP="00AF12AD">
      <w:pPr>
        <w:jc w:val="both"/>
        <w:rPr>
          <w:sz w:val="24"/>
          <w:szCs w:val="24"/>
          <w:lang w:val="en-US"/>
        </w:rPr>
      </w:pPr>
      <w:r w:rsidRPr="008714E3">
        <w:rPr>
          <w:sz w:val="24"/>
          <w:szCs w:val="24"/>
          <w:lang w:val="en-US"/>
        </w:rPr>
        <w:tab/>
        <w:t xml:space="preserve">The court in the </w:t>
      </w:r>
      <w:r w:rsidRPr="008714E3">
        <w:rPr>
          <w:i/>
          <w:sz w:val="24"/>
          <w:szCs w:val="24"/>
          <w:lang w:val="en-US"/>
        </w:rPr>
        <w:t>Maguma</w:t>
      </w:r>
      <w:r w:rsidRPr="008714E3">
        <w:rPr>
          <w:sz w:val="24"/>
          <w:szCs w:val="24"/>
          <w:lang w:val="en-US"/>
        </w:rPr>
        <w:t xml:space="preserve"> case </w:t>
      </w:r>
      <w:r w:rsidRPr="008714E3">
        <w:rPr>
          <w:i/>
          <w:sz w:val="24"/>
          <w:szCs w:val="24"/>
          <w:lang w:val="en-US"/>
        </w:rPr>
        <w:t>(supra)</w:t>
      </w:r>
      <w:r w:rsidRPr="008714E3">
        <w:rPr>
          <w:sz w:val="24"/>
          <w:szCs w:val="24"/>
          <w:lang w:val="en-US"/>
        </w:rPr>
        <w:t xml:space="preserve"> cited the decision in </w:t>
      </w:r>
      <w:r w:rsidRPr="00F509F9">
        <w:rPr>
          <w:i/>
          <w:sz w:val="24"/>
          <w:szCs w:val="24"/>
          <w:lang w:val="en-US"/>
        </w:rPr>
        <w:t>Community</w:t>
      </w:r>
      <w:r w:rsidRPr="008714E3">
        <w:rPr>
          <w:sz w:val="24"/>
          <w:szCs w:val="24"/>
          <w:lang w:val="en-US"/>
        </w:rPr>
        <w:t xml:space="preserve"> </w:t>
      </w:r>
      <w:r w:rsidRPr="008714E3">
        <w:rPr>
          <w:i/>
          <w:sz w:val="24"/>
          <w:szCs w:val="24"/>
          <w:lang w:val="en-US"/>
        </w:rPr>
        <w:t>Water Alliance Trust &amp; Anoth</w:t>
      </w:r>
      <w:r w:rsidR="00AF12AD" w:rsidRPr="008714E3">
        <w:rPr>
          <w:i/>
          <w:sz w:val="24"/>
          <w:szCs w:val="24"/>
          <w:lang w:val="en-US"/>
        </w:rPr>
        <w:t>e</w:t>
      </w:r>
      <w:r w:rsidRPr="008714E3">
        <w:rPr>
          <w:i/>
          <w:sz w:val="24"/>
          <w:szCs w:val="24"/>
          <w:lang w:val="en-US"/>
        </w:rPr>
        <w:t>r</w:t>
      </w:r>
      <w:r w:rsidRPr="008714E3">
        <w:rPr>
          <w:sz w:val="24"/>
          <w:szCs w:val="24"/>
          <w:lang w:val="en-US"/>
        </w:rPr>
        <w:t xml:space="preserve"> v </w:t>
      </w:r>
      <w:r w:rsidRPr="008714E3">
        <w:rPr>
          <w:i/>
          <w:sz w:val="24"/>
          <w:szCs w:val="24"/>
          <w:lang w:val="en-US"/>
        </w:rPr>
        <w:t>City of Harare &amp; Anor</w:t>
      </w:r>
      <w:r w:rsidRPr="008714E3">
        <w:rPr>
          <w:sz w:val="24"/>
          <w:szCs w:val="24"/>
          <w:lang w:val="en-US"/>
        </w:rPr>
        <w:t xml:space="preserve"> HH-194/20 where M</w:t>
      </w:r>
      <w:r w:rsidRPr="008714E3">
        <w:rPr>
          <w:sz w:val="20"/>
          <w:szCs w:val="20"/>
          <w:lang w:val="en-US"/>
        </w:rPr>
        <w:t>AFUSIRE</w:t>
      </w:r>
      <w:r w:rsidRPr="008714E3">
        <w:rPr>
          <w:sz w:val="24"/>
          <w:szCs w:val="24"/>
          <w:lang w:val="en-US"/>
        </w:rPr>
        <w:t xml:space="preserve"> J had this to say;</w:t>
      </w:r>
    </w:p>
    <w:p w:rsidR="003C335B" w:rsidRPr="008714E3" w:rsidRDefault="00D84DB8" w:rsidP="00AF12AD">
      <w:pPr>
        <w:pStyle w:val="NoSpacing"/>
        <w:ind w:left="720"/>
        <w:jc w:val="both"/>
        <w:rPr>
          <w:sz w:val="24"/>
          <w:szCs w:val="24"/>
          <w:lang w:val="en-US"/>
        </w:rPr>
      </w:pPr>
      <w:r w:rsidRPr="008714E3">
        <w:rPr>
          <w:sz w:val="24"/>
          <w:szCs w:val="24"/>
          <w:lang w:val="en-US"/>
        </w:rPr>
        <w:t>“Plainly s313 aforesaid has to be read as a whole, not disjunctively.  It must then be applied to the facts of the matter as a single provision.  In my view, the ministerial circular issued in terms of s313 of the Act is binding if the Minister has given a Council the opportunity to make its own counter proposals which he must consider.  The policy direction is only binding after this step has been taken.  In the present case, I have no information concerning the issuing of the 2013 ministerial circular ….”</w:t>
      </w:r>
    </w:p>
    <w:p w:rsidR="00D84DB8" w:rsidRPr="008714E3" w:rsidRDefault="00D84DB8" w:rsidP="00AF12AD">
      <w:pPr>
        <w:pStyle w:val="NoSpacing"/>
        <w:jc w:val="both"/>
        <w:rPr>
          <w:sz w:val="24"/>
          <w:szCs w:val="24"/>
          <w:lang w:val="en-US"/>
        </w:rPr>
      </w:pPr>
    </w:p>
    <w:p w:rsidR="00D84DB8" w:rsidRPr="008714E3" w:rsidRDefault="00D84DB8" w:rsidP="00AF12AD">
      <w:pPr>
        <w:jc w:val="both"/>
        <w:rPr>
          <w:sz w:val="24"/>
          <w:szCs w:val="24"/>
          <w:lang w:val="en-US"/>
        </w:rPr>
      </w:pPr>
      <w:r w:rsidRPr="008714E3">
        <w:rPr>
          <w:sz w:val="24"/>
          <w:szCs w:val="24"/>
          <w:lang w:val="en-US"/>
        </w:rPr>
        <w:tab/>
      </w:r>
      <w:r w:rsidRPr="008714E3">
        <w:rPr>
          <w:i/>
          <w:sz w:val="24"/>
          <w:szCs w:val="24"/>
          <w:lang w:val="en-US"/>
        </w:rPr>
        <w:t>In casu</w:t>
      </w:r>
      <w:r w:rsidRPr="008714E3">
        <w:rPr>
          <w:sz w:val="24"/>
          <w:szCs w:val="24"/>
          <w:lang w:val="en-US"/>
        </w:rPr>
        <w:t>, the 1</w:t>
      </w:r>
      <w:r w:rsidRPr="008714E3">
        <w:rPr>
          <w:sz w:val="24"/>
          <w:szCs w:val="24"/>
          <w:vertAlign w:val="superscript"/>
          <w:lang w:val="en-US"/>
        </w:rPr>
        <w:t>st</w:t>
      </w:r>
      <w:r w:rsidRPr="008714E3">
        <w:rPr>
          <w:sz w:val="24"/>
          <w:szCs w:val="24"/>
          <w:lang w:val="en-US"/>
        </w:rPr>
        <w:t xml:space="preserve"> respondent acknowledged seeing the circular number 1 of 2015 and equally acknowledged complying with it.  </w:t>
      </w:r>
      <w:r w:rsidRPr="008714E3">
        <w:rPr>
          <w:i/>
          <w:sz w:val="24"/>
          <w:szCs w:val="24"/>
          <w:lang w:val="en-US"/>
        </w:rPr>
        <w:t>Mr Mutatu</w:t>
      </w:r>
      <w:r w:rsidRPr="008714E3">
        <w:rPr>
          <w:sz w:val="24"/>
          <w:szCs w:val="24"/>
          <w:lang w:val="en-US"/>
        </w:rPr>
        <w:t xml:space="preserve"> for the 1</w:t>
      </w:r>
      <w:r w:rsidRPr="008714E3">
        <w:rPr>
          <w:sz w:val="24"/>
          <w:szCs w:val="24"/>
          <w:vertAlign w:val="superscript"/>
          <w:lang w:val="en-US"/>
        </w:rPr>
        <w:t>st</w:t>
      </w:r>
      <w:r w:rsidRPr="008714E3">
        <w:rPr>
          <w:sz w:val="24"/>
          <w:szCs w:val="24"/>
          <w:lang w:val="en-US"/>
        </w:rPr>
        <w:t xml:space="preserve"> respondent, in my view, correctly abandoned the argument to the effect that there was no evidence adduced on whether the 1</w:t>
      </w:r>
      <w:r w:rsidRPr="008714E3">
        <w:rPr>
          <w:sz w:val="24"/>
          <w:szCs w:val="24"/>
          <w:vertAlign w:val="superscript"/>
          <w:lang w:val="en-US"/>
        </w:rPr>
        <w:t>st</w:t>
      </w:r>
      <w:r w:rsidRPr="008714E3">
        <w:rPr>
          <w:sz w:val="24"/>
          <w:szCs w:val="24"/>
          <w:lang w:val="en-US"/>
        </w:rPr>
        <w:t xml:space="preserve"> respondent was given an opportunity to make submissions.</w:t>
      </w:r>
    </w:p>
    <w:p w:rsidR="00D84DB8" w:rsidRPr="008714E3" w:rsidRDefault="00D84DB8" w:rsidP="00AF12AD">
      <w:pPr>
        <w:jc w:val="both"/>
        <w:rPr>
          <w:sz w:val="24"/>
          <w:szCs w:val="24"/>
          <w:lang w:val="en-US"/>
        </w:rPr>
      </w:pPr>
      <w:r w:rsidRPr="008714E3">
        <w:rPr>
          <w:sz w:val="24"/>
          <w:szCs w:val="24"/>
          <w:lang w:val="en-US"/>
        </w:rPr>
        <w:tab/>
        <w:t>Section</w:t>
      </w:r>
      <w:r w:rsidR="00417BEE" w:rsidRPr="008714E3">
        <w:rPr>
          <w:sz w:val="24"/>
          <w:szCs w:val="24"/>
          <w:lang w:val="en-US"/>
        </w:rPr>
        <w:t xml:space="preserve"> 313 of the Act provides that:</w:t>
      </w:r>
    </w:p>
    <w:p w:rsidR="00417BEE" w:rsidRPr="008714E3" w:rsidRDefault="00F509F9" w:rsidP="00AF12AD">
      <w:pPr>
        <w:pStyle w:val="NoSpacing"/>
        <w:ind w:left="1440" w:hanging="720"/>
        <w:jc w:val="both"/>
        <w:rPr>
          <w:sz w:val="24"/>
          <w:szCs w:val="24"/>
          <w:lang w:val="en-US"/>
        </w:rPr>
      </w:pPr>
      <w:r>
        <w:rPr>
          <w:sz w:val="24"/>
          <w:szCs w:val="24"/>
          <w:lang w:val="en-US"/>
        </w:rPr>
        <w:t>“</w:t>
      </w:r>
      <w:r w:rsidR="00417BEE" w:rsidRPr="008714E3">
        <w:rPr>
          <w:sz w:val="24"/>
          <w:szCs w:val="24"/>
          <w:lang w:val="en-US"/>
        </w:rPr>
        <w:t>(1)</w:t>
      </w:r>
      <w:r w:rsidR="00417BEE" w:rsidRPr="008714E3">
        <w:rPr>
          <w:sz w:val="24"/>
          <w:szCs w:val="24"/>
          <w:lang w:val="en-US"/>
        </w:rPr>
        <w:tab/>
        <w:t xml:space="preserve">Subject to subsection (2), the Minister may give a Council such directions of a general character as to the policy, </w:t>
      </w:r>
      <w:r w:rsidR="006A6E96">
        <w:rPr>
          <w:sz w:val="24"/>
          <w:szCs w:val="24"/>
          <w:lang w:val="en-US"/>
        </w:rPr>
        <w:t>it is to observe in the exercise</w:t>
      </w:r>
      <w:r w:rsidR="00417BEE" w:rsidRPr="008714E3">
        <w:rPr>
          <w:sz w:val="24"/>
          <w:szCs w:val="24"/>
          <w:lang w:val="en-US"/>
        </w:rPr>
        <w:t xml:space="preserve"> of its functions, as appear to the Minister to be requisite in the national interest.</w:t>
      </w:r>
    </w:p>
    <w:p w:rsidR="00417BEE" w:rsidRPr="008714E3" w:rsidRDefault="00417BEE" w:rsidP="00AF12AD">
      <w:pPr>
        <w:pStyle w:val="NoSpacing"/>
        <w:ind w:left="1440" w:hanging="720"/>
        <w:jc w:val="both"/>
        <w:rPr>
          <w:sz w:val="24"/>
          <w:szCs w:val="24"/>
          <w:lang w:val="en-US"/>
        </w:rPr>
      </w:pPr>
      <w:r w:rsidRPr="008714E3">
        <w:rPr>
          <w:sz w:val="24"/>
          <w:szCs w:val="24"/>
          <w:lang w:val="en-US"/>
        </w:rPr>
        <w:t>(2)</w:t>
      </w:r>
      <w:r w:rsidRPr="008714E3">
        <w:rPr>
          <w:sz w:val="24"/>
          <w:szCs w:val="24"/>
          <w:lang w:val="en-US"/>
        </w:rPr>
        <w:tab/>
        <w:t xml:space="preserve">where the Minister considers that it might be desirable to give any direction in terms of subsection (1), he shall inform the council concerned, in writing, of his </w:t>
      </w:r>
      <w:r w:rsidRPr="008714E3">
        <w:rPr>
          <w:sz w:val="24"/>
          <w:szCs w:val="24"/>
          <w:lang w:val="en-US"/>
        </w:rPr>
        <w:lastRenderedPageBreak/>
        <w:t>proposal and the council shall, within thirty days or such further period as the Minister may allow, submit to the Minister, in writing, its views on the proposal and the possible implications on the finances and other resources of the council.</w:t>
      </w:r>
    </w:p>
    <w:p w:rsidR="00417BEE" w:rsidRPr="008714E3" w:rsidRDefault="00417BEE" w:rsidP="00AF12AD">
      <w:pPr>
        <w:pStyle w:val="NoSpacing"/>
        <w:ind w:left="1440" w:hanging="720"/>
        <w:jc w:val="both"/>
        <w:rPr>
          <w:sz w:val="24"/>
          <w:szCs w:val="24"/>
          <w:lang w:val="en-US"/>
        </w:rPr>
      </w:pPr>
      <w:r w:rsidRPr="008714E3">
        <w:rPr>
          <w:sz w:val="24"/>
          <w:szCs w:val="24"/>
          <w:lang w:val="en-US"/>
        </w:rPr>
        <w:t>(3)</w:t>
      </w:r>
      <w:r w:rsidRPr="008714E3">
        <w:rPr>
          <w:sz w:val="24"/>
          <w:szCs w:val="24"/>
          <w:lang w:val="en-US"/>
        </w:rPr>
        <w:tab/>
      </w:r>
      <w:r w:rsidR="006A6E96" w:rsidRPr="008714E3">
        <w:rPr>
          <w:sz w:val="24"/>
          <w:szCs w:val="24"/>
          <w:lang w:val="en-US"/>
        </w:rPr>
        <w:t>the</w:t>
      </w:r>
      <w:r w:rsidRPr="008714E3">
        <w:rPr>
          <w:sz w:val="24"/>
          <w:szCs w:val="24"/>
          <w:lang w:val="en-US"/>
        </w:rPr>
        <w:t xml:space="preserve"> council shall, with all due expedition, comply with any direction given to it in terms of subsection (1).”</w:t>
      </w:r>
    </w:p>
    <w:p w:rsidR="00417BEE" w:rsidRPr="008714E3" w:rsidRDefault="00417BEE" w:rsidP="00AF12AD">
      <w:pPr>
        <w:jc w:val="both"/>
        <w:rPr>
          <w:sz w:val="24"/>
          <w:szCs w:val="24"/>
          <w:lang w:val="en-US"/>
        </w:rPr>
      </w:pPr>
    </w:p>
    <w:p w:rsidR="00417BEE" w:rsidRPr="008714E3" w:rsidRDefault="00072822" w:rsidP="00AF12AD">
      <w:pPr>
        <w:jc w:val="both"/>
        <w:rPr>
          <w:sz w:val="24"/>
          <w:szCs w:val="24"/>
          <w:lang w:val="en-US"/>
        </w:rPr>
      </w:pPr>
      <w:r>
        <w:rPr>
          <w:sz w:val="24"/>
          <w:szCs w:val="24"/>
          <w:lang w:val="en-US"/>
        </w:rPr>
        <w:tab/>
        <w:t>I</w:t>
      </w:r>
      <w:r w:rsidR="00417BEE" w:rsidRPr="008714E3">
        <w:rPr>
          <w:sz w:val="24"/>
          <w:szCs w:val="24"/>
          <w:lang w:val="en-US"/>
        </w:rPr>
        <w:t xml:space="preserve"> agree with M</w:t>
      </w:r>
      <w:r w:rsidR="00417BEE" w:rsidRPr="008714E3">
        <w:rPr>
          <w:sz w:val="20"/>
          <w:szCs w:val="20"/>
          <w:lang w:val="en-US"/>
        </w:rPr>
        <w:t xml:space="preserve">AFUSIRE </w:t>
      </w:r>
      <w:r w:rsidR="00417BEE" w:rsidRPr="008714E3">
        <w:rPr>
          <w:sz w:val="24"/>
          <w:szCs w:val="24"/>
          <w:lang w:val="en-US"/>
        </w:rPr>
        <w:t>J’s observation that the provisions of s313 must be read as a whole and not disjunctively.</w:t>
      </w:r>
    </w:p>
    <w:p w:rsidR="00417BEE" w:rsidRPr="008714E3" w:rsidRDefault="00417BEE" w:rsidP="00AF12AD">
      <w:pPr>
        <w:jc w:val="both"/>
        <w:rPr>
          <w:sz w:val="24"/>
          <w:szCs w:val="24"/>
          <w:lang w:val="en-US"/>
        </w:rPr>
      </w:pPr>
      <w:r w:rsidRPr="008714E3">
        <w:rPr>
          <w:sz w:val="24"/>
          <w:szCs w:val="24"/>
          <w:lang w:val="en-US"/>
        </w:rPr>
        <w:tab/>
        <w:t>What this means therefore is that</w:t>
      </w:r>
      <w:r w:rsidR="00504B48" w:rsidRPr="008714E3">
        <w:rPr>
          <w:sz w:val="24"/>
          <w:szCs w:val="24"/>
          <w:lang w:val="en-US"/>
        </w:rPr>
        <w:t xml:space="preserve"> once the ministerial circular/directive was issued and communicated in writing to council, council would look to s313(2) if it was inclined to make any representations to the Minister as envisaged by s313 (2).  Equally, the reference to the further period, should council fail to adhere to the 30 day period, entails overtures by council to the Minister again in light of s313(2) and the Minister would then allow a further period as sought by council.</w:t>
      </w:r>
    </w:p>
    <w:p w:rsidR="00504B48" w:rsidRPr="008714E3" w:rsidRDefault="00440C62" w:rsidP="00AF12AD">
      <w:pPr>
        <w:jc w:val="both"/>
        <w:rPr>
          <w:sz w:val="24"/>
          <w:szCs w:val="24"/>
          <w:lang w:val="en-US"/>
        </w:rPr>
      </w:pPr>
      <w:r w:rsidRPr="008714E3">
        <w:rPr>
          <w:sz w:val="24"/>
          <w:szCs w:val="24"/>
          <w:lang w:val="en-US"/>
        </w:rPr>
        <w:tab/>
        <w:t xml:space="preserve">I am therefore </w:t>
      </w:r>
      <w:r w:rsidR="00504B48" w:rsidRPr="008714E3">
        <w:rPr>
          <w:sz w:val="24"/>
          <w:szCs w:val="24"/>
          <w:lang w:val="en-US"/>
        </w:rPr>
        <w:t xml:space="preserve">in agreement with </w:t>
      </w:r>
      <w:r w:rsidR="00504B48" w:rsidRPr="008714E3">
        <w:rPr>
          <w:i/>
          <w:sz w:val="24"/>
          <w:szCs w:val="24"/>
          <w:lang w:val="en-US"/>
        </w:rPr>
        <w:t>Advocate Siziba</w:t>
      </w:r>
      <w:r w:rsidR="00504B48" w:rsidRPr="008714E3">
        <w:rPr>
          <w:sz w:val="24"/>
          <w:szCs w:val="24"/>
          <w:lang w:val="en-US"/>
        </w:rPr>
        <w:t xml:space="preserve"> th</w:t>
      </w:r>
      <w:r w:rsidRPr="008714E3">
        <w:rPr>
          <w:sz w:val="24"/>
          <w:szCs w:val="24"/>
          <w:lang w:val="en-US"/>
        </w:rPr>
        <w:t>a</w:t>
      </w:r>
      <w:r w:rsidR="00504B48" w:rsidRPr="008714E3">
        <w:rPr>
          <w:sz w:val="24"/>
          <w:szCs w:val="24"/>
          <w:lang w:val="en-US"/>
        </w:rPr>
        <w:t xml:space="preserve">t the opportunity to make any representations following the </w:t>
      </w:r>
      <w:r w:rsidR="00F90589" w:rsidRPr="008714E3">
        <w:rPr>
          <w:sz w:val="24"/>
          <w:szCs w:val="24"/>
          <w:lang w:val="en-US"/>
        </w:rPr>
        <w:t>issuance of the directive which s313</w:t>
      </w:r>
      <w:r w:rsidR="00AF12AD" w:rsidRPr="008714E3">
        <w:rPr>
          <w:sz w:val="24"/>
          <w:szCs w:val="24"/>
          <w:lang w:val="en-US"/>
        </w:rPr>
        <w:t xml:space="preserve"> </w:t>
      </w:r>
      <w:r w:rsidR="00F90589" w:rsidRPr="008714E3">
        <w:rPr>
          <w:sz w:val="24"/>
          <w:szCs w:val="24"/>
          <w:lang w:val="en-US"/>
        </w:rPr>
        <w:t xml:space="preserve">(3) </w:t>
      </w:r>
      <w:r w:rsidR="00586791">
        <w:rPr>
          <w:sz w:val="24"/>
          <w:szCs w:val="24"/>
          <w:lang w:val="en-US"/>
        </w:rPr>
        <w:t>rendered binding on council is a</w:t>
      </w:r>
      <w:r w:rsidR="00F90589" w:rsidRPr="008714E3">
        <w:rPr>
          <w:sz w:val="24"/>
          <w:szCs w:val="24"/>
          <w:lang w:val="en-US"/>
        </w:rPr>
        <w:t>nchored in s313</w:t>
      </w:r>
      <w:r w:rsidR="00AF12AD" w:rsidRPr="008714E3">
        <w:rPr>
          <w:sz w:val="24"/>
          <w:szCs w:val="24"/>
          <w:lang w:val="en-US"/>
        </w:rPr>
        <w:t xml:space="preserve"> </w:t>
      </w:r>
      <w:r w:rsidR="00F90589" w:rsidRPr="008714E3">
        <w:rPr>
          <w:sz w:val="24"/>
          <w:szCs w:val="24"/>
          <w:lang w:val="en-US"/>
        </w:rPr>
        <w:t>(2) and it is to that provision that the 1</w:t>
      </w:r>
      <w:r w:rsidR="00F90589" w:rsidRPr="008714E3">
        <w:rPr>
          <w:sz w:val="24"/>
          <w:szCs w:val="24"/>
          <w:vertAlign w:val="superscript"/>
          <w:lang w:val="en-US"/>
        </w:rPr>
        <w:t>st</w:t>
      </w:r>
      <w:r w:rsidR="00F90589" w:rsidRPr="008714E3">
        <w:rPr>
          <w:sz w:val="24"/>
          <w:szCs w:val="24"/>
          <w:lang w:val="en-US"/>
        </w:rPr>
        <w:t xml:space="preserve"> respondent looks not an invite by the Minister outside this statutory provision.</w:t>
      </w:r>
    </w:p>
    <w:p w:rsidR="00F90589" w:rsidRPr="008714E3" w:rsidRDefault="00F90589" w:rsidP="00AF12AD">
      <w:pPr>
        <w:jc w:val="both"/>
        <w:rPr>
          <w:sz w:val="24"/>
          <w:szCs w:val="24"/>
          <w:lang w:val="en-US"/>
        </w:rPr>
      </w:pPr>
      <w:r w:rsidRPr="008714E3">
        <w:rPr>
          <w:sz w:val="24"/>
          <w:szCs w:val="24"/>
          <w:lang w:val="en-US"/>
        </w:rPr>
        <w:tab/>
        <w:t xml:space="preserve">The issue however does not end there.  </w:t>
      </w:r>
      <w:r w:rsidRPr="008714E3">
        <w:rPr>
          <w:i/>
          <w:sz w:val="24"/>
          <w:szCs w:val="24"/>
          <w:lang w:val="en-US"/>
        </w:rPr>
        <w:t>Mr Mutatu</w:t>
      </w:r>
      <w:r w:rsidRPr="008714E3">
        <w:rPr>
          <w:sz w:val="24"/>
          <w:szCs w:val="24"/>
          <w:lang w:val="en-US"/>
        </w:rPr>
        <w:t xml:space="preserve"> argued that 1</w:t>
      </w:r>
      <w:r w:rsidRPr="008714E3">
        <w:rPr>
          <w:sz w:val="24"/>
          <w:szCs w:val="24"/>
          <w:vertAlign w:val="superscript"/>
          <w:lang w:val="en-US"/>
        </w:rPr>
        <w:t>st</w:t>
      </w:r>
      <w:r w:rsidRPr="008714E3">
        <w:rPr>
          <w:sz w:val="24"/>
          <w:szCs w:val="24"/>
          <w:lang w:val="en-US"/>
        </w:rPr>
        <w:t xml:space="preserve"> respondent had the discretion to determine w</w:t>
      </w:r>
      <w:r w:rsidR="00586791">
        <w:rPr>
          <w:sz w:val="24"/>
          <w:szCs w:val="24"/>
          <w:lang w:val="en-US"/>
        </w:rPr>
        <w:t>ho was a genuine and deserving</w:t>
      </w:r>
      <w:r w:rsidRPr="008714E3">
        <w:rPr>
          <w:sz w:val="24"/>
          <w:szCs w:val="24"/>
          <w:lang w:val="en-US"/>
        </w:rPr>
        <w:t xml:space="preserve"> tenant.  Paragraph 3 of the ministerial directive is not qualified.  The 1</w:t>
      </w:r>
      <w:r w:rsidRPr="008714E3">
        <w:rPr>
          <w:sz w:val="24"/>
          <w:szCs w:val="24"/>
          <w:vertAlign w:val="superscript"/>
          <w:lang w:val="en-US"/>
        </w:rPr>
        <w:t>st</w:t>
      </w:r>
      <w:r w:rsidRPr="008714E3">
        <w:rPr>
          <w:sz w:val="24"/>
          <w:szCs w:val="24"/>
          <w:lang w:val="en-US"/>
        </w:rPr>
        <w:t xml:space="preserve"> respondent considered the circular </w:t>
      </w:r>
      <w:r w:rsidRPr="008714E3">
        <w:rPr>
          <w:i/>
          <w:sz w:val="24"/>
          <w:szCs w:val="24"/>
          <w:lang w:val="en-US"/>
        </w:rPr>
        <w:t>in toto</w:t>
      </w:r>
      <w:r w:rsidRPr="008714E3">
        <w:rPr>
          <w:sz w:val="24"/>
          <w:szCs w:val="24"/>
          <w:lang w:val="en-US"/>
        </w:rPr>
        <w:t>, it allowed local authoriti</w:t>
      </w:r>
      <w:r w:rsidR="00586791">
        <w:rPr>
          <w:sz w:val="24"/>
          <w:szCs w:val="24"/>
          <w:lang w:val="en-US"/>
        </w:rPr>
        <w:t>es at their discretion, to retai</w:t>
      </w:r>
      <w:r w:rsidRPr="008714E3">
        <w:rPr>
          <w:sz w:val="24"/>
          <w:szCs w:val="24"/>
          <w:lang w:val="en-US"/>
        </w:rPr>
        <w:t>n a certain percentage to be</w:t>
      </w:r>
      <w:r w:rsidR="00812BB6" w:rsidRPr="008714E3">
        <w:rPr>
          <w:sz w:val="24"/>
          <w:szCs w:val="24"/>
          <w:lang w:val="en-US"/>
        </w:rPr>
        <w:t xml:space="preserve"> maintained and m</w:t>
      </w:r>
      <w:r w:rsidR="00586791">
        <w:rPr>
          <w:sz w:val="24"/>
          <w:szCs w:val="24"/>
          <w:lang w:val="en-US"/>
        </w:rPr>
        <w:t>anaged as institutional or rental</w:t>
      </w:r>
      <w:r w:rsidR="00812BB6" w:rsidRPr="008714E3">
        <w:rPr>
          <w:sz w:val="24"/>
          <w:szCs w:val="24"/>
          <w:lang w:val="en-US"/>
        </w:rPr>
        <w:t xml:space="preserve"> houses, depending o</w:t>
      </w:r>
      <w:r w:rsidR="00586791">
        <w:rPr>
          <w:sz w:val="24"/>
          <w:szCs w:val="24"/>
          <w:lang w:val="en-US"/>
        </w:rPr>
        <w:t>n the housing units available</w:t>
      </w:r>
      <w:r w:rsidR="00812BB6" w:rsidRPr="008714E3">
        <w:rPr>
          <w:sz w:val="24"/>
          <w:szCs w:val="24"/>
          <w:lang w:val="en-US"/>
        </w:rPr>
        <w:t xml:space="preserve"> on stock.</w:t>
      </w:r>
    </w:p>
    <w:p w:rsidR="00812BB6" w:rsidRPr="008714E3" w:rsidRDefault="00812BB6" w:rsidP="00AF12AD">
      <w:pPr>
        <w:jc w:val="both"/>
        <w:rPr>
          <w:sz w:val="24"/>
          <w:szCs w:val="24"/>
          <w:lang w:val="en-US"/>
        </w:rPr>
      </w:pPr>
      <w:r w:rsidRPr="008714E3">
        <w:rPr>
          <w:sz w:val="24"/>
          <w:szCs w:val="24"/>
          <w:lang w:val="en-US"/>
        </w:rPr>
        <w:tab/>
        <w:t>There</w:t>
      </w:r>
      <w:r w:rsidR="004B3CA3" w:rsidRPr="008714E3">
        <w:rPr>
          <w:sz w:val="24"/>
          <w:szCs w:val="24"/>
          <w:lang w:val="en-US"/>
        </w:rPr>
        <w:t xml:space="preserve"> was nothing to controvert the 1</w:t>
      </w:r>
      <w:r w:rsidR="004B3CA3" w:rsidRPr="008714E3">
        <w:rPr>
          <w:sz w:val="24"/>
          <w:szCs w:val="24"/>
          <w:vertAlign w:val="superscript"/>
          <w:lang w:val="en-US"/>
        </w:rPr>
        <w:t>st</w:t>
      </w:r>
      <w:r w:rsidR="00F67D67">
        <w:rPr>
          <w:sz w:val="24"/>
          <w:szCs w:val="24"/>
          <w:lang w:val="en-US"/>
        </w:rPr>
        <w:t xml:space="preserve"> respondent’s asser</w:t>
      </w:r>
      <w:r w:rsidR="004B3CA3" w:rsidRPr="008714E3">
        <w:rPr>
          <w:sz w:val="24"/>
          <w:szCs w:val="24"/>
          <w:lang w:val="en-US"/>
        </w:rPr>
        <w:t>tion, as articula</w:t>
      </w:r>
      <w:r w:rsidR="00AF12AD" w:rsidRPr="008714E3">
        <w:rPr>
          <w:sz w:val="24"/>
          <w:szCs w:val="24"/>
          <w:lang w:val="en-US"/>
        </w:rPr>
        <w:t>t</w:t>
      </w:r>
      <w:r w:rsidR="004B3CA3" w:rsidRPr="008714E3">
        <w:rPr>
          <w:sz w:val="24"/>
          <w:szCs w:val="24"/>
          <w:lang w:val="en-US"/>
        </w:rPr>
        <w:t>ed in the opposing affidavit depo</w:t>
      </w:r>
      <w:r w:rsidR="00AF12AD" w:rsidRPr="008714E3">
        <w:rPr>
          <w:sz w:val="24"/>
          <w:szCs w:val="24"/>
          <w:lang w:val="en-US"/>
        </w:rPr>
        <w:t xml:space="preserve">sed to by the Acting Town Clerk </w:t>
      </w:r>
      <w:r w:rsidR="004B3CA3" w:rsidRPr="008714E3">
        <w:rPr>
          <w:sz w:val="24"/>
          <w:szCs w:val="24"/>
          <w:lang w:val="en-US"/>
        </w:rPr>
        <w:t>that the 1</w:t>
      </w:r>
      <w:r w:rsidR="004B3CA3" w:rsidRPr="008714E3">
        <w:rPr>
          <w:sz w:val="24"/>
          <w:szCs w:val="24"/>
          <w:vertAlign w:val="superscript"/>
          <w:lang w:val="en-US"/>
        </w:rPr>
        <w:t>st</w:t>
      </w:r>
      <w:r w:rsidR="004B3CA3" w:rsidRPr="008714E3">
        <w:rPr>
          <w:sz w:val="24"/>
          <w:szCs w:val="24"/>
          <w:lang w:val="en-US"/>
        </w:rPr>
        <w:t xml:space="preserve"> respondent complied with the directive and exercised the discretion bestowed on it in the ministerial directive in disqualifying the applicant as a genuine and deserving tenant.  The reasoning being that applicant’s tenancy was by virtue of an employment benefit, which benefit was to be extended to the applicant’s successor upon her retirement.  Council was therefore not able to dispose of all its houses and that was in line with the directive which gave council the discretion to retain a certain percentage to be maintained and ma</w:t>
      </w:r>
      <w:r w:rsidR="00F67D67">
        <w:rPr>
          <w:sz w:val="24"/>
          <w:szCs w:val="24"/>
          <w:lang w:val="en-US"/>
        </w:rPr>
        <w:t>naged as institutional or rental</w:t>
      </w:r>
      <w:r w:rsidR="004B3CA3" w:rsidRPr="008714E3">
        <w:rPr>
          <w:sz w:val="24"/>
          <w:szCs w:val="24"/>
          <w:lang w:val="en-US"/>
        </w:rPr>
        <w:t xml:space="preserve"> houses depending on the housing units available on stock.</w:t>
      </w:r>
    </w:p>
    <w:p w:rsidR="004B3CA3" w:rsidRPr="008714E3" w:rsidRDefault="004B3CA3" w:rsidP="00AF12AD">
      <w:pPr>
        <w:jc w:val="both"/>
        <w:rPr>
          <w:sz w:val="24"/>
          <w:szCs w:val="24"/>
          <w:lang w:val="en-US"/>
        </w:rPr>
      </w:pPr>
      <w:r w:rsidRPr="008714E3">
        <w:rPr>
          <w:sz w:val="24"/>
          <w:szCs w:val="24"/>
          <w:lang w:val="en-US"/>
        </w:rPr>
        <w:lastRenderedPageBreak/>
        <w:tab/>
        <w:t>There is nothing on record to show that the 1</w:t>
      </w:r>
      <w:r w:rsidRPr="008714E3">
        <w:rPr>
          <w:sz w:val="24"/>
          <w:szCs w:val="24"/>
          <w:vertAlign w:val="superscript"/>
          <w:lang w:val="en-US"/>
        </w:rPr>
        <w:t>st</w:t>
      </w:r>
      <w:r w:rsidRPr="008714E3">
        <w:rPr>
          <w:sz w:val="24"/>
          <w:szCs w:val="24"/>
          <w:lang w:val="en-US"/>
        </w:rPr>
        <w:t xml:space="preserve"> respondent did not comply with </w:t>
      </w:r>
      <w:r w:rsidR="00882BE6">
        <w:rPr>
          <w:sz w:val="24"/>
          <w:szCs w:val="24"/>
          <w:lang w:val="en-US"/>
        </w:rPr>
        <w:t>the directive or that it only retain</w:t>
      </w:r>
      <w:r w:rsidRPr="008714E3">
        <w:rPr>
          <w:sz w:val="24"/>
          <w:szCs w:val="24"/>
          <w:lang w:val="en-US"/>
        </w:rPr>
        <w:t>ed a percentage for the purposes alluded to in the ministerial directive.</w:t>
      </w:r>
      <w:r w:rsidR="005065BC" w:rsidRPr="008714E3">
        <w:rPr>
          <w:sz w:val="24"/>
          <w:szCs w:val="24"/>
          <w:lang w:val="en-US"/>
        </w:rPr>
        <w:t xml:space="preserve">  </w:t>
      </w:r>
      <w:r w:rsidR="005065BC" w:rsidRPr="008714E3">
        <w:rPr>
          <w:i/>
          <w:sz w:val="24"/>
          <w:szCs w:val="24"/>
          <w:lang w:val="en-US"/>
        </w:rPr>
        <w:t>Advocate Siziba</w:t>
      </w:r>
      <w:r w:rsidR="005065BC" w:rsidRPr="008714E3">
        <w:rPr>
          <w:sz w:val="24"/>
          <w:szCs w:val="24"/>
          <w:lang w:val="en-US"/>
        </w:rPr>
        <w:t xml:space="preserve"> referred this court to the doctrine in </w:t>
      </w:r>
      <w:r w:rsidR="005065BC" w:rsidRPr="008714E3">
        <w:rPr>
          <w:i/>
          <w:sz w:val="24"/>
          <w:szCs w:val="24"/>
          <w:lang w:val="en-US"/>
        </w:rPr>
        <w:t>Tribac (Pvt) Ltd</w:t>
      </w:r>
      <w:r w:rsidR="005065BC" w:rsidRPr="008714E3">
        <w:rPr>
          <w:sz w:val="24"/>
          <w:szCs w:val="24"/>
          <w:lang w:val="en-US"/>
        </w:rPr>
        <w:t xml:space="preserve"> v </w:t>
      </w:r>
      <w:r w:rsidR="005065BC" w:rsidRPr="008714E3">
        <w:rPr>
          <w:i/>
          <w:sz w:val="24"/>
          <w:szCs w:val="24"/>
          <w:lang w:val="en-US"/>
        </w:rPr>
        <w:t>Tobacco Marketing Board</w:t>
      </w:r>
      <w:r w:rsidR="005065BC" w:rsidRPr="008714E3">
        <w:rPr>
          <w:sz w:val="24"/>
          <w:szCs w:val="24"/>
          <w:lang w:val="en-US"/>
        </w:rPr>
        <w:t xml:space="preserve"> 1996 (2) ZLR 52 (S) a case which involved a decision made by the Minister and which the respondent had refused to comply with.  It is important to look at the facts of this case.  The appellant company had applied to th</w:t>
      </w:r>
      <w:r w:rsidR="00253E9E">
        <w:rPr>
          <w:sz w:val="24"/>
          <w:szCs w:val="24"/>
          <w:lang w:val="en-US"/>
        </w:rPr>
        <w:t>e Board for a licence to buy</w:t>
      </w:r>
      <w:r w:rsidR="005065BC" w:rsidRPr="008714E3">
        <w:rPr>
          <w:sz w:val="24"/>
          <w:szCs w:val="24"/>
          <w:lang w:val="en-US"/>
        </w:rPr>
        <w:t xml:space="preserve"> ‘A’ class tobacco at the auction.  The Board declined to issue the licence on the basis that this would result in too many buyer</w:t>
      </w:r>
      <w:r w:rsidR="00253E9E">
        <w:rPr>
          <w:sz w:val="24"/>
          <w:szCs w:val="24"/>
          <w:lang w:val="en-US"/>
        </w:rPr>
        <w:t>s for the efficient and orderly</w:t>
      </w:r>
      <w:r w:rsidR="005065BC" w:rsidRPr="008714E3">
        <w:rPr>
          <w:sz w:val="24"/>
          <w:szCs w:val="24"/>
          <w:lang w:val="en-US"/>
        </w:rPr>
        <w:t xml:space="preserve"> marketing o</w:t>
      </w:r>
      <w:r w:rsidR="00253E9E">
        <w:rPr>
          <w:sz w:val="24"/>
          <w:szCs w:val="24"/>
          <w:lang w:val="en-US"/>
        </w:rPr>
        <w:t>f tobacco.  The appellant appeale</w:t>
      </w:r>
      <w:r w:rsidR="005065BC" w:rsidRPr="008714E3">
        <w:rPr>
          <w:sz w:val="24"/>
          <w:szCs w:val="24"/>
          <w:lang w:val="en-US"/>
        </w:rPr>
        <w:t>d to the Minister in terms of the Tobacco Marketing and Levy Act (Chapter 18:20) and the Minister remitted the matter to the Board for it to reconsider.  The Board maintained its earlier decision whereupon the Minister directed, in terms of the Act, that the appellant be issued with a licence.</w:t>
      </w:r>
    </w:p>
    <w:p w:rsidR="005065BC" w:rsidRPr="008714E3" w:rsidRDefault="005065BC" w:rsidP="00AF12AD">
      <w:pPr>
        <w:jc w:val="both"/>
        <w:rPr>
          <w:sz w:val="24"/>
          <w:szCs w:val="24"/>
          <w:lang w:val="en-US"/>
        </w:rPr>
      </w:pPr>
      <w:r w:rsidRPr="008714E3">
        <w:rPr>
          <w:sz w:val="24"/>
          <w:szCs w:val="24"/>
          <w:lang w:val="en-US"/>
        </w:rPr>
        <w:tab/>
        <w:t xml:space="preserve">The Board declined to implement the Minister’s directive forcing the appellant to seek a </w:t>
      </w:r>
      <w:r w:rsidR="00D41B03" w:rsidRPr="008714E3">
        <w:rPr>
          <w:sz w:val="24"/>
          <w:szCs w:val="24"/>
          <w:lang w:val="en-US"/>
        </w:rPr>
        <w:t>mandamus from the High Court.  It sought an order compelling</w:t>
      </w:r>
      <w:r w:rsidR="0051111A" w:rsidRPr="008714E3">
        <w:rPr>
          <w:sz w:val="24"/>
          <w:szCs w:val="24"/>
          <w:lang w:val="en-US"/>
        </w:rPr>
        <w:t xml:space="preserve"> the Board to issue the licence in terms of the directive from the minister.  The High Court dismissed the application on, </w:t>
      </w:r>
      <w:r w:rsidR="0051111A" w:rsidRPr="007E62B0">
        <w:rPr>
          <w:i/>
          <w:sz w:val="24"/>
          <w:szCs w:val="24"/>
          <w:lang w:val="en-US"/>
        </w:rPr>
        <w:t>inter alia</w:t>
      </w:r>
      <w:r w:rsidR="0051111A" w:rsidRPr="008714E3">
        <w:rPr>
          <w:sz w:val="24"/>
          <w:szCs w:val="24"/>
          <w:lang w:val="en-US"/>
        </w:rPr>
        <w:t>, the fact that the Board was better placed to decide on who to issue a licence and the Minister had usurped the Board’s powers.</w:t>
      </w:r>
    </w:p>
    <w:p w:rsidR="0051111A" w:rsidRPr="008714E3" w:rsidRDefault="0051111A" w:rsidP="00AF12AD">
      <w:pPr>
        <w:jc w:val="both"/>
        <w:rPr>
          <w:sz w:val="24"/>
          <w:szCs w:val="24"/>
          <w:lang w:val="en-US"/>
        </w:rPr>
      </w:pPr>
      <w:r w:rsidRPr="008714E3">
        <w:rPr>
          <w:sz w:val="24"/>
          <w:szCs w:val="24"/>
          <w:lang w:val="en-US"/>
        </w:rPr>
        <w:tab/>
        <w:t>On appeal G</w:t>
      </w:r>
      <w:r w:rsidRPr="008714E3">
        <w:rPr>
          <w:sz w:val="20"/>
          <w:szCs w:val="20"/>
          <w:lang w:val="en-US"/>
        </w:rPr>
        <w:t>UBBAY</w:t>
      </w:r>
      <w:r w:rsidRPr="008714E3">
        <w:rPr>
          <w:sz w:val="24"/>
          <w:szCs w:val="24"/>
          <w:lang w:val="en-US"/>
        </w:rPr>
        <w:t xml:space="preserve"> CJ had this to say:</w:t>
      </w:r>
    </w:p>
    <w:p w:rsidR="0051111A" w:rsidRPr="008714E3" w:rsidRDefault="0051111A" w:rsidP="00AF12AD">
      <w:pPr>
        <w:pStyle w:val="NoSpacing"/>
        <w:ind w:left="720"/>
        <w:jc w:val="both"/>
        <w:rPr>
          <w:sz w:val="24"/>
          <w:szCs w:val="24"/>
          <w:lang w:val="en-US"/>
        </w:rPr>
      </w:pPr>
      <w:r w:rsidRPr="008714E3">
        <w:rPr>
          <w:sz w:val="24"/>
          <w:szCs w:val="24"/>
          <w:lang w:val="en-US"/>
        </w:rPr>
        <w:t>“The alternative basis upon which the learned judge dismissed the application may be disposed of shortly.  It was not open to him to purport to revi</w:t>
      </w:r>
      <w:r w:rsidR="007E62B0">
        <w:rPr>
          <w:sz w:val="24"/>
          <w:szCs w:val="24"/>
          <w:lang w:val="en-US"/>
        </w:rPr>
        <w:t>ew the decision of the Minister in</w:t>
      </w:r>
      <w:r w:rsidRPr="008714E3">
        <w:rPr>
          <w:sz w:val="24"/>
          <w:szCs w:val="24"/>
          <w:lang w:val="en-US"/>
        </w:rPr>
        <w:t xml:space="preserve"> directing the Board to issue the buyer’s licence.  The Board had not sought to bring that decision on review a</w:t>
      </w:r>
      <w:r w:rsidR="00AF12AD" w:rsidRPr="008714E3">
        <w:rPr>
          <w:sz w:val="24"/>
          <w:szCs w:val="24"/>
          <w:lang w:val="en-US"/>
        </w:rPr>
        <w:t>n</w:t>
      </w:r>
      <w:r w:rsidRPr="008714E3">
        <w:rPr>
          <w:sz w:val="24"/>
          <w:szCs w:val="24"/>
          <w:lang w:val="en-US"/>
        </w:rPr>
        <w:t>d so th</w:t>
      </w:r>
      <w:r w:rsidR="00AF12AD" w:rsidRPr="008714E3">
        <w:rPr>
          <w:sz w:val="24"/>
          <w:szCs w:val="24"/>
          <w:lang w:val="en-US"/>
        </w:rPr>
        <w:t>e</w:t>
      </w:r>
      <w:r w:rsidRPr="008714E3">
        <w:rPr>
          <w:sz w:val="24"/>
          <w:szCs w:val="24"/>
          <w:lang w:val="en-US"/>
        </w:rPr>
        <w:t xml:space="preserve"> Mi</w:t>
      </w:r>
      <w:r w:rsidR="007E62B0">
        <w:rPr>
          <w:sz w:val="24"/>
          <w:szCs w:val="24"/>
          <w:lang w:val="en-US"/>
        </w:rPr>
        <w:t>nister was not before the court</w:t>
      </w:r>
      <w:r w:rsidRPr="008714E3">
        <w:rPr>
          <w:sz w:val="24"/>
          <w:szCs w:val="24"/>
          <w:lang w:val="en-US"/>
        </w:rPr>
        <w:t>.  Moreover, the criticism that the Minister had substituted his discretion for that of the Board was unjustified.”</w:t>
      </w:r>
    </w:p>
    <w:p w:rsidR="0051111A" w:rsidRPr="008714E3" w:rsidRDefault="0051111A" w:rsidP="00AF12AD">
      <w:pPr>
        <w:pStyle w:val="NoSpacing"/>
        <w:jc w:val="both"/>
        <w:rPr>
          <w:sz w:val="24"/>
          <w:szCs w:val="24"/>
          <w:lang w:val="en-US"/>
        </w:rPr>
      </w:pPr>
    </w:p>
    <w:p w:rsidR="0051111A" w:rsidRPr="007A0EAC" w:rsidRDefault="0051111A" w:rsidP="00AF12AD">
      <w:pPr>
        <w:jc w:val="both"/>
        <w:rPr>
          <w:sz w:val="24"/>
          <w:szCs w:val="24"/>
          <w:lang w:val="en-US"/>
        </w:rPr>
      </w:pPr>
      <w:r w:rsidRPr="008714E3">
        <w:rPr>
          <w:sz w:val="24"/>
          <w:szCs w:val="24"/>
          <w:lang w:val="en-US"/>
        </w:rPr>
        <w:tab/>
        <w:t xml:space="preserve">Turning to </w:t>
      </w:r>
      <w:r w:rsidR="00AF12AD" w:rsidRPr="008714E3">
        <w:rPr>
          <w:sz w:val="24"/>
          <w:szCs w:val="24"/>
          <w:lang w:val="en-US"/>
        </w:rPr>
        <w:t>t</w:t>
      </w:r>
      <w:r w:rsidRPr="008714E3">
        <w:rPr>
          <w:sz w:val="24"/>
          <w:szCs w:val="24"/>
          <w:lang w:val="en-US"/>
        </w:rPr>
        <w:t xml:space="preserve">he facts </w:t>
      </w:r>
      <w:r w:rsidRPr="008714E3">
        <w:rPr>
          <w:i/>
          <w:sz w:val="24"/>
          <w:szCs w:val="24"/>
          <w:lang w:val="en-US"/>
        </w:rPr>
        <w:t>in casu</w:t>
      </w:r>
      <w:r w:rsidRPr="008714E3">
        <w:rPr>
          <w:sz w:val="24"/>
          <w:szCs w:val="24"/>
          <w:lang w:val="en-US"/>
        </w:rPr>
        <w:t xml:space="preserve">, I am not persuaded by </w:t>
      </w:r>
      <w:r w:rsidRPr="008714E3">
        <w:rPr>
          <w:i/>
          <w:sz w:val="24"/>
          <w:szCs w:val="24"/>
          <w:lang w:val="en-US"/>
        </w:rPr>
        <w:t>Advocate S</w:t>
      </w:r>
      <w:r w:rsidR="00996C20" w:rsidRPr="008714E3">
        <w:rPr>
          <w:i/>
          <w:sz w:val="24"/>
          <w:szCs w:val="24"/>
          <w:lang w:val="en-US"/>
        </w:rPr>
        <w:t>i</w:t>
      </w:r>
      <w:r w:rsidRPr="008714E3">
        <w:rPr>
          <w:i/>
          <w:sz w:val="24"/>
          <w:szCs w:val="24"/>
          <w:lang w:val="en-US"/>
        </w:rPr>
        <w:t>ziba’s</w:t>
      </w:r>
      <w:r w:rsidRPr="008714E3">
        <w:rPr>
          <w:sz w:val="24"/>
          <w:szCs w:val="24"/>
          <w:lang w:val="en-US"/>
        </w:rPr>
        <w:t xml:space="preserve"> argument that the ministerial directive only gave the history in paragraph 1 and su</w:t>
      </w:r>
      <w:r w:rsidR="0080652D">
        <w:rPr>
          <w:sz w:val="24"/>
          <w:szCs w:val="24"/>
          <w:lang w:val="en-US"/>
        </w:rPr>
        <w:t>ch should not be read with the</w:t>
      </w:r>
      <w:r w:rsidR="00AF12AD" w:rsidRPr="008714E3">
        <w:rPr>
          <w:sz w:val="24"/>
          <w:szCs w:val="24"/>
          <w:lang w:val="en-US"/>
        </w:rPr>
        <w:t xml:space="preserve"> </w:t>
      </w:r>
      <w:r w:rsidRPr="008714E3">
        <w:rPr>
          <w:sz w:val="24"/>
          <w:szCs w:val="24"/>
          <w:lang w:val="en-US"/>
        </w:rPr>
        <w:t xml:space="preserve">directive in paragraph 3 thereof.  The Minister’s directive was in </w:t>
      </w:r>
      <w:r w:rsidR="00167019" w:rsidRPr="008714E3">
        <w:rPr>
          <w:sz w:val="24"/>
          <w:szCs w:val="24"/>
          <w:lang w:val="en-US"/>
        </w:rPr>
        <w:t xml:space="preserve">pursuance of the policy position which saw Government taking the position that tenants in Council houses must be allowed to own them.  Councils had been allowed to retain a percentage of the houses depending on what </w:t>
      </w:r>
      <w:r w:rsidR="00AF12AD" w:rsidRPr="008714E3">
        <w:rPr>
          <w:sz w:val="24"/>
          <w:szCs w:val="24"/>
          <w:lang w:val="en-US"/>
        </w:rPr>
        <w:t>t</w:t>
      </w:r>
      <w:r w:rsidR="00167019" w:rsidRPr="008714E3">
        <w:rPr>
          <w:sz w:val="24"/>
          <w:szCs w:val="24"/>
          <w:lang w:val="en-US"/>
        </w:rPr>
        <w:t>hey had at their disposal.</w:t>
      </w:r>
      <w:r w:rsidR="007A0EAC">
        <w:rPr>
          <w:sz w:val="24"/>
          <w:szCs w:val="24"/>
          <w:lang w:val="en-US"/>
        </w:rPr>
        <w:t xml:space="preserve"> </w:t>
      </w:r>
      <w:r w:rsidR="00167019" w:rsidRPr="008714E3">
        <w:rPr>
          <w:sz w:val="24"/>
          <w:szCs w:val="24"/>
          <w:lang w:val="en-US"/>
        </w:rPr>
        <w:t>The 1</w:t>
      </w:r>
      <w:r w:rsidR="00167019" w:rsidRPr="008714E3">
        <w:rPr>
          <w:sz w:val="24"/>
          <w:szCs w:val="24"/>
          <w:vertAlign w:val="superscript"/>
          <w:lang w:val="en-US"/>
        </w:rPr>
        <w:t>st</w:t>
      </w:r>
      <w:r w:rsidR="00167019" w:rsidRPr="008714E3">
        <w:rPr>
          <w:sz w:val="24"/>
          <w:szCs w:val="24"/>
          <w:lang w:val="en-US"/>
        </w:rPr>
        <w:t xml:space="preserve"> respondent’s argument is not that the directive sought t</w:t>
      </w:r>
      <w:r w:rsidR="009D04B9">
        <w:rPr>
          <w:sz w:val="24"/>
          <w:szCs w:val="24"/>
          <w:lang w:val="en-US"/>
        </w:rPr>
        <w:t>o usurp its powers.  Equally this</w:t>
      </w:r>
      <w:r w:rsidR="00D923F0">
        <w:rPr>
          <w:sz w:val="24"/>
          <w:szCs w:val="24"/>
          <w:lang w:val="en-US"/>
        </w:rPr>
        <w:t xml:space="preserve"> court is not reviewi</w:t>
      </w:r>
      <w:r w:rsidR="00167019" w:rsidRPr="008714E3">
        <w:rPr>
          <w:sz w:val="24"/>
          <w:szCs w:val="24"/>
          <w:lang w:val="en-US"/>
        </w:rPr>
        <w:t xml:space="preserve">ng the ministerial directive.  It is a directive that is binding and to be complied with.  However, the applicant </w:t>
      </w:r>
      <w:r w:rsidR="00167019" w:rsidRPr="008714E3">
        <w:rPr>
          <w:i/>
          <w:sz w:val="24"/>
          <w:szCs w:val="24"/>
          <w:lang w:val="en-US"/>
        </w:rPr>
        <w:t xml:space="preserve">in </w:t>
      </w:r>
      <w:r w:rsidR="00167019" w:rsidRPr="008714E3">
        <w:rPr>
          <w:i/>
          <w:sz w:val="24"/>
          <w:szCs w:val="24"/>
          <w:lang w:val="en-US"/>
        </w:rPr>
        <w:lastRenderedPageBreak/>
        <w:t>casu</w:t>
      </w:r>
      <w:r w:rsidR="00167019" w:rsidRPr="008714E3">
        <w:rPr>
          <w:sz w:val="24"/>
          <w:szCs w:val="24"/>
          <w:lang w:val="en-US"/>
        </w:rPr>
        <w:t xml:space="preserve"> did not specifically engage the Minister with a view to ensure the 1</w:t>
      </w:r>
      <w:r w:rsidR="00167019" w:rsidRPr="008714E3">
        <w:rPr>
          <w:sz w:val="24"/>
          <w:szCs w:val="24"/>
          <w:vertAlign w:val="superscript"/>
          <w:lang w:val="en-US"/>
        </w:rPr>
        <w:t>st</w:t>
      </w:r>
      <w:r w:rsidR="00167019" w:rsidRPr="008714E3">
        <w:rPr>
          <w:sz w:val="24"/>
          <w:szCs w:val="24"/>
          <w:lang w:val="en-US"/>
        </w:rPr>
        <w:t xml:space="preserve"> respondent’s decision to retain a percentage of the houses did not leave her out as a beneficiary.</w:t>
      </w:r>
      <w:r w:rsidR="007A0EAC">
        <w:rPr>
          <w:sz w:val="24"/>
          <w:szCs w:val="24"/>
          <w:lang w:val="en-US"/>
        </w:rPr>
        <w:t xml:space="preserve"> In other words the decision to include the house the applicant was occupying as one of those retained by Council was not appealed against to the Minister seeking the removal of that house from the pool of the retained houses. Sight must not be lost of the Acting Town Clerk’s assertion that Council complied with the directive at the time such was given and</w:t>
      </w:r>
      <w:r w:rsidR="008153C1">
        <w:rPr>
          <w:sz w:val="24"/>
          <w:szCs w:val="24"/>
          <w:lang w:val="en-US"/>
        </w:rPr>
        <w:t xml:space="preserve"> the</w:t>
      </w:r>
      <w:r w:rsidR="007A0EAC">
        <w:rPr>
          <w:sz w:val="24"/>
          <w:szCs w:val="24"/>
          <w:lang w:val="en-US"/>
        </w:rPr>
        <w:t xml:space="preserve"> first paragraph in the 2015 directive by the Minister must not b</w:t>
      </w:r>
      <w:r w:rsidR="008153C1">
        <w:rPr>
          <w:sz w:val="24"/>
          <w:szCs w:val="24"/>
          <w:lang w:val="en-US"/>
        </w:rPr>
        <w:t>e looked at in isolation or</w:t>
      </w:r>
      <w:r w:rsidR="007A0EAC">
        <w:rPr>
          <w:sz w:val="24"/>
          <w:szCs w:val="24"/>
          <w:lang w:val="en-US"/>
        </w:rPr>
        <w:t xml:space="preserve"> as a mere background divorced to the directive as argued by </w:t>
      </w:r>
      <w:r w:rsidR="007A0EAC" w:rsidRPr="007A0EAC">
        <w:rPr>
          <w:i/>
          <w:sz w:val="24"/>
          <w:szCs w:val="24"/>
          <w:lang w:val="en-US"/>
        </w:rPr>
        <w:t>Advocate Siziba</w:t>
      </w:r>
      <w:r w:rsidR="007A0EAC">
        <w:rPr>
          <w:i/>
          <w:sz w:val="24"/>
          <w:szCs w:val="24"/>
          <w:lang w:val="en-US"/>
        </w:rPr>
        <w:t xml:space="preserve"> </w:t>
      </w:r>
    </w:p>
    <w:p w:rsidR="00167019" w:rsidRPr="008714E3" w:rsidRDefault="009D04B9" w:rsidP="00AF12AD">
      <w:pPr>
        <w:jc w:val="both"/>
        <w:rPr>
          <w:sz w:val="24"/>
          <w:szCs w:val="24"/>
          <w:lang w:val="en-US"/>
        </w:rPr>
      </w:pPr>
      <w:r>
        <w:rPr>
          <w:sz w:val="24"/>
          <w:szCs w:val="24"/>
          <w:lang w:val="en-US"/>
        </w:rPr>
        <w:tab/>
        <w:t>The 1st</w:t>
      </w:r>
      <w:r w:rsidR="00167019" w:rsidRPr="008714E3">
        <w:rPr>
          <w:sz w:val="24"/>
          <w:szCs w:val="24"/>
          <w:lang w:val="en-US"/>
        </w:rPr>
        <w:t xml:space="preserve"> respondent was given the leeway to exercise a discretion which was not challenged and the directive by the Minister can therefore not be interpreted to mean the applicant is to benefit notwithstanding the discretion 1</w:t>
      </w:r>
      <w:r w:rsidR="00167019" w:rsidRPr="008714E3">
        <w:rPr>
          <w:sz w:val="24"/>
          <w:szCs w:val="24"/>
          <w:vertAlign w:val="superscript"/>
          <w:lang w:val="en-US"/>
        </w:rPr>
        <w:t>st</w:t>
      </w:r>
      <w:r w:rsidR="00167019" w:rsidRPr="008714E3">
        <w:rPr>
          <w:sz w:val="24"/>
          <w:szCs w:val="24"/>
          <w:lang w:val="en-US"/>
        </w:rPr>
        <w:t xml:space="preserve"> respondent exercised in holding that she was not a genu</w:t>
      </w:r>
      <w:r w:rsidR="00AF12AD" w:rsidRPr="008714E3">
        <w:rPr>
          <w:sz w:val="24"/>
          <w:szCs w:val="24"/>
          <w:lang w:val="en-US"/>
        </w:rPr>
        <w:t>i</w:t>
      </w:r>
      <w:r w:rsidR="00167019" w:rsidRPr="008714E3">
        <w:rPr>
          <w:sz w:val="24"/>
          <w:szCs w:val="24"/>
          <w:lang w:val="en-US"/>
        </w:rPr>
        <w:t>ne and deserving tenant and that the house in question was part of those houses retained for the purposes referred</w:t>
      </w:r>
      <w:r w:rsidR="00AF12AD" w:rsidRPr="008714E3">
        <w:rPr>
          <w:sz w:val="24"/>
          <w:szCs w:val="24"/>
          <w:lang w:val="en-US"/>
        </w:rPr>
        <w:t xml:space="preserve"> </w:t>
      </w:r>
      <w:r w:rsidR="00167019" w:rsidRPr="008714E3">
        <w:rPr>
          <w:sz w:val="24"/>
          <w:szCs w:val="24"/>
          <w:lang w:val="en-US"/>
        </w:rPr>
        <w:t>to in the Minister’s directive.</w:t>
      </w:r>
    </w:p>
    <w:p w:rsidR="00167019" w:rsidRPr="008714E3" w:rsidRDefault="00167019" w:rsidP="00AF12AD">
      <w:pPr>
        <w:jc w:val="both"/>
        <w:rPr>
          <w:sz w:val="24"/>
          <w:szCs w:val="24"/>
          <w:lang w:val="en-US"/>
        </w:rPr>
      </w:pPr>
      <w:r w:rsidRPr="008714E3">
        <w:rPr>
          <w:sz w:val="24"/>
          <w:szCs w:val="24"/>
          <w:lang w:val="en-US"/>
        </w:rPr>
        <w:tab/>
        <w:t>The circular in question was directed to all local authorities and not the 1</w:t>
      </w:r>
      <w:r w:rsidRPr="008714E3">
        <w:rPr>
          <w:sz w:val="24"/>
          <w:szCs w:val="24"/>
          <w:vertAlign w:val="superscript"/>
          <w:lang w:val="en-US"/>
        </w:rPr>
        <w:t>st</w:t>
      </w:r>
      <w:r w:rsidRPr="008714E3">
        <w:rPr>
          <w:sz w:val="24"/>
          <w:szCs w:val="24"/>
          <w:lang w:val="en-US"/>
        </w:rPr>
        <w:t xml:space="preserve"> respondent in particular.  The directive to give title to genuine and deserving tenants did not particularly refer to the applicant.</w:t>
      </w:r>
    </w:p>
    <w:p w:rsidR="00167019" w:rsidRPr="008714E3" w:rsidRDefault="00167019" w:rsidP="00AF12AD">
      <w:pPr>
        <w:jc w:val="both"/>
        <w:rPr>
          <w:sz w:val="24"/>
          <w:szCs w:val="24"/>
          <w:lang w:val="en-US"/>
        </w:rPr>
      </w:pPr>
      <w:r w:rsidRPr="008714E3">
        <w:rPr>
          <w:sz w:val="24"/>
          <w:szCs w:val="24"/>
          <w:lang w:val="en-US"/>
        </w:rPr>
        <w:tab/>
        <w:t xml:space="preserve">It therefore </w:t>
      </w:r>
      <w:r w:rsidR="00000253" w:rsidRPr="008714E3">
        <w:rPr>
          <w:sz w:val="24"/>
          <w:szCs w:val="24"/>
          <w:lang w:val="en-US"/>
        </w:rPr>
        <w:t>c</w:t>
      </w:r>
      <w:r w:rsidRPr="008714E3">
        <w:rPr>
          <w:sz w:val="24"/>
          <w:szCs w:val="24"/>
          <w:lang w:val="en-US"/>
        </w:rPr>
        <w:t>annot be said the directive is peremptory and the 1</w:t>
      </w:r>
      <w:r w:rsidRPr="008714E3">
        <w:rPr>
          <w:sz w:val="24"/>
          <w:szCs w:val="24"/>
          <w:vertAlign w:val="superscript"/>
          <w:lang w:val="en-US"/>
        </w:rPr>
        <w:t>st</w:t>
      </w:r>
      <w:r w:rsidRPr="008714E3">
        <w:rPr>
          <w:sz w:val="24"/>
          <w:szCs w:val="24"/>
          <w:lang w:val="en-US"/>
        </w:rPr>
        <w:t xml:space="preserve"> resp</w:t>
      </w:r>
      <w:r w:rsidR="000D7D1B">
        <w:rPr>
          <w:sz w:val="24"/>
          <w:szCs w:val="24"/>
          <w:lang w:val="en-US"/>
        </w:rPr>
        <w:t>ondent must comply in so far as the applicant’s case is concerned.</w:t>
      </w:r>
      <w:r w:rsidR="00C5024C">
        <w:rPr>
          <w:sz w:val="24"/>
          <w:szCs w:val="24"/>
          <w:lang w:val="en-US"/>
        </w:rPr>
        <w:t xml:space="preserve"> The contents </w:t>
      </w:r>
      <w:r w:rsidR="000D7D1B">
        <w:rPr>
          <w:sz w:val="24"/>
          <w:szCs w:val="24"/>
          <w:lang w:val="en-US"/>
        </w:rPr>
        <w:t>of</w:t>
      </w:r>
      <w:r w:rsidR="000D7D1B" w:rsidRPr="008714E3">
        <w:rPr>
          <w:sz w:val="24"/>
          <w:szCs w:val="24"/>
          <w:lang w:val="en-US"/>
        </w:rPr>
        <w:t xml:space="preserve"> Circular</w:t>
      </w:r>
      <w:r w:rsidRPr="008714E3">
        <w:rPr>
          <w:sz w:val="24"/>
          <w:szCs w:val="24"/>
          <w:lang w:val="en-US"/>
        </w:rPr>
        <w:t xml:space="preserve"> number 1 of</w:t>
      </w:r>
      <w:r w:rsidR="00C5024C">
        <w:rPr>
          <w:sz w:val="24"/>
          <w:szCs w:val="24"/>
          <w:lang w:val="en-US"/>
        </w:rPr>
        <w:t xml:space="preserve"> 2015 cannot be read disjunctively</w:t>
      </w:r>
      <w:r w:rsidRPr="008714E3">
        <w:rPr>
          <w:sz w:val="24"/>
          <w:szCs w:val="24"/>
          <w:lang w:val="en-US"/>
        </w:rPr>
        <w:t xml:space="preserve"> as argued by </w:t>
      </w:r>
      <w:r w:rsidRPr="008714E3">
        <w:rPr>
          <w:i/>
          <w:sz w:val="24"/>
          <w:szCs w:val="24"/>
          <w:lang w:val="en-US"/>
        </w:rPr>
        <w:t>Advoca</w:t>
      </w:r>
      <w:r w:rsidR="00A446C3" w:rsidRPr="008714E3">
        <w:rPr>
          <w:i/>
          <w:sz w:val="24"/>
          <w:szCs w:val="24"/>
          <w:lang w:val="en-US"/>
        </w:rPr>
        <w:t>t</w:t>
      </w:r>
      <w:r w:rsidRPr="008714E3">
        <w:rPr>
          <w:i/>
          <w:sz w:val="24"/>
          <w:szCs w:val="24"/>
          <w:lang w:val="en-US"/>
        </w:rPr>
        <w:t>e Siziba</w:t>
      </w:r>
      <w:r w:rsidRPr="008714E3">
        <w:rPr>
          <w:sz w:val="24"/>
          <w:szCs w:val="24"/>
          <w:lang w:val="en-US"/>
        </w:rPr>
        <w:t>.</w:t>
      </w:r>
      <w:r w:rsidR="00A86070">
        <w:rPr>
          <w:sz w:val="24"/>
          <w:szCs w:val="24"/>
          <w:lang w:val="en-US"/>
        </w:rPr>
        <w:t xml:space="preserve"> The directive was not for the specific purpose of addressing the applicant’s issue. It also did not specifically exclude council employees who happened to have been in council houses for over 20 years from having such houses forming part of the ones to be retained as institutional houses. The 1</w:t>
      </w:r>
      <w:r w:rsidR="00A86070" w:rsidRPr="00A86070">
        <w:rPr>
          <w:sz w:val="24"/>
          <w:szCs w:val="24"/>
          <w:vertAlign w:val="superscript"/>
          <w:lang w:val="en-US"/>
        </w:rPr>
        <w:t>st</w:t>
      </w:r>
      <w:r w:rsidR="00A86070">
        <w:rPr>
          <w:sz w:val="24"/>
          <w:szCs w:val="24"/>
          <w:lang w:val="en-US"/>
        </w:rPr>
        <w:t xml:space="preserve"> respondent’s discretion was therefore not fettered with regards to the houses that were to be in that percentage council was allowed to retain.</w:t>
      </w:r>
    </w:p>
    <w:p w:rsidR="00167019" w:rsidRPr="008714E3" w:rsidRDefault="00773E65" w:rsidP="00AF12AD">
      <w:pPr>
        <w:jc w:val="both"/>
        <w:rPr>
          <w:sz w:val="24"/>
          <w:szCs w:val="24"/>
          <w:lang w:val="en-US"/>
        </w:rPr>
      </w:pPr>
      <w:r>
        <w:rPr>
          <w:sz w:val="24"/>
          <w:szCs w:val="24"/>
          <w:lang w:val="en-US"/>
        </w:rPr>
        <w:tab/>
        <w:t>The reference</w:t>
      </w:r>
      <w:r w:rsidR="00167019" w:rsidRPr="008714E3">
        <w:rPr>
          <w:sz w:val="24"/>
          <w:szCs w:val="24"/>
          <w:lang w:val="en-US"/>
        </w:rPr>
        <w:t xml:space="preserve"> to </w:t>
      </w:r>
      <w:r w:rsidR="00000253" w:rsidRPr="008714E3">
        <w:rPr>
          <w:sz w:val="24"/>
          <w:szCs w:val="24"/>
          <w:lang w:val="en-US"/>
        </w:rPr>
        <w:t>t</w:t>
      </w:r>
      <w:r w:rsidR="00167019" w:rsidRPr="008714E3">
        <w:rPr>
          <w:sz w:val="24"/>
          <w:szCs w:val="24"/>
          <w:lang w:val="en-US"/>
        </w:rPr>
        <w:t>he requirements for a mandamus must be looked at in light of the particular circumstance</w:t>
      </w:r>
      <w:r>
        <w:rPr>
          <w:sz w:val="24"/>
          <w:szCs w:val="24"/>
          <w:lang w:val="en-US"/>
        </w:rPr>
        <w:t>s</w:t>
      </w:r>
      <w:r w:rsidR="00167019" w:rsidRPr="008714E3">
        <w:rPr>
          <w:sz w:val="24"/>
          <w:szCs w:val="24"/>
          <w:lang w:val="en-US"/>
        </w:rPr>
        <w:t xml:space="preserve"> of this case.  The applicant can only talk of a clear or </w:t>
      </w:r>
      <w:r w:rsidR="00000253" w:rsidRPr="008714E3">
        <w:rPr>
          <w:sz w:val="24"/>
          <w:szCs w:val="24"/>
          <w:lang w:val="en-US"/>
        </w:rPr>
        <w:t>definite right, an injury actually committed and absence of a similar protection if she could show that the 1</w:t>
      </w:r>
      <w:r w:rsidR="00000253" w:rsidRPr="008714E3">
        <w:rPr>
          <w:sz w:val="24"/>
          <w:szCs w:val="24"/>
          <w:vertAlign w:val="superscript"/>
          <w:lang w:val="en-US"/>
        </w:rPr>
        <w:t>st</w:t>
      </w:r>
      <w:r w:rsidR="00000253" w:rsidRPr="008714E3">
        <w:rPr>
          <w:sz w:val="24"/>
          <w:szCs w:val="24"/>
          <w:lang w:val="en-US"/>
        </w:rPr>
        <w:t xml:space="preserve"> respondent had no discretion as to who to regard as a genuine and deserving tenant and equally that it had no discretion to retain a percentage of the houses for institutional and rental purposes.</w:t>
      </w:r>
    </w:p>
    <w:p w:rsidR="00000253" w:rsidRPr="008714E3" w:rsidRDefault="00000253" w:rsidP="00AF12AD">
      <w:pPr>
        <w:jc w:val="both"/>
        <w:rPr>
          <w:sz w:val="24"/>
          <w:szCs w:val="24"/>
          <w:lang w:val="en-US"/>
        </w:rPr>
      </w:pPr>
      <w:r w:rsidRPr="008714E3">
        <w:rPr>
          <w:sz w:val="24"/>
          <w:szCs w:val="24"/>
          <w:lang w:val="en-US"/>
        </w:rPr>
        <w:tab/>
        <w:t xml:space="preserve">In the </w:t>
      </w:r>
      <w:r w:rsidRPr="008714E3">
        <w:rPr>
          <w:i/>
          <w:sz w:val="24"/>
          <w:szCs w:val="24"/>
          <w:lang w:val="en-US"/>
        </w:rPr>
        <w:t>Mag</w:t>
      </w:r>
      <w:r w:rsidR="008714E3" w:rsidRPr="008714E3">
        <w:rPr>
          <w:i/>
          <w:sz w:val="24"/>
          <w:szCs w:val="24"/>
          <w:lang w:val="en-US"/>
        </w:rPr>
        <w:t>u</w:t>
      </w:r>
      <w:r w:rsidRPr="008714E3">
        <w:rPr>
          <w:i/>
          <w:sz w:val="24"/>
          <w:szCs w:val="24"/>
          <w:lang w:val="en-US"/>
        </w:rPr>
        <w:t>ma</w:t>
      </w:r>
      <w:r w:rsidRPr="008714E3">
        <w:rPr>
          <w:sz w:val="24"/>
          <w:szCs w:val="24"/>
          <w:lang w:val="en-US"/>
        </w:rPr>
        <w:t xml:space="preserve"> case (</w:t>
      </w:r>
      <w:r w:rsidRPr="008714E3">
        <w:rPr>
          <w:i/>
          <w:sz w:val="24"/>
          <w:szCs w:val="24"/>
          <w:lang w:val="en-US"/>
        </w:rPr>
        <w:t>supra)</w:t>
      </w:r>
      <w:r w:rsidRPr="008714E3">
        <w:rPr>
          <w:sz w:val="24"/>
          <w:szCs w:val="24"/>
          <w:lang w:val="en-US"/>
        </w:rPr>
        <w:t xml:space="preserve"> </w:t>
      </w:r>
      <w:r w:rsidRPr="008714E3">
        <w:rPr>
          <w:sz w:val="20"/>
          <w:szCs w:val="20"/>
          <w:lang w:val="en-US"/>
        </w:rPr>
        <w:t>DUBE-BANDA</w:t>
      </w:r>
      <w:r w:rsidRPr="008714E3">
        <w:rPr>
          <w:sz w:val="24"/>
          <w:szCs w:val="24"/>
          <w:lang w:val="en-US"/>
        </w:rPr>
        <w:t xml:space="preserve"> J had this to say:</w:t>
      </w:r>
    </w:p>
    <w:p w:rsidR="00000253" w:rsidRPr="008714E3" w:rsidRDefault="00000253" w:rsidP="00AF12AD">
      <w:pPr>
        <w:pStyle w:val="NoSpacing"/>
        <w:ind w:left="720"/>
        <w:jc w:val="both"/>
        <w:rPr>
          <w:sz w:val="24"/>
          <w:szCs w:val="24"/>
          <w:lang w:val="en-US"/>
        </w:rPr>
      </w:pPr>
      <w:r w:rsidRPr="008714E3">
        <w:rPr>
          <w:sz w:val="24"/>
          <w:szCs w:val="24"/>
          <w:lang w:val="en-US"/>
        </w:rPr>
        <w:lastRenderedPageBreak/>
        <w:t>“Local authorities were allowed a discretion to retain a certain percentage to be maintained and managed as institutional or rental houses, depending on the housing units available on stock.</w:t>
      </w:r>
    </w:p>
    <w:p w:rsidR="00000253" w:rsidRPr="008714E3" w:rsidRDefault="00000253" w:rsidP="00AF12AD">
      <w:pPr>
        <w:pStyle w:val="NoSpacing"/>
        <w:jc w:val="both"/>
        <w:rPr>
          <w:sz w:val="24"/>
          <w:szCs w:val="24"/>
          <w:lang w:val="en-US"/>
        </w:rPr>
      </w:pPr>
    </w:p>
    <w:p w:rsidR="00000253" w:rsidRPr="008714E3" w:rsidRDefault="00A715BC" w:rsidP="00AF12AD">
      <w:pPr>
        <w:pStyle w:val="NoSpacing"/>
        <w:ind w:left="720"/>
        <w:jc w:val="both"/>
        <w:rPr>
          <w:sz w:val="24"/>
          <w:szCs w:val="24"/>
          <w:lang w:val="en-US"/>
        </w:rPr>
      </w:pPr>
      <w:r>
        <w:rPr>
          <w:sz w:val="24"/>
          <w:szCs w:val="24"/>
          <w:lang w:val="en-US"/>
        </w:rPr>
        <w:t>Nothing can be clearer than this statement.</w:t>
      </w:r>
      <w:r w:rsidR="00000253" w:rsidRPr="008714E3">
        <w:rPr>
          <w:sz w:val="24"/>
          <w:szCs w:val="24"/>
          <w:lang w:val="en-US"/>
        </w:rPr>
        <w:t xml:space="preserve"> </w:t>
      </w:r>
      <w:r w:rsidRPr="008714E3">
        <w:rPr>
          <w:sz w:val="24"/>
          <w:szCs w:val="24"/>
          <w:lang w:val="en-US"/>
        </w:rPr>
        <w:t>In</w:t>
      </w:r>
      <w:r w:rsidR="00000253" w:rsidRPr="008714E3">
        <w:rPr>
          <w:sz w:val="24"/>
          <w:szCs w:val="24"/>
          <w:lang w:val="en-US"/>
        </w:rPr>
        <w:t xml:space="preserve"> terms of the circular council has a discretion whether or not to transfer property to a sitting tenant.  Whether a sitting tenant is genuine and deserving is a matter of council to decide.  The circular vests the </w:t>
      </w:r>
      <w:r w:rsidR="00363182">
        <w:rPr>
          <w:sz w:val="24"/>
          <w:szCs w:val="24"/>
          <w:lang w:val="en-US"/>
        </w:rPr>
        <w:t>discretion to</w:t>
      </w:r>
      <w:r w:rsidR="00000253" w:rsidRPr="008714E3">
        <w:rPr>
          <w:sz w:val="24"/>
          <w:szCs w:val="24"/>
          <w:lang w:val="en-US"/>
        </w:rPr>
        <w:t xml:space="preserve"> council</w:t>
      </w:r>
      <w:r w:rsidR="00363182">
        <w:rPr>
          <w:sz w:val="24"/>
          <w:szCs w:val="24"/>
          <w:lang w:val="en-US"/>
        </w:rPr>
        <w:t>. It is within the discretion of Council</w:t>
      </w:r>
      <w:r w:rsidR="00000253" w:rsidRPr="008714E3">
        <w:rPr>
          <w:sz w:val="24"/>
          <w:szCs w:val="24"/>
          <w:lang w:val="en-US"/>
        </w:rPr>
        <w:t xml:space="preserve"> to decide to transfer a rented property to a sitting tenant or decline</w:t>
      </w:r>
      <w:r w:rsidR="00A446C3" w:rsidRPr="008714E3">
        <w:rPr>
          <w:sz w:val="24"/>
          <w:szCs w:val="24"/>
          <w:lang w:val="en-US"/>
        </w:rPr>
        <w:t xml:space="preserve"> to do so.  Even if this court were to disagree with the decision of council it canno</w:t>
      </w:r>
      <w:r w:rsidR="00A41A4F">
        <w:rPr>
          <w:sz w:val="24"/>
          <w:szCs w:val="24"/>
          <w:lang w:val="en-US"/>
        </w:rPr>
        <w:t>t merely interfere with it.  This</w:t>
      </w:r>
      <w:r w:rsidR="00A446C3" w:rsidRPr="008714E3">
        <w:rPr>
          <w:sz w:val="24"/>
          <w:szCs w:val="24"/>
          <w:lang w:val="en-US"/>
        </w:rPr>
        <w:t xml:space="preserve"> court cannot just usurp the function of council.  This</w:t>
      </w:r>
      <w:r w:rsidR="00A41A4F">
        <w:rPr>
          <w:sz w:val="24"/>
          <w:szCs w:val="24"/>
          <w:lang w:val="en-US"/>
        </w:rPr>
        <w:t xml:space="preserve"> is what is called judicial defere</w:t>
      </w:r>
      <w:r w:rsidR="00A446C3" w:rsidRPr="008714E3">
        <w:rPr>
          <w:sz w:val="24"/>
          <w:szCs w:val="24"/>
          <w:lang w:val="en-US"/>
        </w:rPr>
        <w:t>nce.  This court can only interfere with council’s exercise of discretion only on the basis of a well-founded case, and this is not such a case.”</w:t>
      </w:r>
    </w:p>
    <w:p w:rsidR="00A446C3" w:rsidRPr="008714E3" w:rsidRDefault="00A446C3" w:rsidP="00AF12AD">
      <w:pPr>
        <w:pStyle w:val="NoSpacing"/>
        <w:jc w:val="both"/>
        <w:rPr>
          <w:sz w:val="24"/>
          <w:szCs w:val="24"/>
          <w:lang w:val="en-US"/>
        </w:rPr>
      </w:pPr>
    </w:p>
    <w:p w:rsidR="00A446C3" w:rsidRPr="008714E3" w:rsidRDefault="00145A43" w:rsidP="00AF12AD">
      <w:pPr>
        <w:jc w:val="both"/>
        <w:rPr>
          <w:sz w:val="24"/>
          <w:szCs w:val="24"/>
          <w:lang w:val="en-US"/>
        </w:rPr>
      </w:pPr>
      <w:r>
        <w:rPr>
          <w:sz w:val="24"/>
          <w:szCs w:val="24"/>
          <w:lang w:val="en-US"/>
        </w:rPr>
        <w:tab/>
        <w:t>These remarks are a</w:t>
      </w:r>
      <w:r w:rsidR="00A446C3" w:rsidRPr="008714E3">
        <w:rPr>
          <w:sz w:val="24"/>
          <w:szCs w:val="24"/>
          <w:lang w:val="en-US"/>
        </w:rPr>
        <w:t xml:space="preserve">pposite and apply with equal force </w:t>
      </w:r>
      <w:r w:rsidR="00A446C3" w:rsidRPr="008714E3">
        <w:rPr>
          <w:i/>
          <w:sz w:val="24"/>
          <w:szCs w:val="24"/>
          <w:lang w:val="en-US"/>
        </w:rPr>
        <w:t>in casu</w:t>
      </w:r>
      <w:r w:rsidR="00A446C3" w:rsidRPr="008714E3">
        <w:rPr>
          <w:sz w:val="24"/>
          <w:szCs w:val="24"/>
          <w:lang w:val="en-US"/>
        </w:rPr>
        <w:t>.   The position would have been different had it been shown that the Minister’s directive speci</w:t>
      </w:r>
      <w:r w:rsidR="00AF12AD" w:rsidRPr="008714E3">
        <w:rPr>
          <w:sz w:val="24"/>
          <w:szCs w:val="24"/>
          <w:lang w:val="en-US"/>
        </w:rPr>
        <w:t>fically</w:t>
      </w:r>
      <w:r w:rsidR="00A446C3" w:rsidRPr="008714E3">
        <w:rPr>
          <w:sz w:val="24"/>
          <w:szCs w:val="24"/>
          <w:lang w:val="en-US"/>
        </w:rPr>
        <w:t xml:space="preserve"> defined who a genuine and deserving tenant is, besides the years of tenancy, and equally which of the houses were to be retained by council with a specific criteria which criteria the applicant could argue covered her situation.</w:t>
      </w:r>
    </w:p>
    <w:p w:rsidR="00A446C3" w:rsidRPr="008714E3" w:rsidRDefault="000D3918" w:rsidP="00AF12AD">
      <w:pPr>
        <w:jc w:val="both"/>
        <w:rPr>
          <w:sz w:val="24"/>
          <w:szCs w:val="24"/>
          <w:lang w:val="en-US"/>
        </w:rPr>
      </w:pPr>
      <w:r>
        <w:rPr>
          <w:sz w:val="24"/>
          <w:szCs w:val="24"/>
          <w:lang w:val="en-US"/>
        </w:rPr>
        <w:tab/>
        <w:t>There was reference to</w:t>
      </w:r>
      <w:r w:rsidR="00A446C3" w:rsidRPr="008714E3">
        <w:rPr>
          <w:sz w:val="24"/>
          <w:szCs w:val="24"/>
          <w:lang w:val="en-US"/>
        </w:rPr>
        <w:t xml:space="preserve"> oth</w:t>
      </w:r>
      <w:r>
        <w:rPr>
          <w:sz w:val="24"/>
          <w:szCs w:val="24"/>
          <w:lang w:val="en-US"/>
        </w:rPr>
        <w:t>er council employees who benefi</w:t>
      </w:r>
      <w:r w:rsidR="00A446C3" w:rsidRPr="008714E3">
        <w:rPr>
          <w:sz w:val="24"/>
          <w:szCs w:val="24"/>
          <w:lang w:val="en-US"/>
        </w:rPr>
        <w:t>ted as a result of the directive but the 1</w:t>
      </w:r>
      <w:r w:rsidR="00A446C3" w:rsidRPr="008714E3">
        <w:rPr>
          <w:sz w:val="24"/>
          <w:szCs w:val="24"/>
          <w:vertAlign w:val="superscript"/>
          <w:lang w:val="en-US"/>
        </w:rPr>
        <w:t>st</w:t>
      </w:r>
      <w:r w:rsidR="00A446C3" w:rsidRPr="008714E3">
        <w:rPr>
          <w:sz w:val="24"/>
          <w:szCs w:val="24"/>
          <w:lang w:val="en-US"/>
        </w:rPr>
        <w:t xml:space="preserve"> respondent contended that there has been no suggestion or evidence that these tenants’ circumstances mirror the applicant’s.  One of the mentioned individuals, the former Town Clerk</w:t>
      </w:r>
      <w:r>
        <w:rPr>
          <w:sz w:val="24"/>
          <w:szCs w:val="24"/>
          <w:lang w:val="en-US"/>
        </w:rPr>
        <w:t>,</w:t>
      </w:r>
      <w:r w:rsidR="00A446C3" w:rsidRPr="008714E3">
        <w:rPr>
          <w:sz w:val="24"/>
          <w:szCs w:val="24"/>
          <w:lang w:val="en-US"/>
        </w:rPr>
        <w:t xml:space="preserve"> was said to have bought the house as</w:t>
      </w:r>
      <w:r>
        <w:rPr>
          <w:sz w:val="24"/>
          <w:szCs w:val="24"/>
          <w:lang w:val="en-US"/>
        </w:rPr>
        <w:t xml:space="preserve"> part of his retirement package and not as a result of the ministerial directive.</w:t>
      </w:r>
    </w:p>
    <w:p w:rsidR="005065BC" w:rsidRPr="008714E3" w:rsidRDefault="005065BC" w:rsidP="00AF12AD">
      <w:pPr>
        <w:jc w:val="both"/>
        <w:rPr>
          <w:sz w:val="24"/>
          <w:szCs w:val="24"/>
          <w:lang w:val="en-US"/>
        </w:rPr>
      </w:pPr>
      <w:r w:rsidRPr="008714E3">
        <w:rPr>
          <w:sz w:val="24"/>
          <w:szCs w:val="24"/>
          <w:lang w:val="en-US"/>
        </w:rPr>
        <w:tab/>
      </w:r>
      <w:r w:rsidR="000E3E40" w:rsidRPr="008714E3">
        <w:rPr>
          <w:sz w:val="24"/>
          <w:szCs w:val="24"/>
          <w:lang w:val="en-US"/>
        </w:rPr>
        <w:t>This court is therefore unable to hold th</w:t>
      </w:r>
      <w:r w:rsidR="004A50CC">
        <w:rPr>
          <w:sz w:val="24"/>
          <w:szCs w:val="24"/>
          <w:lang w:val="en-US"/>
        </w:rPr>
        <w:t>at the applicant was discriminated</w:t>
      </w:r>
      <w:r w:rsidR="000E3E40" w:rsidRPr="008714E3">
        <w:rPr>
          <w:sz w:val="24"/>
          <w:szCs w:val="24"/>
          <w:lang w:val="en-US"/>
        </w:rPr>
        <w:t xml:space="preserve"> against or that the 1</w:t>
      </w:r>
      <w:r w:rsidR="000E3E40" w:rsidRPr="008714E3">
        <w:rPr>
          <w:sz w:val="24"/>
          <w:szCs w:val="24"/>
          <w:vertAlign w:val="superscript"/>
          <w:lang w:val="en-US"/>
        </w:rPr>
        <w:t>st</w:t>
      </w:r>
      <w:r w:rsidR="000E3E40" w:rsidRPr="008714E3">
        <w:rPr>
          <w:sz w:val="24"/>
          <w:szCs w:val="24"/>
          <w:lang w:val="en-US"/>
        </w:rPr>
        <w:t xml:space="preserve"> respondent failed to act lawfully, reasonably or fairl</w:t>
      </w:r>
      <w:r w:rsidR="00AF12AD" w:rsidRPr="008714E3">
        <w:rPr>
          <w:sz w:val="24"/>
          <w:szCs w:val="24"/>
          <w:lang w:val="en-US"/>
        </w:rPr>
        <w:t>y.  There is no basis to hold that</w:t>
      </w:r>
      <w:r w:rsidR="000E3E40" w:rsidRPr="008714E3">
        <w:rPr>
          <w:sz w:val="24"/>
          <w:szCs w:val="24"/>
          <w:lang w:val="en-US"/>
        </w:rPr>
        <w:t xml:space="preserve"> the 1</w:t>
      </w:r>
      <w:r w:rsidR="000E3E40" w:rsidRPr="008714E3">
        <w:rPr>
          <w:sz w:val="24"/>
          <w:szCs w:val="24"/>
          <w:vertAlign w:val="superscript"/>
          <w:lang w:val="en-US"/>
        </w:rPr>
        <w:t>st</w:t>
      </w:r>
      <w:r w:rsidR="000E3E40" w:rsidRPr="008714E3">
        <w:rPr>
          <w:sz w:val="24"/>
          <w:szCs w:val="24"/>
          <w:lang w:val="en-US"/>
        </w:rPr>
        <w:t xml:space="preserve"> respondent showed disfavor to the applicant or that its decision is so un</w:t>
      </w:r>
      <w:r w:rsidR="00AF12AD" w:rsidRPr="008714E3">
        <w:rPr>
          <w:sz w:val="24"/>
          <w:szCs w:val="24"/>
          <w:lang w:val="en-US"/>
        </w:rPr>
        <w:t>r</w:t>
      </w:r>
      <w:r w:rsidR="000E3E40" w:rsidRPr="008714E3">
        <w:rPr>
          <w:sz w:val="24"/>
          <w:szCs w:val="24"/>
          <w:lang w:val="en-US"/>
        </w:rPr>
        <w:t>e</w:t>
      </w:r>
      <w:r w:rsidR="00AF12AD" w:rsidRPr="008714E3">
        <w:rPr>
          <w:sz w:val="24"/>
          <w:szCs w:val="24"/>
          <w:lang w:val="en-US"/>
        </w:rPr>
        <w:t>a</w:t>
      </w:r>
      <w:r w:rsidR="000E3E40" w:rsidRPr="008714E3">
        <w:rPr>
          <w:sz w:val="24"/>
          <w:szCs w:val="24"/>
          <w:lang w:val="en-US"/>
        </w:rPr>
        <w:t>sonable a</w:t>
      </w:r>
      <w:r w:rsidR="004A50CC">
        <w:rPr>
          <w:sz w:val="24"/>
          <w:szCs w:val="24"/>
          <w:lang w:val="en-US"/>
        </w:rPr>
        <w:t>s to warrant interference by this</w:t>
      </w:r>
      <w:r w:rsidR="000E3E40" w:rsidRPr="008714E3">
        <w:rPr>
          <w:sz w:val="24"/>
          <w:szCs w:val="24"/>
          <w:lang w:val="en-US"/>
        </w:rPr>
        <w:t xml:space="preserve"> court.</w:t>
      </w:r>
    </w:p>
    <w:p w:rsidR="000E3E40" w:rsidRPr="008714E3" w:rsidRDefault="000E3E40" w:rsidP="00AF12AD">
      <w:pPr>
        <w:jc w:val="both"/>
        <w:rPr>
          <w:sz w:val="24"/>
          <w:szCs w:val="24"/>
          <w:lang w:val="en-US"/>
        </w:rPr>
      </w:pPr>
      <w:r w:rsidRPr="008714E3">
        <w:rPr>
          <w:sz w:val="24"/>
          <w:szCs w:val="24"/>
          <w:lang w:val="en-US"/>
        </w:rPr>
        <w:tab/>
        <w:t>This court cannot impose a contract on the 1</w:t>
      </w:r>
      <w:r w:rsidRPr="008714E3">
        <w:rPr>
          <w:sz w:val="24"/>
          <w:szCs w:val="24"/>
          <w:vertAlign w:val="superscript"/>
          <w:lang w:val="en-US"/>
        </w:rPr>
        <w:t>st</w:t>
      </w:r>
      <w:r w:rsidR="00A86070">
        <w:rPr>
          <w:sz w:val="24"/>
          <w:szCs w:val="24"/>
          <w:lang w:val="en-US"/>
        </w:rPr>
        <w:t xml:space="preserve"> respondent by ordering it to offer</w:t>
      </w:r>
      <w:r w:rsidRPr="008714E3">
        <w:rPr>
          <w:sz w:val="24"/>
          <w:szCs w:val="24"/>
          <w:lang w:val="en-US"/>
        </w:rPr>
        <w:t xml:space="preserve"> the house</w:t>
      </w:r>
      <w:r w:rsidR="00A86070">
        <w:rPr>
          <w:sz w:val="24"/>
          <w:szCs w:val="24"/>
          <w:lang w:val="en-US"/>
        </w:rPr>
        <w:t xml:space="preserve"> in question to the applicant and</w:t>
      </w:r>
      <w:r w:rsidRPr="008714E3">
        <w:rPr>
          <w:sz w:val="24"/>
          <w:szCs w:val="24"/>
          <w:lang w:val="en-US"/>
        </w:rPr>
        <w:t xml:space="preserve"> to agree on a purchase price for it.  Contracts are entered into by consenting parties and courts come in when there is need to enforce such contracts or to interpret the terms thereof.</w:t>
      </w:r>
    </w:p>
    <w:p w:rsidR="000E3E40" w:rsidRPr="008714E3" w:rsidRDefault="000E3E40" w:rsidP="00AF12AD">
      <w:pPr>
        <w:jc w:val="both"/>
        <w:rPr>
          <w:sz w:val="24"/>
          <w:szCs w:val="24"/>
          <w:lang w:val="en-US"/>
        </w:rPr>
      </w:pPr>
      <w:r w:rsidRPr="008714E3">
        <w:rPr>
          <w:sz w:val="24"/>
          <w:szCs w:val="24"/>
          <w:lang w:val="en-US"/>
        </w:rPr>
        <w:tab/>
      </w:r>
      <w:r w:rsidR="00A86070">
        <w:rPr>
          <w:sz w:val="24"/>
          <w:szCs w:val="24"/>
          <w:lang w:val="en-US"/>
        </w:rPr>
        <w:t xml:space="preserve"> With that said, h</w:t>
      </w:r>
      <w:r w:rsidRPr="008714E3">
        <w:rPr>
          <w:sz w:val="24"/>
          <w:szCs w:val="24"/>
          <w:lang w:val="en-US"/>
        </w:rPr>
        <w:t>as the applicant made a case for the relief she seeks?  I would say the answer is in the negative.</w:t>
      </w:r>
    </w:p>
    <w:p w:rsidR="000E3E40" w:rsidRPr="008714E3" w:rsidRDefault="000E3E40" w:rsidP="00AF12AD">
      <w:pPr>
        <w:jc w:val="both"/>
        <w:rPr>
          <w:sz w:val="24"/>
          <w:szCs w:val="24"/>
          <w:lang w:val="en-US"/>
        </w:rPr>
      </w:pPr>
      <w:r w:rsidRPr="008714E3">
        <w:rPr>
          <w:sz w:val="24"/>
          <w:szCs w:val="24"/>
          <w:lang w:val="en-US"/>
        </w:rPr>
        <w:lastRenderedPageBreak/>
        <w:tab/>
        <w:t>The 1</w:t>
      </w:r>
      <w:r w:rsidRPr="008714E3">
        <w:rPr>
          <w:sz w:val="24"/>
          <w:szCs w:val="24"/>
          <w:vertAlign w:val="superscript"/>
          <w:lang w:val="en-US"/>
        </w:rPr>
        <w:t>st</w:t>
      </w:r>
      <w:r w:rsidRPr="008714E3">
        <w:rPr>
          <w:sz w:val="24"/>
          <w:szCs w:val="24"/>
          <w:lang w:val="en-US"/>
        </w:rPr>
        <w:t xml:space="preserve"> respondent asked for punitive costs.  I f</w:t>
      </w:r>
      <w:r w:rsidR="006B4F8A">
        <w:rPr>
          <w:sz w:val="24"/>
          <w:szCs w:val="24"/>
          <w:lang w:val="en-US"/>
        </w:rPr>
        <w:t>ind no justification to censure</w:t>
      </w:r>
      <w:r w:rsidRPr="008714E3">
        <w:rPr>
          <w:sz w:val="24"/>
          <w:szCs w:val="24"/>
          <w:lang w:val="en-US"/>
        </w:rPr>
        <w:t xml:space="preserve"> the applicant.  A case for punitive costs has consequently not been made.</w:t>
      </w:r>
    </w:p>
    <w:p w:rsidR="000E3E40" w:rsidRPr="008714E3" w:rsidRDefault="000E3E40" w:rsidP="00AF12AD">
      <w:pPr>
        <w:jc w:val="both"/>
        <w:rPr>
          <w:sz w:val="24"/>
          <w:szCs w:val="24"/>
          <w:lang w:val="en-US"/>
        </w:rPr>
      </w:pPr>
      <w:r w:rsidRPr="008714E3">
        <w:rPr>
          <w:sz w:val="24"/>
          <w:szCs w:val="24"/>
          <w:lang w:val="en-US"/>
        </w:rPr>
        <w:tab/>
        <w:t>In the result, I make the following order:</w:t>
      </w:r>
    </w:p>
    <w:p w:rsidR="000E3E40" w:rsidRPr="008714E3" w:rsidRDefault="000E3E40" w:rsidP="00AF12AD">
      <w:pPr>
        <w:pStyle w:val="ListParagraph"/>
        <w:numPr>
          <w:ilvl w:val="0"/>
          <w:numId w:val="2"/>
        </w:numPr>
        <w:jc w:val="both"/>
        <w:rPr>
          <w:sz w:val="24"/>
          <w:szCs w:val="24"/>
          <w:lang w:val="en-US"/>
        </w:rPr>
      </w:pPr>
      <w:r w:rsidRPr="008714E3">
        <w:rPr>
          <w:sz w:val="24"/>
          <w:szCs w:val="24"/>
          <w:lang w:val="en-US"/>
        </w:rPr>
        <w:t>The application be and is hereby dismissed.</w:t>
      </w:r>
    </w:p>
    <w:p w:rsidR="000E3E40" w:rsidRPr="008714E3" w:rsidRDefault="000E3E40" w:rsidP="00AF12AD">
      <w:pPr>
        <w:pStyle w:val="ListParagraph"/>
        <w:numPr>
          <w:ilvl w:val="0"/>
          <w:numId w:val="2"/>
        </w:numPr>
        <w:jc w:val="both"/>
        <w:rPr>
          <w:sz w:val="24"/>
          <w:szCs w:val="24"/>
          <w:lang w:val="en-US"/>
        </w:rPr>
      </w:pPr>
      <w:r w:rsidRPr="008714E3">
        <w:rPr>
          <w:sz w:val="24"/>
          <w:szCs w:val="24"/>
          <w:lang w:val="en-US"/>
        </w:rPr>
        <w:t>The applicant shall pay costs at the ordinary scale.</w:t>
      </w:r>
    </w:p>
    <w:p w:rsidR="000E3E40" w:rsidRPr="008714E3" w:rsidRDefault="000E3E40" w:rsidP="00AF12AD">
      <w:pPr>
        <w:jc w:val="both"/>
        <w:rPr>
          <w:sz w:val="24"/>
          <w:szCs w:val="24"/>
          <w:lang w:val="en-US"/>
        </w:rPr>
      </w:pPr>
    </w:p>
    <w:p w:rsidR="00AF12AD" w:rsidRPr="008714E3" w:rsidRDefault="00AF12AD" w:rsidP="00AF12AD">
      <w:pPr>
        <w:jc w:val="both"/>
        <w:rPr>
          <w:sz w:val="24"/>
          <w:szCs w:val="24"/>
          <w:lang w:val="en-US"/>
        </w:rPr>
      </w:pPr>
    </w:p>
    <w:p w:rsidR="00AF12AD" w:rsidRPr="008714E3" w:rsidRDefault="00AF12AD" w:rsidP="00AF12AD">
      <w:pPr>
        <w:jc w:val="both"/>
        <w:rPr>
          <w:sz w:val="24"/>
          <w:szCs w:val="24"/>
          <w:lang w:val="en-US"/>
        </w:rPr>
      </w:pPr>
    </w:p>
    <w:p w:rsidR="000E3E40" w:rsidRPr="008714E3" w:rsidRDefault="000E3E40" w:rsidP="00AF12AD">
      <w:pPr>
        <w:pStyle w:val="NoSpacing"/>
        <w:jc w:val="both"/>
        <w:rPr>
          <w:sz w:val="24"/>
          <w:szCs w:val="24"/>
          <w:lang w:val="en-US"/>
        </w:rPr>
      </w:pPr>
      <w:r w:rsidRPr="008714E3">
        <w:rPr>
          <w:i/>
          <w:sz w:val="24"/>
          <w:szCs w:val="24"/>
          <w:lang w:val="en-US"/>
        </w:rPr>
        <w:t>Advocate Siziba Chambers, c/o Phundu &amp; Company,</w:t>
      </w:r>
      <w:r w:rsidRPr="008714E3">
        <w:rPr>
          <w:sz w:val="24"/>
          <w:szCs w:val="24"/>
          <w:lang w:val="en-US"/>
        </w:rPr>
        <w:t xml:space="preserve"> applicant’s legal practitioners</w:t>
      </w:r>
    </w:p>
    <w:p w:rsidR="000E3E40" w:rsidRDefault="000E3E40" w:rsidP="00AF12AD">
      <w:pPr>
        <w:pStyle w:val="NoSpacing"/>
        <w:jc w:val="both"/>
        <w:rPr>
          <w:sz w:val="24"/>
          <w:szCs w:val="24"/>
          <w:lang w:val="en-US"/>
        </w:rPr>
      </w:pPr>
      <w:r w:rsidRPr="008714E3">
        <w:rPr>
          <w:i/>
          <w:sz w:val="24"/>
          <w:szCs w:val="24"/>
          <w:lang w:val="en-US"/>
        </w:rPr>
        <w:t>Mutatu &amp; Partners c/o Mutatu, Masamvu &amp; Da Silver-Gustavo Law Chambers</w:t>
      </w:r>
      <w:r w:rsidRPr="008714E3">
        <w:rPr>
          <w:sz w:val="24"/>
          <w:szCs w:val="24"/>
          <w:lang w:val="en-US"/>
        </w:rPr>
        <w:t>, 1</w:t>
      </w:r>
      <w:r w:rsidRPr="008714E3">
        <w:rPr>
          <w:sz w:val="24"/>
          <w:szCs w:val="24"/>
          <w:vertAlign w:val="superscript"/>
          <w:lang w:val="en-US"/>
        </w:rPr>
        <w:t>st</w:t>
      </w:r>
      <w:r w:rsidRPr="008714E3">
        <w:rPr>
          <w:sz w:val="24"/>
          <w:szCs w:val="24"/>
          <w:lang w:val="en-US"/>
        </w:rPr>
        <w:t xml:space="preserve"> respondent’s l</w:t>
      </w:r>
      <w:r w:rsidR="009931B4" w:rsidRPr="008714E3">
        <w:rPr>
          <w:sz w:val="24"/>
          <w:szCs w:val="24"/>
          <w:lang w:val="en-US"/>
        </w:rPr>
        <w:t>e</w:t>
      </w:r>
      <w:r w:rsidRPr="008714E3">
        <w:rPr>
          <w:sz w:val="24"/>
          <w:szCs w:val="24"/>
          <w:lang w:val="en-US"/>
        </w:rPr>
        <w:t>gal pract</w:t>
      </w:r>
      <w:r w:rsidR="009931B4" w:rsidRPr="008714E3">
        <w:rPr>
          <w:sz w:val="24"/>
          <w:szCs w:val="24"/>
          <w:lang w:val="en-US"/>
        </w:rPr>
        <w:t>i</w:t>
      </w:r>
      <w:r w:rsidRPr="008714E3">
        <w:rPr>
          <w:sz w:val="24"/>
          <w:szCs w:val="24"/>
          <w:lang w:val="en-US"/>
        </w:rPr>
        <w:t>tioners</w:t>
      </w:r>
    </w:p>
    <w:p w:rsidR="00B26D5B" w:rsidRPr="008714E3" w:rsidRDefault="00B26D5B" w:rsidP="00AF12AD">
      <w:pPr>
        <w:pStyle w:val="NoSpacing"/>
        <w:jc w:val="both"/>
        <w:rPr>
          <w:sz w:val="24"/>
          <w:szCs w:val="24"/>
          <w:lang w:val="en-US"/>
        </w:rPr>
      </w:pPr>
      <w:r w:rsidRPr="00B26D5B">
        <w:rPr>
          <w:i/>
          <w:sz w:val="24"/>
          <w:szCs w:val="24"/>
          <w:lang w:val="en-US"/>
        </w:rPr>
        <w:t>Civil Division of the Attorney General’s Office</w:t>
      </w:r>
      <w:r>
        <w:rPr>
          <w:sz w:val="24"/>
          <w:szCs w:val="24"/>
          <w:lang w:val="en-US"/>
        </w:rPr>
        <w:t>, 2</w:t>
      </w:r>
      <w:r w:rsidRPr="00B26D5B">
        <w:rPr>
          <w:sz w:val="24"/>
          <w:szCs w:val="24"/>
          <w:vertAlign w:val="superscript"/>
          <w:lang w:val="en-US"/>
        </w:rPr>
        <w:t>nd</w:t>
      </w:r>
      <w:r>
        <w:rPr>
          <w:sz w:val="24"/>
          <w:szCs w:val="24"/>
          <w:lang w:val="en-US"/>
        </w:rPr>
        <w:t xml:space="preserve"> – 4</w:t>
      </w:r>
      <w:r w:rsidRPr="00B26D5B">
        <w:rPr>
          <w:sz w:val="24"/>
          <w:szCs w:val="24"/>
          <w:vertAlign w:val="superscript"/>
          <w:lang w:val="en-US"/>
        </w:rPr>
        <w:t>th</w:t>
      </w:r>
      <w:r>
        <w:rPr>
          <w:sz w:val="24"/>
          <w:szCs w:val="24"/>
          <w:lang w:val="en-US"/>
        </w:rPr>
        <w:t xml:space="preserve"> respondents’ legal practitioners</w:t>
      </w:r>
    </w:p>
    <w:p w:rsidR="000E3E40" w:rsidRPr="008714E3" w:rsidRDefault="000E3E40" w:rsidP="00AF12AD">
      <w:pPr>
        <w:pStyle w:val="NoSpacing"/>
        <w:jc w:val="both"/>
        <w:rPr>
          <w:sz w:val="24"/>
          <w:szCs w:val="24"/>
          <w:lang w:val="en-US"/>
        </w:rPr>
      </w:pPr>
    </w:p>
    <w:p w:rsidR="000E3E40" w:rsidRPr="008714E3" w:rsidRDefault="000E3E40" w:rsidP="00AF12AD">
      <w:pPr>
        <w:jc w:val="both"/>
        <w:rPr>
          <w:sz w:val="24"/>
          <w:szCs w:val="24"/>
          <w:lang w:val="en-US"/>
        </w:rPr>
      </w:pPr>
      <w:bookmarkStart w:id="0" w:name="_GoBack"/>
      <w:bookmarkEnd w:id="0"/>
    </w:p>
    <w:sectPr w:rsidR="000E3E40" w:rsidRPr="008714E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000" w:rsidRDefault="00E23000" w:rsidP="009931B4">
      <w:pPr>
        <w:spacing w:after="0" w:line="240" w:lineRule="auto"/>
      </w:pPr>
      <w:r>
        <w:separator/>
      </w:r>
    </w:p>
  </w:endnote>
  <w:endnote w:type="continuationSeparator" w:id="0">
    <w:p w:rsidR="00E23000" w:rsidRDefault="00E23000" w:rsidP="0099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000" w:rsidRDefault="00E23000" w:rsidP="009931B4">
      <w:pPr>
        <w:spacing w:after="0" w:line="240" w:lineRule="auto"/>
      </w:pPr>
      <w:r>
        <w:separator/>
      </w:r>
    </w:p>
  </w:footnote>
  <w:footnote w:type="continuationSeparator" w:id="0">
    <w:p w:rsidR="00E23000" w:rsidRDefault="00E23000" w:rsidP="00993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27811"/>
      <w:docPartObj>
        <w:docPartGallery w:val="Page Numbers (Top of Page)"/>
        <w:docPartUnique/>
      </w:docPartObj>
    </w:sdtPr>
    <w:sdtEndPr>
      <w:rPr>
        <w:noProof/>
      </w:rPr>
    </w:sdtEndPr>
    <w:sdtContent>
      <w:p w:rsidR="009931B4" w:rsidRDefault="009931B4">
        <w:pPr>
          <w:pStyle w:val="Header"/>
          <w:jc w:val="right"/>
          <w:rPr>
            <w:noProof/>
          </w:rPr>
        </w:pPr>
        <w:r>
          <w:fldChar w:fldCharType="begin"/>
        </w:r>
        <w:r>
          <w:instrText xml:space="preserve"> PAGE   \* MERGEFORMAT </w:instrText>
        </w:r>
        <w:r>
          <w:fldChar w:fldCharType="separate"/>
        </w:r>
        <w:r w:rsidR="00B26D5B">
          <w:rPr>
            <w:noProof/>
          </w:rPr>
          <w:t>8</w:t>
        </w:r>
        <w:r>
          <w:rPr>
            <w:noProof/>
          </w:rPr>
          <w:fldChar w:fldCharType="end"/>
        </w:r>
      </w:p>
      <w:p w:rsidR="009931B4" w:rsidRDefault="009931B4">
        <w:pPr>
          <w:pStyle w:val="Header"/>
          <w:jc w:val="right"/>
          <w:rPr>
            <w:noProof/>
          </w:rPr>
        </w:pPr>
        <w:r>
          <w:rPr>
            <w:noProof/>
          </w:rPr>
          <w:t>HB</w:t>
        </w:r>
        <w:r w:rsidR="000654E8">
          <w:rPr>
            <w:noProof/>
          </w:rPr>
          <w:t xml:space="preserve"> 154</w:t>
        </w:r>
        <w:r>
          <w:rPr>
            <w:noProof/>
          </w:rPr>
          <w:t>/22</w:t>
        </w:r>
      </w:p>
      <w:p w:rsidR="009931B4" w:rsidRDefault="009931B4">
        <w:pPr>
          <w:pStyle w:val="Header"/>
          <w:jc w:val="right"/>
        </w:pPr>
        <w:r>
          <w:rPr>
            <w:noProof/>
          </w:rPr>
          <w:t>HC 1476/20</w:t>
        </w:r>
      </w:p>
    </w:sdtContent>
  </w:sdt>
  <w:p w:rsidR="009931B4" w:rsidRDefault="009931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80CBB"/>
    <w:multiLevelType w:val="hybridMultilevel"/>
    <w:tmpl w:val="5AB2FC78"/>
    <w:lvl w:ilvl="0" w:tplc="4894C588">
      <w:start w:val="1"/>
      <w:numFmt w:val="upperLetter"/>
      <w:lvlText w:val="%1."/>
      <w:lvlJc w:val="left"/>
      <w:pPr>
        <w:ind w:left="720" w:hanging="360"/>
      </w:pPr>
      <w:rPr>
        <w:rFonts w:ascii="Times New Roman" w:eastAsiaTheme="minorHAnsi" w:hAnsi="Times New Roman"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A7872C9"/>
    <w:multiLevelType w:val="hybridMultilevel"/>
    <w:tmpl w:val="5D284A84"/>
    <w:lvl w:ilvl="0" w:tplc="B99C0D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DD8"/>
    <w:rsid w:val="00000253"/>
    <w:rsid w:val="00051256"/>
    <w:rsid w:val="000654E8"/>
    <w:rsid w:val="00072822"/>
    <w:rsid w:val="000C0FE7"/>
    <w:rsid w:val="000C6A7F"/>
    <w:rsid w:val="000D3918"/>
    <w:rsid w:val="000D7D1B"/>
    <w:rsid w:val="000E3E40"/>
    <w:rsid w:val="00145A43"/>
    <w:rsid w:val="00167019"/>
    <w:rsid w:val="001D54A5"/>
    <w:rsid w:val="00253E9E"/>
    <w:rsid w:val="002C275D"/>
    <w:rsid w:val="002D2E66"/>
    <w:rsid w:val="00363182"/>
    <w:rsid w:val="00390DAE"/>
    <w:rsid w:val="003C335B"/>
    <w:rsid w:val="003D03D2"/>
    <w:rsid w:val="00417BEE"/>
    <w:rsid w:val="00440C62"/>
    <w:rsid w:val="004A50CC"/>
    <w:rsid w:val="004B3CA3"/>
    <w:rsid w:val="00504B48"/>
    <w:rsid w:val="005065BC"/>
    <w:rsid w:val="0051111A"/>
    <w:rsid w:val="005140A0"/>
    <w:rsid w:val="00567BD8"/>
    <w:rsid w:val="00586791"/>
    <w:rsid w:val="00597A2E"/>
    <w:rsid w:val="005B2472"/>
    <w:rsid w:val="005E4A56"/>
    <w:rsid w:val="00670CAE"/>
    <w:rsid w:val="006A6E96"/>
    <w:rsid w:val="006B4F8A"/>
    <w:rsid w:val="006B50B6"/>
    <w:rsid w:val="00701DA7"/>
    <w:rsid w:val="00713700"/>
    <w:rsid w:val="00745A31"/>
    <w:rsid w:val="00773E65"/>
    <w:rsid w:val="007A0EAC"/>
    <w:rsid w:val="007C30A3"/>
    <w:rsid w:val="007E62B0"/>
    <w:rsid w:val="0080652D"/>
    <w:rsid w:val="00812BB6"/>
    <w:rsid w:val="008153C1"/>
    <w:rsid w:val="008714E3"/>
    <w:rsid w:val="00882BE6"/>
    <w:rsid w:val="008E2C17"/>
    <w:rsid w:val="00937364"/>
    <w:rsid w:val="009931B4"/>
    <w:rsid w:val="00994A7C"/>
    <w:rsid w:val="009966A5"/>
    <w:rsid w:val="00996C20"/>
    <w:rsid w:val="009D04B9"/>
    <w:rsid w:val="00A027D8"/>
    <w:rsid w:val="00A41A4F"/>
    <w:rsid w:val="00A446C3"/>
    <w:rsid w:val="00A572AA"/>
    <w:rsid w:val="00A57F64"/>
    <w:rsid w:val="00A715BC"/>
    <w:rsid w:val="00A86070"/>
    <w:rsid w:val="00AF12AD"/>
    <w:rsid w:val="00B079EC"/>
    <w:rsid w:val="00B26D5B"/>
    <w:rsid w:val="00B9355E"/>
    <w:rsid w:val="00B93873"/>
    <w:rsid w:val="00C5024C"/>
    <w:rsid w:val="00C86DD8"/>
    <w:rsid w:val="00CB7D07"/>
    <w:rsid w:val="00D277AB"/>
    <w:rsid w:val="00D41B03"/>
    <w:rsid w:val="00D5227C"/>
    <w:rsid w:val="00D84DB8"/>
    <w:rsid w:val="00D85851"/>
    <w:rsid w:val="00D923F0"/>
    <w:rsid w:val="00E23000"/>
    <w:rsid w:val="00F46A47"/>
    <w:rsid w:val="00F509F9"/>
    <w:rsid w:val="00F67D67"/>
    <w:rsid w:val="00F90589"/>
    <w:rsid w:val="00F91910"/>
    <w:rsid w:val="00FD00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27663-9353-4B3E-9275-72FC101C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DD8"/>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6DD8"/>
    <w:pPr>
      <w:spacing w:after="0" w:line="240" w:lineRule="auto"/>
    </w:pPr>
    <w:rPr>
      <w:rFonts w:ascii="Times New Roman" w:hAnsi="Times New Roman"/>
      <w:sz w:val="28"/>
    </w:rPr>
  </w:style>
  <w:style w:type="paragraph" w:styleId="ListParagraph">
    <w:name w:val="List Paragraph"/>
    <w:basedOn w:val="Normal"/>
    <w:uiPriority w:val="34"/>
    <w:qFormat/>
    <w:rsid w:val="000E3E40"/>
    <w:pPr>
      <w:ind w:left="720"/>
      <w:contextualSpacing/>
    </w:pPr>
  </w:style>
  <w:style w:type="paragraph" w:styleId="Header">
    <w:name w:val="header"/>
    <w:basedOn w:val="Normal"/>
    <w:link w:val="HeaderChar"/>
    <w:uiPriority w:val="99"/>
    <w:unhideWhenUsed/>
    <w:rsid w:val="00993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1B4"/>
    <w:rPr>
      <w:rFonts w:ascii="Times New Roman" w:hAnsi="Times New Roman"/>
      <w:sz w:val="28"/>
    </w:rPr>
  </w:style>
  <w:style w:type="paragraph" w:styleId="Footer">
    <w:name w:val="footer"/>
    <w:basedOn w:val="Normal"/>
    <w:link w:val="FooterChar"/>
    <w:uiPriority w:val="99"/>
    <w:unhideWhenUsed/>
    <w:rsid w:val="00993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1B4"/>
    <w:rPr>
      <w:rFonts w:ascii="Times New Roman" w:hAnsi="Times New Roman"/>
      <w:sz w:val="28"/>
    </w:rPr>
  </w:style>
  <w:style w:type="paragraph" w:styleId="BalloonText">
    <w:name w:val="Balloon Text"/>
    <w:basedOn w:val="Normal"/>
    <w:link w:val="BalloonTextChar"/>
    <w:uiPriority w:val="99"/>
    <w:semiHidden/>
    <w:unhideWhenUsed/>
    <w:rsid w:val="00065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4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776</TotalTime>
  <Pages>9</Pages>
  <Words>2984</Words>
  <Characters>17011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67</cp:revision>
  <cp:lastPrinted>2022-06-14T13:05:00Z</cp:lastPrinted>
  <dcterms:created xsi:type="dcterms:W3CDTF">2022-06-10T05:43:00Z</dcterms:created>
  <dcterms:modified xsi:type="dcterms:W3CDTF">2022-06-15T09:33:00Z</dcterms:modified>
</cp:coreProperties>
</file>