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DDF" w:rsidRDefault="00C06FF4" w:rsidP="003039A8">
      <w:pPr>
        <w:pStyle w:val="NoSpacing"/>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3039A8">
        <w:rPr>
          <w:rFonts w:ascii="Times New Roman" w:hAnsi="Times New Roman" w:cs="Times New Roman"/>
          <w:sz w:val="24"/>
          <w:szCs w:val="24"/>
        </w:rPr>
        <w:t>CHIPO DHLIWAYO</w:t>
      </w:r>
    </w:p>
    <w:p w:rsidR="0081013D" w:rsidRPr="00902F2A" w:rsidRDefault="009B4612" w:rsidP="00DC2A46">
      <w:pPr>
        <w:pStyle w:val="NoSpacing"/>
        <w:rPr>
          <w:rFonts w:ascii="Times New Roman" w:hAnsi="Times New Roman" w:cs="Times New Roman"/>
          <w:sz w:val="24"/>
          <w:szCs w:val="24"/>
        </w:rPr>
      </w:pPr>
      <w:r w:rsidRPr="00902F2A">
        <w:rPr>
          <w:rFonts w:ascii="Times New Roman" w:hAnsi="Times New Roman" w:cs="Times New Roman"/>
          <w:sz w:val="24"/>
          <w:szCs w:val="24"/>
        </w:rPr>
        <w:t>v</w:t>
      </w:r>
      <w:r w:rsidR="00673887" w:rsidRPr="00902F2A">
        <w:rPr>
          <w:rFonts w:ascii="Times New Roman" w:hAnsi="Times New Roman" w:cs="Times New Roman"/>
          <w:sz w:val="24"/>
          <w:szCs w:val="24"/>
        </w:rPr>
        <w:t>ersus</w:t>
      </w:r>
    </w:p>
    <w:p w:rsidR="003039A8" w:rsidRDefault="003039A8" w:rsidP="001A4E4C">
      <w:pPr>
        <w:pStyle w:val="NoSpacing"/>
        <w:rPr>
          <w:rFonts w:ascii="Times New Roman" w:hAnsi="Times New Roman" w:cs="Times New Roman"/>
          <w:sz w:val="24"/>
          <w:szCs w:val="24"/>
        </w:rPr>
      </w:pPr>
      <w:r>
        <w:rPr>
          <w:rFonts w:ascii="Times New Roman" w:hAnsi="Times New Roman" w:cs="Times New Roman"/>
          <w:sz w:val="24"/>
          <w:szCs w:val="24"/>
        </w:rPr>
        <w:t>TINASHE M. ZENDA</w:t>
      </w:r>
    </w:p>
    <w:p w:rsidR="003039A8" w:rsidRDefault="003039A8" w:rsidP="001A4E4C">
      <w:pPr>
        <w:pStyle w:val="NoSpacing"/>
        <w:rPr>
          <w:rFonts w:ascii="Times New Roman" w:hAnsi="Times New Roman" w:cs="Times New Roman"/>
          <w:sz w:val="24"/>
          <w:szCs w:val="24"/>
        </w:rPr>
      </w:pPr>
      <w:r>
        <w:rPr>
          <w:rFonts w:ascii="Times New Roman" w:hAnsi="Times New Roman" w:cs="Times New Roman"/>
          <w:sz w:val="24"/>
          <w:szCs w:val="24"/>
        </w:rPr>
        <w:t xml:space="preserve">(In his capacity as the Executor Dative to </w:t>
      </w:r>
    </w:p>
    <w:p w:rsidR="002D1DDF" w:rsidRDefault="003039A8" w:rsidP="001A4E4C">
      <w:pPr>
        <w:pStyle w:val="NoSpacing"/>
        <w:rPr>
          <w:rFonts w:ascii="Times New Roman" w:hAnsi="Times New Roman" w:cs="Times New Roman"/>
          <w:sz w:val="24"/>
          <w:szCs w:val="24"/>
        </w:rPr>
      </w:pPr>
      <w:r>
        <w:rPr>
          <w:rFonts w:ascii="Times New Roman" w:hAnsi="Times New Roman" w:cs="Times New Roman"/>
          <w:sz w:val="24"/>
          <w:szCs w:val="24"/>
        </w:rPr>
        <w:t>Estate Late Rogers Dhliwayo DR2005/15)</w:t>
      </w:r>
    </w:p>
    <w:p w:rsidR="00902F54" w:rsidRDefault="00902F54" w:rsidP="001A4E4C">
      <w:pPr>
        <w:pStyle w:val="NoSpacing"/>
        <w:rPr>
          <w:rFonts w:ascii="Times New Roman" w:hAnsi="Times New Roman" w:cs="Times New Roman"/>
          <w:sz w:val="24"/>
          <w:szCs w:val="24"/>
        </w:rPr>
      </w:pPr>
      <w:r>
        <w:rPr>
          <w:rFonts w:ascii="Times New Roman" w:hAnsi="Times New Roman" w:cs="Times New Roman"/>
          <w:sz w:val="24"/>
          <w:szCs w:val="24"/>
        </w:rPr>
        <w:t>and</w:t>
      </w:r>
    </w:p>
    <w:p w:rsidR="002D1DDF" w:rsidRDefault="003039A8" w:rsidP="001A4E4C">
      <w:pPr>
        <w:pStyle w:val="NoSpacing"/>
        <w:rPr>
          <w:rFonts w:ascii="Times New Roman" w:hAnsi="Times New Roman" w:cs="Times New Roman"/>
          <w:sz w:val="24"/>
          <w:szCs w:val="24"/>
        </w:rPr>
      </w:pPr>
      <w:r>
        <w:rPr>
          <w:rFonts w:ascii="Times New Roman" w:hAnsi="Times New Roman" w:cs="Times New Roman"/>
          <w:sz w:val="24"/>
          <w:szCs w:val="24"/>
        </w:rPr>
        <w:t>THE MASTER OF THE HIGH COURT N.O.</w:t>
      </w:r>
    </w:p>
    <w:p w:rsidR="00902F54" w:rsidRDefault="00E97E19" w:rsidP="001A4E4C">
      <w:pPr>
        <w:pStyle w:val="NoSpacing"/>
        <w:rPr>
          <w:rFonts w:ascii="Times New Roman" w:hAnsi="Times New Roman" w:cs="Times New Roman"/>
          <w:sz w:val="24"/>
          <w:szCs w:val="24"/>
        </w:rPr>
      </w:pPr>
      <w:r>
        <w:rPr>
          <w:rFonts w:ascii="Times New Roman" w:hAnsi="Times New Roman" w:cs="Times New Roman"/>
          <w:sz w:val="24"/>
          <w:szCs w:val="24"/>
        </w:rPr>
        <w:t>a</w:t>
      </w:r>
      <w:r w:rsidR="00902F54">
        <w:rPr>
          <w:rFonts w:ascii="Times New Roman" w:hAnsi="Times New Roman" w:cs="Times New Roman"/>
          <w:sz w:val="24"/>
          <w:szCs w:val="24"/>
        </w:rPr>
        <w:t>nd</w:t>
      </w:r>
    </w:p>
    <w:p w:rsidR="003039A8" w:rsidRDefault="003039A8" w:rsidP="001A4E4C">
      <w:pPr>
        <w:pStyle w:val="NoSpacing"/>
        <w:rPr>
          <w:rFonts w:ascii="Times New Roman" w:hAnsi="Times New Roman" w:cs="Times New Roman"/>
          <w:sz w:val="24"/>
          <w:szCs w:val="24"/>
        </w:rPr>
      </w:pPr>
      <w:r>
        <w:rPr>
          <w:rFonts w:ascii="Times New Roman" w:hAnsi="Times New Roman" w:cs="Times New Roman"/>
          <w:sz w:val="24"/>
          <w:szCs w:val="24"/>
        </w:rPr>
        <w:t>SHAMISO DANISA</w:t>
      </w:r>
    </w:p>
    <w:p w:rsidR="003039A8" w:rsidRDefault="003039A8" w:rsidP="001A4E4C">
      <w:pPr>
        <w:pStyle w:val="NoSpacing"/>
        <w:rPr>
          <w:rFonts w:ascii="Times New Roman" w:hAnsi="Times New Roman" w:cs="Times New Roman"/>
          <w:sz w:val="24"/>
          <w:szCs w:val="24"/>
        </w:rPr>
      </w:pPr>
      <w:r>
        <w:rPr>
          <w:rFonts w:ascii="Times New Roman" w:hAnsi="Times New Roman" w:cs="Times New Roman"/>
          <w:sz w:val="24"/>
          <w:szCs w:val="24"/>
        </w:rPr>
        <w:t xml:space="preserve">(In her capacity as guardian for minor children </w:t>
      </w:r>
    </w:p>
    <w:p w:rsidR="002D1DDF" w:rsidRDefault="003039A8" w:rsidP="001A4E4C">
      <w:pPr>
        <w:pStyle w:val="NoSpacing"/>
        <w:rPr>
          <w:rFonts w:ascii="Times New Roman" w:hAnsi="Times New Roman" w:cs="Times New Roman"/>
          <w:sz w:val="24"/>
          <w:szCs w:val="24"/>
        </w:rPr>
      </w:pPr>
      <w:r>
        <w:rPr>
          <w:rFonts w:ascii="Times New Roman" w:hAnsi="Times New Roman" w:cs="Times New Roman"/>
          <w:sz w:val="24"/>
          <w:szCs w:val="24"/>
        </w:rPr>
        <w:t>Zandile E Danisa and Akhumuzi Justin Danisa)</w:t>
      </w:r>
      <w:r w:rsidR="002D1DDF">
        <w:rPr>
          <w:rFonts w:ascii="Times New Roman" w:hAnsi="Times New Roman" w:cs="Times New Roman"/>
          <w:sz w:val="24"/>
          <w:szCs w:val="24"/>
        </w:rPr>
        <w:t>.</w:t>
      </w: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3039A8">
        <w:rPr>
          <w:rFonts w:ascii="Times New Roman" w:hAnsi="Times New Roman" w:cs="Times New Roman"/>
          <w:sz w:val="24"/>
          <w:szCs w:val="24"/>
        </w:rPr>
        <w:t>2</w:t>
      </w:r>
      <w:r w:rsidR="00902F54">
        <w:rPr>
          <w:rFonts w:ascii="Times New Roman" w:hAnsi="Times New Roman" w:cs="Times New Roman"/>
          <w:sz w:val="24"/>
          <w:szCs w:val="24"/>
        </w:rPr>
        <w:t>5</w:t>
      </w:r>
      <w:r w:rsidR="002D1DDF">
        <w:rPr>
          <w:rFonts w:ascii="Times New Roman" w:hAnsi="Times New Roman" w:cs="Times New Roman"/>
          <w:sz w:val="24"/>
          <w:szCs w:val="24"/>
        </w:rPr>
        <w:t>,</w:t>
      </w:r>
      <w:r w:rsidR="003039A8">
        <w:rPr>
          <w:rFonts w:ascii="Times New Roman" w:hAnsi="Times New Roman" w:cs="Times New Roman"/>
          <w:sz w:val="24"/>
          <w:szCs w:val="24"/>
        </w:rPr>
        <w:t xml:space="preserve"> </w:t>
      </w:r>
      <w:r w:rsidR="001A4E4C">
        <w:rPr>
          <w:rFonts w:ascii="Times New Roman" w:hAnsi="Times New Roman" w:cs="Times New Roman"/>
          <w:sz w:val="24"/>
          <w:szCs w:val="24"/>
        </w:rPr>
        <w:t>March</w:t>
      </w:r>
      <w:r w:rsidR="00902F54">
        <w:rPr>
          <w:rFonts w:ascii="Times New Roman" w:hAnsi="Times New Roman" w:cs="Times New Roman"/>
          <w:sz w:val="24"/>
          <w:szCs w:val="24"/>
        </w:rPr>
        <w:t xml:space="preserve"> &amp;</w:t>
      </w:r>
      <w:r w:rsidR="001A4E4C">
        <w:rPr>
          <w:rFonts w:ascii="Times New Roman" w:hAnsi="Times New Roman" w:cs="Times New Roman"/>
          <w:sz w:val="24"/>
          <w:szCs w:val="24"/>
        </w:rPr>
        <w:t xml:space="preserve"> </w:t>
      </w:r>
      <w:r w:rsidR="001D05CA">
        <w:rPr>
          <w:rFonts w:ascii="Times New Roman" w:hAnsi="Times New Roman" w:cs="Times New Roman"/>
          <w:sz w:val="24"/>
          <w:szCs w:val="24"/>
        </w:rPr>
        <w:t>28 April</w:t>
      </w:r>
      <w:r w:rsidR="001A4E4C">
        <w:rPr>
          <w:rFonts w:ascii="Times New Roman" w:hAnsi="Times New Roman" w:cs="Times New Roman"/>
          <w:sz w:val="24"/>
          <w:szCs w:val="24"/>
        </w:rPr>
        <w:t xml:space="preserve"> 2021</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D47206" w:rsidRDefault="00AD30D7" w:rsidP="00D47206">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7A0ADB">
        <w:rPr>
          <w:rFonts w:ascii="Times New Roman" w:hAnsi="Times New Roman" w:cs="Times New Roman"/>
          <w:b/>
          <w:sz w:val="24"/>
          <w:szCs w:val="24"/>
        </w:rPr>
        <w:t>–</w:t>
      </w:r>
      <w:r w:rsidR="00B27F25">
        <w:rPr>
          <w:rFonts w:ascii="Times New Roman" w:hAnsi="Times New Roman" w:cs="Times New Roman"/>
          <w:b/>
          <w:sz w:val="24"/>
          <w:szCs w:val="24"/>
        </w:rPr>
        <w:t xml:space="preserve"> </w:t>
      </w:r>
      <w:r w:rsidR="003039A8">
        <w:rPr>
          <w:rFonts w:ascii="Times New Roman" w:hAnsi="Times New Roman" w:cs="Times New Roman"/>
          <w:b/>
          <w:sz w:val="24"/>
          <w:szCs w:val="24"/>
        </w:rPr>
        <w:t>Cancellation of agreement of sale</w:t>
      </w:r>
    </w:p>
    <w:p w:rsidR="00902F54" w:rsidRDefault="00902F54" w:rsidP="00D47206">
      <w:pPr>
        <w:tabs>
          <w:tab w:val="left" w:pos="5025"/>
        </w:tabs>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2D1DDF"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sidR="003039A8">
        <w:rPr>
          <w:rFonts w:ascii="Times New Roman" w:hAnsi="Times New Roman" w:cs="Times New Roman"/>
          <w:i/>
          <w:sz w:val="24"/>
          <w:szCs w:val="24"/>
        </w:rPr>
        <w:t>N Musviba</w:t>
      </w:r>
      <w:r w:rsidR="00902F54">
        <w:rPr>
          <w:rFonts w:ascii="Times New Roman" w:hAnsi="Times New Roman" w:cs="Times New Roman"/>
          <w:i/>
          <w:sz w:val="24"/>
          <w:szCs w:val="24"/>
        </w:rPr>
        <w:t>,</w:t>
      </w:r>
      <w:r w:rsidR="00A011B9">
        <w:rPr>
          <w:rFonts w:ascii="Times New Roman" w:hAnsi="Times New Roman" w:cs="Times New Roman"/>
          <w:i/>
          <w:sz w:val="24"/>
          <w:szCs w:val="24"/>
        </w:rPr>
        <w:t xml:space="preserve"> </w:t>
      </w:r>
      <w:r w:rsidR="00A011B9">
        <w:rPr>
          <w:rFonts w:ascii="Times New Roman" w:hAnsi="Times New Roman" w:cs="Times New Roman"/>
          <w:sz w:val="24"/>
          <w:szCs w:val="24"/>
        </w:rPr>
        <w:t>for the a</w:t>
      </w:r>
      <w:r w:rsidR="004E5EC6">
        <w:rPr>
          <w:rFonts w:ascii="Times New Roman" w:hAnsi="Times New Roman" w:cs="Times New Roman"/>
          <w:sz w:val="24"/>
          <w:szCs w:val="24"/>
        </w:rPr>
        <w:t>pplicant</w:t>
      </w:r>
    </w:p>
    <w:p w:rsidR="001245CF" w:rsidRDefault="003039A8" w:rsidP="004877F9">
      <w:pPr>
        <w:spacing w:after="0" w:line="240" w:lineRule="auto"/>
        <w:rPr>
          <w:rFonts w:ascii="Times New Roman" w:hAnsi="Times New Roman" w:cs="Times New Roman"/>
          <w:sz w:val="24"/>
          <w:szCs w:val="24"/>
        </w:rPr>
      </w:pPr>
      <w:r>
        <w:rPr>
          <w:rFonts w:ascii="Times New Roman" w:hAnsi="Times New Roman" w:cs="Times New Roman"/>
          <w:i/>
          <w:sz w:val="24"/>
          <w:szCs w:val="24"/>
        </w:rPr>
        <w:t>C Sakupwanya</w:t>
      </w:r>
      <w:r w:rsidR="00902F54">
        <w:rPr>
          <w:rFonts w:ascii="Times New Roman" w:hAnsi="Times New Roman" w:cs="Times New Roman"/>
          <w:i/>
          <w:sz w:val="24"/>
          <w:szCs w:val="24"/>
        </w:rPr>
        <w:t xml:space="preserve">, </w:t>
      </w:r>
      <w:r w:rsidR="00902F54">
        <w:rPr>
          <w:rFonts w:ascii="Times New Roman" w:hAnsi="Times New Roman" w:cs="Times New Roman"/>
          <w:sz w:val="24"/>
          <w:szCs w:val="24"/>
        </w:rPr>
        <w:t>for</w:t>
      </w:r>
      <w:r w:rsidR="00DA4E3D">
        <w:rPr>
          <w:rFonts w:ascii="Times New Roman" w:hAnsi="Times New Roman" w:cs="Times New Roman"/>
          <w:sz w:val="24"/>
          <w:szCs w:val="24"/>
        </w:rPr>
        <w:t xml:space="preserve"> </w:t>
      </w:r>
      <w:r w:rsidR="00902F54">
        <w:rPr>
          <w:rFonts w:ascii="Times New Roman" w:hAnsi="Times New Roman" w:cs="Times New Roman"/>
          <w:sz w:val="24"/>
          <w:szCs w:val="24"/>
        </w:rPr>
        <w:t xml:space="preserve">first </w:t>
      </w:r>
      <w:r w:rsidR="004877F9">
        <w:rPr>
          <w:rFonts w:ascii="Times New Roman" w:hAnsi="Times New Roman" w:cs="Times New Roman"/>
          <w:sz w:val="24"/>
          <w:szCs w:val="24"/>
        </w:rPr>
        <w:t>respondent</w:t>
      </w:r>
    </w:p>
    <w:p w:rsidR="00902F54" w:rsidRPr="001245CF" w:rsidRDefault="00902F54" w:rsidP="004877F9">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2E06BE" w:rsidRDefault="00AB6264"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6609E8">
        <w:rPr>
          <w:rFonts w:ascii="Times New Roman" w:hAnsi="Times New Roman" w:cs="Times New Roman"/>
          <w:sz w:val="24"/>
          <w:szCs w:val="24"/>
        </w:rPr>
        <w:t xml:space="preserve">This </w:t>
      </w:r>
      <w:r w:rsidR="003039A8">
        <w:rPr>
          <w:rFonts w:ascii="Times New Roman" w:hAnsi="Times New Roman" w:cs="Times New Roman"/>
          <w:sz w:val="24"/>
          <w:szCs w:val="24"/>
        </w:rPr>
        <w:t>is an application for the cancellation of the agreement of sale</w:t>
      </w:r>
      <w:r w:rsidR="00351A53">
        <w:rPr>
          <w:rFonts w:ascii="Times New Roman" w:hAnsi="Times New Roman" w:cs="Times New Roman"/>
          <w:sz w:val="24"/>
          <w:szCs w:val="24"/>
        </w:rPr>
        <w:t xml:space="preserve"> of immovable property being Stand 1542 – 6 Hallen Drive, Athlone, Gweru,</w:t>
      </w:r>
      <w:r w:rsidR="003039A8">
        <w:rPr>
          <w:rFonts w:ascii="Times New Roman" w:hAnsi="Times New Roman" w:cs="Times New Roman"/>
          <w:sz w:val="24"/>
          <w:szCs w:val="24"/>
        </w:rPr>
        <w:t xml:space="preserve"> </w:t>
      </w:r>
      <w:r w:rsidR="00B872B7">
        <w:rPr>
          <w:rFonts w:ascii="Times New Roman" w:hAnsi="Times New Roman" w:cs="Times New Roman"/>
          <w:sz w:val="24"/>
          <w:szCs w:val="24"/>
        </w:rPr>
        <w:t xml:space="preserve">entered into </w:t>
      </w:r>
      <w:r w:rsidR="003039A8">
        <w:rPr>
          <w:rFonts w:ascii="Times New Roman" w:hAnsi="Times New Roman" w:cs="Times New Roman"/>
          <w:sz w:val="24"/>
          <w:szCs w:val="24"/>
        </w:rPr>
        <w:t>in favour of third respondent’s minor charges</w:t>
      </w:r>
      <w:r w:rsidR="007B6C56">
        <w:rPr>
          <w:rFonts w:ascii="Times New Roman" w:hAnsi="Times New Roman" w:cs="Times New Roman"/>
          <w:sz w:val="24"/>
          <w:szCs w:val="24"/>
        </w:rPr>
        <w:t xml:space="preserve"> Zandile E and Akhumuzi Justin Danisa. The sale was </w:t>
      </w:r>
      <w:r w:rsidR="003039A8">
        <w:rPr>
          <w:rFonts w:ascii="Times New Roman" w:hAnsi="Times New Roman" w:cs="Times New Roman"/>
          <w:sz w:val="24"/>
          <w:szCs w:val="24"/>
        </w:rPr>
        <w:t>authorised by first respondent and con</w:t>
      </w:r>
      <w:r w:rsidR="00B872B7">
        <w:rPr>
          <w:rFonts w:ascii="Times New Roman" w:hAnsi="Times New Roman" w:cs="Times New Roman"/>
          <w:sz w:val="24"/>
          <w:szCs w:val="24"/>
        </w:rPr>
        <w:t>sented to</w:t>
      </w:r>
      <w:r w:rsidR="003039A8">
        <w:rPr>
          <w:rFonts w:ascii="Times New Roman" w:hAnsi="Times New Roman" w:cs="Times New Roman"/>
          <w:sz w:val="24"/>
          <w:szCs w:val="24"/>
        </w:rPr>
        <w:t xml:space="preserve"> by second respondent, in the winding up of the </w:t>
      </w:r>
      <w:r w:rsidR="002E06BE">
        <w:rPr>
          <w:rFonts w:ascii="Times New Roman" w:hAnsi="Times New Roman" w:cs="Times New Roman"/>
          <w:sz w:val="24"/>
          <w:szCs w:val="24"/>
        </w:rPr>
        <w:t>estate of late Rodgers Dhliwayo.</w:t>
      </w:r>
    </w:p>
    <w:p w:rsidR="002E06BE" w:rsidRPr="002E06BE" w:rsidRDefault="002E06BE" w:rsidP="00AB0D84">
      <w:pPr>
        <w:spacing w:after="0" w:line="360" w:lineRule="auto"/>
        <w:jc w:val="both"/>
        <w:rPr>
          <w:rFonts w:ascii="Times New Roman" w:hAnsi="Times New Roman" w:cs="Times New Roman"/>
          <w:sz w:val="24"/>
          <w:szCs w:val="24"/>
          <w:u w:val="single"/>
        </w:rPr>
      </w:pPr>
      <w:r w:rsidRPr="002E06BE">
        <w:rPr>
          <w:rFonts w:ascii="Times New Roman" w:hAnsi="Times New Roman" w:cs="Times New Roman"/>
          <w:sz w:val="24"/>
          <w:szCs w:val="24"/>
          <w:u w:val="single"/>
        </w:rPr>
        <w:t>Background</w:t>
      </w:r>
    </w:p>
    <w:p w:rsidR="002E06BE" w:rsidRDefault="00AB0D84"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is the surviving spouse to the Late Rodgers Dhliwayo who died intestate at Harare on 18 June 2015. Letters of administration were initially issued in favour of applicant on 17 November 2015, but were withdrawn on allegations of</w:t>
      </w:r>
      <w:r w:rsidR="00351A53">
        <w:rPr>
          <w:rFonts w:ascii="Times New Roman" w:hAnsi="Times New Roman" w:cs="Times New Roman"/>
          <w:sz w:val="24"/>
          <w:szCs w:val="24"/>
        </w:rPr>
        <w:t xml:space="preserve"> concealment and</w:t>
      </w:r>
      <w:r>
        <w:rPr>
          <w:rFonts w:ascii="Times New Roman" w:hAnsi="Times New Roman" w:cs="Times New Roman"/>
          <w:sz w:val="24"/>
          <w:szCs w:val="24"/>
        </w:rPr>
        <w:t xml:space="preserve"> misappropriation of estate assets. First respondent was then appointed executor dative on 27 January 2017. The law required him to lodge an account of his administration within six months of his appointment.</w:t>
      </w:r>
    </w:p>
    <w:p w:rsidR="007B6C56" w:rsidRDefault="00A24E92"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Prior to first respondent’s appointment, the second respondent had given his consent to the sale of all immovable assets in the Estate and that the proceeds would be distributed among the beneficiaries. These consents were never cancelled or withdrawn. However, the </w:t>
      </w:r>
      <w:r>
        <w:rPr>
          <w:rFonts w:ascii="Times New Roman" w:hAnsi="Times New Roman" w:cs="Times New Roman"/>
          <w:sz w:val="24"/>
          <w:szCs w:val="24"/>
        </w:rPr>
        <w:lastRenderedPageBreak/>
        <w:t>beneficiaries</w:t>
      </w:r>
      <w:r w:rsidR="007B6C56">
        <w:rPr>
          <w:rFonts w:ascii="Times New Roman" w:hAnsi="Times New Roman" w:cs="Times New Roman"/>
          <w:sz w:val="24"/>
          <w:szCs w:val="24"/>
        </w:rPr>
        <w:t xml:space="preserve"> subsequently</w:t>
      </w:r>
      <w:r w:rsidR="00351A53">
        <w:rPr>
          <w:rFonts w:ascii="Times New Roman" w:hAnsi="Times New Roman" w:cs="Times New Roman"/>
          <w:sz w:val="24"/>
          <w:szCs w:val="24"/>
        </w:rPr>
        <w:t>, on 17 February 2017,</w:t>
      </w:r>
      <w:r w:rsidR="007B6C56">
        <w:rPr>
          <w:rFonts w:ascii="Times New Roman" w:hAnsi="Times New Roman" w:cs="Times New Roman"/>
          <w:sz w:val="24"/>
          <w:szCs w:val="24"/>
        </w:rPr>
        <w:t xml:space="preserve"> entered into an arrangement among themselves for a new distribution plan. Such </w:t>
      </w:r>
      <w:r w:rsidR="00351A53">
        <w:rPr>
          <w:rFonts w:ascii="Times New Roman" w:hAnsi="Times New Roman" w:cs="Times New Roman"/>
          <w:sz w:val="24"/>
          <w:szCs w:val="24"/>
        </w:rPr>
        <w:t xml:space="preserve">re-distribution </w:t>
      </w:r>
      <w:r w:rsidR="002F0BBA">
        <w:rPr>
          <w:rFonts w:ascii="Times New Roman" w:hAnsi="Times New Roman" w:cs="Times New Roman"/>
          <w:sz w:val="24"/>
          <w:szCs w:val="24"/>
        </w:rPr>
        <w:t>agreement</w:t>
      </w:r>
      <w:r w:rsidR="007B6C56">
        <w:rPr>
          <w:rFonts w:ascii="Times New Roman" w:hAnsi="Times New Roman" w:cs="Times New Roman"/>
          <w:sz w:val="24"/>
          <w:szCs w:val="24"/>
        </w:rPr>
        <w:t xml:space="preserve"> was not approved by first respondent or confirmed by second respondent.</w:t>
      </w:r>
    </w:p>
    <w:p w:rsidR="00AB0D84" w:rsidRDefault="007B6C56"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in pursuit of finalising the estate</w:t>
      </w:r>
      <w:r w:rsidR="00351A53">
        <w:rPr>
          <w:rFonts w:ascii="Times New Roman" w:hAnsi="Times New Roman" w:cs="Times New Roman"/>
          <w:sz w:val="24"/>
          <w:szCs w:val="24"/>
        </w:rPr>
        <w:t xml:space="preserve"> within the time limits required</w:t>
      </w:r>
      <w:r>
        <w:rPr>
          <w:rFonts w:ascii="Times New Roman" w:hAnsi="Times New Roman" w:cs="Times New Roman"/>
          <w:sz w:val="24"/>
          <w:szCs w:val="24"/>
        </w:rPr>
        <w:t xml:space="preserve">, the first respondent sold the property (the subject of this claim), to settle Estate dues and recover estate monies allegedly misappropriated by applicant. </w:t>
      </w:r>
      <w:r w:rsidR="00351A53">
        <w:rPr>
          <w:rFonts w:ascii="Times New Roman" w:hAnsi="Times New Roman" w:cs="Times New Roman"/>
          <w:sz w:val="24"/>
          <w:szCs w:val="24"/>
        </w:rPr>
        <w:t xml:space="preserve">The sale was </w:t>
      </w:r>
      <w:r w:rsidR="00BA799A">
        <w:rPr>
          <w:rFonts w:ascii="Times New Roman" w:hAnsi="Times New Roman" w:cs="Times New Roman"/>
          <w:sz w:val="24"/>
          <w:szCs w:val="24"/>
        </w:rPr>
        <w:t xml:space="preserve">authorised and </w:t>
      </w:r>
      <w:r w:rsidR="00351A53">
        <w:rPr>
          <w:rFonts w:ascii="Times New Roman" w:hAnsi="Times New Roman" w:cs="Times New Roman"/>
          <w:sz w:val="24"/>
          <w:szCs w:val="24"/>
        </w:rPr>
        <w:t>confirmed by second respondent</w:t>
      </w:r>
      <w:r w:rsidR="00B72263">
        <w:rPr>
          <w:rFonts w:ascii="Times New Roman" w:hAnsi="Times New Roman" w:cs="Times New Roman"/>
          <w:sz w:val="24"/>
          <w:szCs w:val="24"/>
        </w:rPr>
        <w:t>.</w:t>
      </w:r>
      <w:r w:rsidR="00A24E92">
        <w:rPr>
          <w:rFonts w:ascii="Times New Roman" w:hAnsi="Times New Roman" w:cs="Times New Roman"/>
          <w:sz w:val="24"/>
          <w:szCs w:val="24"/>
        </w:rPr>
        <w:t xml:space="preserve"> </w:t>
      </w:r>
    </w:p>
    <w:p w:rsidR="002E06BE" w:rsidRPr="002E06BE" w:rsidRDefault="002E06BE" w:rsidP="00BA799A">
      <w:pPr>
        <w:spacing w:after="0" w:line="360" w:lineRule="auto"/>
        <w:jc w:val="both"/>
        <w:rPr>
          <w:rFonts w:ascii="Times New Roman" w:hAnsi="Times New Roman" w:cs="Times New Roman"/>
          <w:sz w:val="24"/>
          <w:szCs w:val="24"/>
          <w:u w:val="single"/>
        </w:rPr>
      </w:pPr>
      <w:r w:rsidRPr="002E06BE">
        <w:rPr>
          <w:rFonts w:ascii="Times New Roman" w:hAnsi="Times New Roman" w:cs="Times New Roman"/>
          <w:sz w:val="24"/>
          <w:szCs w:val="24"/>
          <w:u w:val="single"/>
        </w:rPr>
        <w:t>Parties’ submissions</w:t>
      </w:r>
    </w:p>
    <w:p w:rsidR="002E06BE" w:rsidRDefault="00BA799A"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case is basically that the consent to </w:t>
      </w:r>
      <w:r w:rsidR="00B872B7">
        <w:rPr>
          <w:rFonts w:ascii="Times New Roman" w:hAnsi="Times New Roman" w:cs="Times New Roman"/>
          <w:sz w:val="24"/>
          <w:szCs w:val="24"/>
        </w:rPr>
        <w:t xml:space="preserve">the </w:t>
      </w:r>
      <w:r>
        <w:rPr>
          <w:rFonts w:ascii="Times New Roman" w:hAnsi="Times New Roman" w:cs="Times New Roman"/>
          <w:sz w:val="24"/>
          <w:szCs w:val="24"/>
        </w:rPr>
        <w:t xml:space="preserve">sale granted by second respondent on </w:t>
      </w:r>
      <w:r w:rsidR="00882EFC">
        <w:rPr>
          <w:rFonts w:ascii="Times New Roman" w:hAnsi="Times New Roman" w:cs="Times New Roman"/>
          <w:sz w:val="24"/>
          <w:szCs w:val="24"/>
        </w:rPr>
        <w:t xml:space="preserve">15 March 2016 could not be the legal basis for authorising first respondent to sell the property in issue as it was predicated on a distribution </w:t>
      </w:r>
      <w:r w:rsidR="002F0BBA">
        <w:rPr>
          <w:rFonts w:ascii="Times New Roman" w:hAnsi="Times New Roman" w:cs="Times New Roman"/>
          <w:sz w:val="24"/>
          <w:szCs w:val="24"/>
        </w:rPr>
        <w:t>agreement</w:t>
      </w:r>
      <w:r w:rsidR="00882EFC">
        <w:rPr>
          <w:rFonts w:ascii="Times New Roman" w:hAnsi="Times New Roman" w:cs="Times New Roman"/>
          <w:sz w:val="24"/>
          <w:szCs w:val="24"/>
        </w:rPr>
        <w:t xml:space="preserve"> which was novated by the subsequent distribution </w:t>
      </w:r>
      <w:r w:rsidR="002F0BBA">
        <w:rPr>
          <w:rFonts w:ascii="Times New Roman" w:hAnsi="Times New Roman" w:cs="Times New Roman"/>
          <w:sz w:val="24"/>
          <w:szCs w:val="24"/>
        </w:rPr>
        <w:t>agreement between the beneficiaries dated</w:t>
      </w:r>
      <w:r w:rsidR="00882EFC">
        <w:rPr>
          <w:rFonts w:ascii="Times New Roman" w:hAnsi="Times New Roman" w:cs="Times New Roman"/>
          <w:sz w:val="24"/>
          <w:szCs w:val="24"/>
        </w:rPr>
        <w:t xml:space="preserve"> 17 February 2017. Further, that subsequent distribution </w:t>
      </w:r>
      <w:r w:rsidR="002F0BBA">
        <w:rPr>
          <w:rFonts w:ascii="Times New Roman" w:hAnsi="Times New Roman" w:cs="Times New Roman"/>
          <w:sz w:val="24"/>
          <w:szCs w:val="24"/>
        </w:rPr>
        <w:t>agreement</w:t>
      </w:r>
      <w:r w:rsidR="00882EFC">
        <w:rPr>
          <w:rFonts w:ascii="Times New Roman" w:hAnsi="Times New Roman" w:cs="Times New Roman"/>
          <w:sz w:val="24"/>
          <w:szCs w:val="24"/>
        </w:rPr>
        <w:t xml:space="preserve"> allocated the property to her and therefore it was no longer available to the executor to sell as it was her property. It was her further submission that first respondent does not dispute novation of the first distribution </w:t>
      </w:r>
      <w:r w:rsidR="002F0BBA">
        <w:rPr>
          <w:rFonts w:ascii="Times New Roman" w:hAnsi="Times New Roman" w:cs="Times New Roman"/>
          <w:sz w:val="24"/>
          <w:szCs w:val="24"/>
        </w:rPr>
        <w:t>agreement</w:t>
      </w:r>
      <w:r w:rsidR="00882EFC">
        <w:rPr>
          <w:rFonts w:ascii="Times New Roman" w:hAnsi="Times New Roman" w:cs="Times New Roman"/>
          <w:sz w:val="24"/>
          <w:szCs w:val="24"/>
        </w:rPr>
        <w:t xml:space="preserve"> which had the effect of rendering nugatory the consents obtained thereunder. She also avers that it is the right of beneficiaries to decide how an estate is distributed and the executor cannot act contrary to their agreement. </w:t>
      </w:r>
      <w:r w:rsidR="00B51D18">
        <w:rPr>
          <w:rFonts w:ascii="Times New Roman" w:hAnsi="Times New Roman" w:cs="Times New Roman"/>
          <w:sz w:val="24"/>
          <w:szCs w:val="24"/>
        </w:rPr>
        <w:t xml:space="preserve">Further, while conceding that she owed the estate, it was her view that first respondent ought to have sought a court order to force her to refund the estate funds, rather than sell and recover the estate assets from the proceeds of the Gweru property. (See paragraph 12 of her founding affidavit). </w:t>
      </w:r>
      <w:r w:rsidR="00882EFC">
        <w:rPr>
          <w:rFonts w:ascii="Times New Roman" w:hAnsi="Times New Roman" w:cs="Times New Roman"/>
          <w:sz w:val="24"/>
          <w:szCs w:val="24"/>
        </w:rPr>
        <w:t xml:space="preserve">Finally, she submits that first respondent acted with malice or bias against her by selling a property allocated to her when there were other properties available and to which sale she had consented: </w:t>
      </w:r>
      <w:r w:rsidR="00882EFC" w:rsidRPr="00B872B7">
        <w:rPr>
          <w:rFonts w:ascii="Times New Roman" w:hAnsi="Times New Roman" w:cs="Times New Roman"/>
          <w:i/>
          <w:sz w:val="24"/>
          <w:szCs w:val="24"/>
        </w:rPr>
        <w:t>viz</w:t>
      </w:r>
      <w:r w:rsidR="00882EFC">
        <w:rPr>
          <w:rFonts w:ascii="Times New Roman" w:hAnsi="Times New Roman" w:cs="Times New Roman"/>
          <w:sz w:val="24"/>
          <w:szCs w:val="24"/>
        </w:rPr>
        <w:t xml:space="preserve"> Stands </w:t>
      </w:r>
      <w:r w:rsidR="00085813">
        <w:rPr>
          <w:rFonts w:ascii="Times New Roman" w:hAnsi="Times New Roman" w:cs="Times New Roman"/>
          <w:sz w:val="24"/>
          <w:szCs w:val="24"/>
        </w:rPr>
        <w:t>1</w:t>
      </w:r>
      <w:r w:rsidR="00882EFC">
        <w:rPr>
          <w:rFonts w:ascii="Times New Roman" w:hAnsi="Times New Roman" w:cs="Times New Roman"/>
          <w:sz w:val="24"/>
          <w:szCs w:val="24"/>
        </w:rPr>
        <w:t>2</w:t>
      </w:r>
      <w:r w:rsidR="00085813">
        <w:rPr>
          <w:rFonts w:ascii="Times New Roman" w:hAnsi="Times New Roman" w:cs="Times New Roman"/>
          <w:sz w:val="24"/>
          <w:szCs w:val="24"/>
        </w:rPr>
        <w:t>06 Gaza Township</w:t>
      </w:r>
      <w:r w:rsidR="00882EFC">
        <w:rPr>
          <w:rFonts w:ascii="Times New Roman" w:hAnsi="Times New Roman" w:cs="Times New Roman"/>
          <w:sz w:val="24"/>
          <w:szCs w:val="24"/>
        </w:rPr>
        <w:t>, 4357 Gaza Commercial Area</w:t>
      </w:r>
      <w:r w:rsidR="00B872B7">
        <w:rPr>
          <w:rFonts w:ascii="Times New Roman" w:hAnsi="Times New Roman" w:cs="Times New Roman"/>
          <w:sz w:val="24"/>
          <w:szCs w:val="24"/>
        </w:rPr>
        <w:t xml:space="preserve"> and</w:t>
      </w:r>
      <w:r w:rsidR="00882EFC">
        <w:rPr>
          <w:rFonts w:ascii="Times New Roman" w:hAnsi="Times New Roman" w:cs="Times New Roman"/>
          <w:sz w:val="24"/>
          <w:szCs w:val="24"/>
        </w:rPr>
        <w:t xml:space="preserve"> </w:t>
      </w:r>
      <w:r w:rsidR="00085813">
        <w:rPr>
          <w:rFonts w:ascii="Times New Roman" w:hAnsi="Times New Roman" w:cs="Times New Roman"/>
          <w:sz w:val="24"/>
          <w:szCs w:val="24"/>
        </w:rPr>
        <w:t xml:space="preserve">1065 Commercial Area, Chipinge. To that end, first respondent obtained the second respondent’s confirmation of the sale through misrepresentation by presenting to him the first rather than the second distribution </w:t>
      </w:r>
      <w:r w:rsidR="002F0BBA">
        <w:rPr>
          <w:rFonts w:ascii="Times New Roman" w:hAnsi="Times New Roman" w:cs="Times New Roman"/>
          <w:sz w:val="24"/>
          <w:szCs w:val="24"/>
        </w:rPr>
        <w:t>agreement</w:t>
      </w:r>
      <w:r w:rsidR="00085813">
        <w:rPr>
          <w:rFonts w:ascii="Times New Roman" w:hAnsi="Times New Roman" w:cs="Times New Roman"/>
          <w:sz w:val="24"/>
          <w:szCs w:val="24"/>
        </w:rPr>
        <w:t xml:space="preserve">. </w:t>
      </w:r>
      <w:r w:rsidR="00B51D18">
        <w:rPr>
          <w:rFonts w:ascii="Times New Roman" w:hAnsi="Times New Roman" w:cs="Times New Roman"/>
          <w:sz w:val="24"/>
          <w:szCs w:val="24"/>
        </w:rPr>
        <w:t>On these grounds, the sale to third respondent ought to be cancelled.</w:t>
      </w:r>
    </w:p>
    <w:p w:rsidR="00085813" w:rsidRDefault="00085813"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his part, first respondent submits that until the second respondent approved the distribution plan, the property in question remained estate property and liable to be dealt with as such in settling estate liabilities. While admitting that applicant offered that the Chipinge properties be sold to defray estate expenses and repay estate funds owed by applicant, second respondent argued that they took long to s</w:t>
      </w:r>
      <w:r w:rsidR="00B872B7">
        <w:rPr>
          <w:rFonts w:ascii="Times New Roman" w:hAnsi="Times New Roman" w:cs="Times New Roman"/>
          <w:sz w:val="24"/>
          <w:szCs w:val="24"/>
        </w:rPr>
        <w:t>ell</w:t>
      </w:r>
      <w:r>
        <w:rPr>
          <w:rFonts w:ascii="Times New Roman" w:hAnsi="Times New Roman" w:cs="Times New Roman"/>
          <w:sz w:val="24"/>
          <w:szCs w:val="24"/>
        </w:rPr>
        <w:t xml:space="preserve">, such that the sale of the Gweru property was </w:t>
      </w:r>
      <w:r>
        <w:rPr>
          <w:rFonts w:ascii="Times New Roman" w:hAnsi="Times New Roman" w:cs="Times New Roman"/>
          <w:sz w:val="24"/>
          <w:szCs w:val="24"/>
        </w:rPr>
        <w:lastRenderedPageBreak/>
        <w:t xml:space="preserve">eventually processed one year and nine months </w:t>
      </w:r>
      <w:r w:rsidR="00B51D18">
        <w:rPr>
          <w:rFonts w:ascii="Times New Roman" w:hAnsi="Times New Roman" w:cs="Times New Roman"/>
          <w:sz w:val="24"/>
          <w:szCs w:val="24"/>
        </w:rPr>
        <w:t>later when he was obliged to render an account to second respondent within six months of his appointment. Besides, he argues, the value of the Chipinge properties was such that they could not meet the estate fees of $40 000. The Gweru property, being estate property, was easier to sell and for a value which would allow finalisation of the estate administration, including paying back Estate funds owed by applicant.</w:t>
      </w:r>
      <w:r w:rsidR="00BE611F">
        <w:rPr>
          <w:rFonts w:ascii="Times New Roman" w:hAnsi="Times New Roman" w:cs="Times New Roman"/>
          <w:sz w:val="24"/>
          <w:szCs w:val="24"/>
        </w:rPr>
        <w:t xml:space="preserve"> In addition, it is his averment that it was not necessary to seek a separate court order to force applicant to refund estate funds, given that the estate was still under administration and the distribution plan would account for what she owed. In any event, it was first respondent’s view that the law required applicant to surrender to the executor what estate property she had admittedly appropriated and agreed to refund. Finally, first respondent submits that the property having been sold to innocent third parties after due process and approvals in terms of the Administration of Estates Act, cancellation of the agreement of sale to third respondent is not warranted.</w:t>
      </w:r>
    </w:p>
    <w:p w:rsidR="00BE611F" w:rsidRDefault="00BE611F" w:rsidP="00BE611F">
      <w:pPr>
        <w:spacing w:after="0" w:line="360" w:lineRule="auto"/>
        <w:jc w:val="both"/>
        <w:rPr>
          <w:rFonts w:ascii="Times New Roman" w:hAnsi="Times New Roman" w:cs="Times New Roman"/>
          <w:sz w:val="24"/>
          <w:szCs w:val="24"/>
          <w:u w:val="single"/>
        </w:rPr>
      </w:pPr>
      <w:r w:rsidRPr="00BE611F">
        <w:rPr>
          <w:rFonts w:ascii="Times New Roman" w:hAnsi="Times New Roman" w:cs="Times New Roman"/>
          <w:sz w:val="24"/>
          <w:szCs w:val="24"/>
          <w:u w:val="single"/>
        </w:rPr>
        <w:t>The Issue</w:t>
      </w:r>
    </w:p>
    <w:p w:rsidR="00BE611F" w:rsidRPr="00BE611F" w:rsidRDefault="00BE611F" w:rsidP="00BE61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the parties having raised several peripheral issues such as whether NSSA funds are part of the estate, or whether applicant acted fraudulently in her administration </w:t>
      </w:r>
      <w:r w:rsidR="0065775F">
        <w:rPr>
          <w:rFonts w:ascii="Times New Roman" w:hAnsi="Times New Roman" w:cs="Times New Roman"/>
          <w:sz w:val="24"/>
          <w:szCs w:val="24"/>
        </w:rPr>
        <w:t>of the estate among others, in my view, there is only one issue before the court: whether the sale to third respondent was improper and should be cancelled.</w:t>
      </w:r>
    </w:p>
    <w:p w:rsidR="002E06BE" w:rsidRPr="002E06BE" w:rsidRDefault="002E06BE" w:rsidP="0065775F">
      <w:pPr>
        <w:spacing w:after="0" w:line="360" w:lineRule="auto"/>
        <w:jc w:val="both"/>
        <w:rPr>
          <w:rFonts w:ascii="Times New Roman" w:hAnsi="Times New Roman" w:cs="Times New Roman"/>
          <w:sz w:val="24"/>
          <w:szCs w:val="24"/>
          <w:u w:val="single"/>
        </w:rPr>
      </w:pPr>
      <w:r w:rsidRPr="002E06BE">
        <w:rPr>
          <w:rFonts w:ascii="Times New Roman" w:hAnsi="Times New Roman" w:cs="Times New Roman"/>
          <w:sz w:val="24"/>
          <w:szCs w:val="24"/>
          <w:u w:val="single"/>
        </w:rPr>
        <w:t>The law</w:t>
      </w:r>
    </w:p>
    <w:p w:rsidR="007F1635" w:rsidRDefault="0065775F"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obliges an executor to administer an estate with utmost good faith and transparency in accordance with the relevant legal provisions for the advantage of the beneficiaries and general good administration of justice. In that regard, the executor must always act with the consent and approval of the Master. </w:t>
      </w:r>
    </w:p>
    <w:p w:rsidR="003E3B17" w:rsidRDefault="007F1635" w:rsidP="00B872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s</w:t>
      </w:r>
      <w:r w:rsidR="0065775F">
        <w:rPr>
          <w:rFonts w:ascii="Times New Roman" w:hAnsi="Times New Roman" w:cs="Times New Roman"/>
          <w:sz w:val="24"/>
          <w:szCs w:val="24"/>
        </w:rPr>
        <w:t xml:space="preserve"> 120 of the Administration of Estates Act, </w:t>
      </w:r>
      <w:r w:rsidR="00E97E19">
        <w:rPr>
          <w:rFonts w:ascii="Times New Roman" w:hAnsi="Times New Roman" w:cs="Times New Roman"/>
          <w:sz w:val="24"/>
          <w:szCs w:val="24"/>
        </w:rPr>
        <w:t>[</w:t>
      </w:r>
      <w:r w:rsidR="0065775F" w:rsidRPr="00E97E19">
        <w:rPr>
          <w:rFonts w:ascii="Times New Roman" w:hAnsi="Times New Roman" w:cs="Times New Roman"/>
          <w:i/>
          <w:sz w:val="24"/>
          <w:szCs w:val="24"/>
        </w:rPr>
        <w:t>Chapter 6:01</w:t>
      </w:r>
      <w:r w:rsidR="00E97E19">
        <w:rPr>
          <w:rFonts w:ascii="Times New Roman" w:hAnsi="Times New Roman" w:cs="Times New Roman"/>
          <w:i/>
          <w:sz w:val="24"/>
          <w:szCs w:val="24"/>
        </w:rPr>
        <w:t xml:space="preserve">] </w:t>
      </w:r>
      <w:r w:rsidR="00103D92">
        <w:rPr>
          <w:rFonts w:ascii="Times New Roman" w:hAnsi="Times New Roman" w:cs="Times New Roman"/>
          <w:sz w:val="24"/>
          <w:szCs w:val="24"/>
        </w:rPr>
        <w:t>(the Act)</w:t>
      </w:r>
      <w:r w:rsidR="0065775F">
        <w:rPr>
          <w:rFonts w:ascii="Times New Roman" w:hAnsi="Times New Roman" w:cs="Times New Roman"/>
          <w:sz w:val="24"/>
          <w:szCs w:val="24"/>
        </w:rPr>
        <w:t xml:space="preserve"> requires that before giving his consent and or approval</w:t>
      </w:r>
      <w:r>
        <w:rPr>
          <w:rFonts w:ascii="Times New Roman" w:hAnsi="Times New Roman" w:cs="Times New Roman"/>
          <w:sz w:val="24"/>
          <w:szCs w:val="24"/>
        </w:rPr>
        <w:t xml:space="preserve"> to the sale of estate property</w:t>
      </w:r>
      <w:r w:rsidR="0065775F">
        <w:rPr>
          <w:rFonts w:ascii="Times New Roman" w:hAnsi="Times New Roman" w:cs="Times New Roman"/>
          <w:sz w:val="24"/>
          <w:szCs w:val="24"/>
        </w:rPr>
        <w:t xml:space="preserve">, the Master must diligently satisfy himself, through </w:t>
      </w:r>
      <w:r w:rsidR="009746D4">
        <w:rPr>
          <w:rFonts w:ascii="Times New Roman" w:hAnsi="Times New Roman" w:cs="Times New Roman"/>
          <w:sz w:val="24"/>
          <w:szCs w:val="24"/>
        </w:rPr>
        <w:t>inquiry that</w:t>
      </w:r>
      <w:r w:rsidR="0065775F">
        <w:rPr>
          <w:rFonts w:ascii="Times New Roman" w:hAnsi="Times New Roman" w:cs="Times New Roman"/>
          <w:sz w:val="24"/>
          <w:szCs w:val="24"/>
        </w:rPr>
        <w:t xml:space="preserve"> any intended act is in good faith, is necessary and is to the advantage of beneficiaries.</w:t>
      </w:r>
      <w:r w:rsidR="009746D4">
        <w:rPr>
          <w:rFonts w:ascii="Times New Roman" w:hAnsi="Times New Roman" w:cs="Times New Roman"/>
          <w:sz w:val="24"/>
          <w:szCs w:val="24"/>
        </w:rPr>
        <w:t xml:space="preserve"> And once the second respondent has given his consent it is an administrative justice decision which can only be set aside on review.</w:t>
      </w:r>
    </w:p>
    <w:p w:rsidR="00103D92" w:rsidRDefault="00103D92" w:rsidP="003E3B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4 of the Act provides that the Master’s office is an office of record. Therefore, whatever decision the Master makes must be based upon due inquiry and proper consideration so that it becomes a matter of record which cannot be unilaterally set aside by the parties without due process. Consequently, w</w:t>
      </w:r>
      <w:r w:rsidR="009746D4">
        <w:rPr>
          <w:rFonts w:ascii="Times New Roman" w:hAnsi="Times New Roman" w:cs="Times New Roman"/>
          <w:sz w:val="24"/>
          <w:szCs w:val="24"/>
        </w:rPr>
        <w:t xml:space="preserve">hile the beneficiaries may make an input into how they </w:t>
      </w:r>
      <w:r w:rsidR="009746D4">
        <w:rPr>
          <w:rFonts w:ascii="Times New Roman" w:hAnsi="Times New Roman" w:cs="Times New Roman"/>
          <w:sz w:val="24"/>
          <w:szCs w:val="24"/>
        </w:rPr>
        <w:lastRenderedPageBreak/>
        <w:t>intend a distribution of the estate to be done, at the end of the day, it is the fiduciary duty of the Master</w:t>
      </w:r>
      <w:r>
        <w:rPr>
          <w:rFonts w:ascii="Times New Roman" w:hAnsi="Times New Roman" w:cs="Times New Roman"/>
          <w:sz w:val="24"/>
          <w:szCs w:val="24"/>
        </w:rPr>
        <w:t>, in his supervisory capacity over the executor,</w:t>
      </w:r>
      <w:r w:rsidR="009746D4">
        <w:rPr>
          <w:rFonts w:ascii="Times New Roman" w:hAnsi="Times New Roman" w:cs="Times New Roman"/>
          <w:sz w:val="24"/>
          <w:szCs w:val="24"/>
        </w:rPr>
        <w:t xml:space="preserve"> to make an appropriate decision in accordance with the law. It is not the right of the beneficiaries to decide what must be given to them</w:t>
      </w:r>
      <w:r w:rsidR="00B872B7">
        <w:rPr>
          <w:rFonts w:ascii="Times New Roman" w:hAnsi="Times New Roman" w:cs="Times New Roman"/>
          <w:sz w:val="24"/>
          <w:szCs w:val="24"/>
        </w:rPr>
        <w:t xml:space="preserve"> without due regard to the estate liabilities</w:t>
      </w:r>
      <w:r w:rsidR="009746D4">
        <w:rPr>
          <w:rFonts w:ascii="Times New Roman" w:hAnsi="Times New Roman" w:cs="Times New Roman"/>
          <w:sz w:val="24"/>
          <w:szCs w:val="24"/>
        </w:rPr>
        <w:t>.</w:t>
      </w:r>
      <w:r>
        <w:rPr>
          <w:rFonts w:ascii="Times New Roman" w:hAnsi="Times New Roman" w:cs="Times New Roman"/>
          <w:sz w:val="24"/>
          <w:szCs w:val="24"/>
        </w:rPr>
        <w:t xml:space="preserve"> </w:t>
      </w:r>
      <w:r w:rsidR="00A96EB7">
        <w:rPr>
          <w:rFonts w:ascii="Times New Roman" w:hAnsi="Times New Roman" w:cs="Times New Roman"/>
          <w:sz w:val="24"/>
          <w:szCs w:val="24"/>
        </w:rPr>
        <w:t>The beneficiaries have more leeway in deciding what must be distributed to them where they have met the liabilities of the estate in order to safeguard the assets from any diminution.</w:t>
      </w:r>
    </w:p>
    <w:p w:rsidR="00CD1898" w:rsidRDefault="00CD1898"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supervision of the executor by the Master is predicated on the general provisions </w:t>
      </w:r>
      <w:r w:rsidR="00B872B7">
        <w:rPr>
          <w:rFonts w:ascii="Times New Roman" w:hAnsi="Times New Roman" w:cs="Times New Roman"/>
          <w:sz w:val="24"/>
          <w:szCs w:val="24"/>
        </w:rPr>
        <w:t>of s</w:t>
      </w:r>
      <w:r w:rsidR="00B221D8">
        <w:rPr>
          <w:rFonts w:ascii="Times New Roman" w:hAnsi="Times New Roman" w:cs="Times New Roman"/>
          <w:sz w:val="24"/>
          <w:szCs w:val="24"/>
        </w:rPr>
        <w:t xml:space="preserve"> </w:t>
      </w:r>
      <w:r>
        <w:rPr>
          <w:rFonts w:ascii="Times New Roman" w:hAnsi="Times New Roman" w:cs="Times New Roman"/>
          <w:sz w:val="24"/>
          <w:szCs w:val="24"/>
        </w:rPr>
        <w:t xml:space="preserve">23 relating to letters of administration, which circumscribe the duties of the executor and the obligation to account to the Master within a specified period of time </w:t>
      </w:r>
      <w:r w:rsidR="00A96EB7">
        <w:rPr>
          <w:rFonts w:ascii="Times New Roman" w:hAnsi="Times New Roman" w:cs="Times New Roman"/>
          <w:sz w:val="24"/>
          <w:szCs w:val="24"/>
        </w:rPr>
        <w:t>as provided for in s</w:t>
      </w:r>
      <w:r w:rsidR="00B221D8">
        <w:rPr>
          <w:rFonts w:ascii="Times New Roman" w:hAnsi="Times New Roman" w:cs="Times New Roman"/>
          <w:sz w:val="24"/>
          <w:szCs w:val="24"/>
        </w:rPr>
        <w:t xml:space="preserve">s </w:t>
      </w:r>
      <w:r w:rsidR="00A96EB7">
        <w:rPr>
          <w:rFonts w:ascii="Times New Roman" w:hAnsi="Times New Roman" w:cs="Times New Roman"/>
          <w:sz w:val="24"/>
          <w:szCs w:val="24"/>
        </w:rPr>
        <w:t>38-52</w:t>
      </w:r>
      <w:r>
        <w:rPr>
          <w:rFonts w:ascii="Times New Roman" w:hAnsi="Times New Roman" w:cs="Times New Roman"/>
          <w:sz w:val="24"/>
          <w:szCs w:val="24"/>
        </w:rPr>
        <w:t>.</w:t>
      </w:r>
      <w:r w:rsidR="00A96EB7">
        <w:rPr>
          <w:rFonts w:ascii="Times New Roman" w:hAnsi="Times New Roman" w:cs="Times New Roman"/>
          <w:sz w:val="24"/>
          <w:szCs w:val="24"/>
        </w:rPr>
        <w:t xml:space="preserve"> Thus s</w:t>
      </w:r>
      <w:r w:rsidR="00B221D8">
        <w:rPr>
          <w:rFonts w:ascii="Times New Roman" w:hAnsi="Times New Roman" w:cs="Times New Roman"/>
          <w:sz w:val="24"/>
          <w:szCs w:val="24"/>
        </w:rPr>
        <w:t xml:space="preserve"> </w:t>
      </w:r>
      <w:r w:rsidR="00A96EB7">
        <w:rPr>
          <w:rFonts w:ascii="Times New Roman" w:hAnsi="Times New Roman" w:cs="Times New Roman"/>
          <w:sz w:val="24"/>
          <w:szCs w:val="24"/>
        </w:rPr>
        <w:t>52 gives power to the executor to do a valuation of estate assets and liabilities, dispose of assets to liquidate liabilities and ultimately distribute the net assets to the beneficiaries. In terms of s</w:t>
      </w:r>
      <w:r w:rsidR="00B221D8">
        <w:rPr>
          <w:rFonts w:ascii="Times New Roman" w:hAnsi="Times New Roman" w:cs="Times New Roman"/>
          <w:sz w:val="24"/>
          <w:szCs w:val="24"/>
        </w:rPr>
        <w:t xml:space="preserve"> </w:t>
      </w:r>
      <w:r w:rsidR="00A96EB7">
        <w:rPr>
          <w:rFonts w:ascii="Times New Roman" w:hAnsi="Times New Roman" w:cs="Times New Roman"/>
          <w:sz w:val="24"/>
          <w:szCs w:val="24"/>
        </w:rPr>
        <w:t>53, an executor who fails to account to the Master within six months is liable to be sued by the Master or any interested party.</w:t>
      </w:r>
    </w:p>
    <w:p w:rsidR="00A96EB7" w:rsidRDefault="00A96EB7"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regard to persons in possession of estate assets, the law obliges them to surrender the same to the executor or rep</w:t>
      </w:r>
      <w:r w:rsidR="00B872B7">
        <w:rPr>
          <w:rFonts w:ascii="Times New Roman" w:hAnsi="Times New Roman" w:cs="Times New Roman"/>
          <w:sz w:val="24"/>
          <w:szCs w:val="24"/>
        </w:rPr>
        <w:t>ort the details thereof to the M</w:t>
      </w:r>
      <w:r>
        <w:rPr>
          <w:rFonts w:ascii="Times New Roman" w:hAnsi="Times New Roman" w:cs="Times New Roman"/>
          <w:sz w:val="24"/>
          <w:szCs w:val="24"/>
        </w:rPr>
        <w:t xml:space="preserve">aster, failing which, apart from any liability they may incur, shall be liable </w:t>
      </w:r>
      <w:r w:rsidR="007F1635">
        <w:rPr>
          <w:rFonts w:ascii="Times New Roman" w:hAnsi="Times New Roman" w:cs="Times New Roman"/>
          <w:sz w:val="24"/>
          <w:szCs w:val="24"/>
        </w:rPr>
        <w:t>for all dues payable to the public revenue in respect of those assets.</w:t>
      </w:r>
      <w:r w:rsidR="007F1635">
        <w:rPr>
          <w:rStyle w:val="FootnoteReference"/>
          <w:rFonts w:ascii="Times New Roman" w:hAnsi="Times New Roman"/>
          <w:sz w:val="24"/>
          <w:szCs w:val="24"/>
        </w:rPr>
        <w:footnoteReference w:id="1"/>
      </w:r>
    </w:p>
    <w:p w:rsidR="002E06BE" w:rsidRPr="002E06BE" w:rsidRDefault="002E06BE" w:rsidP="00B72263">
      <w:pPr>
        <w:spacing w:after="0" w:line="360" w:lineRule="auto"/>
        <w:jc w:val="both"/>
        <w:rPr>
          <w:rFonts w:ascii="Times New Roman" w:hAnsi="Times New Roman" w:cs="Times New Roman"/>
          <w:sz w:val="24"/>
          <w:szCs w:val="24"/>
          <w:u w:val="single"/>
        </w:rPr>
      </w:pPr>
      <w:r w:rsidRPr="002E06BE">
        <w:rPr>
          <w:rFonts w:ascii="Times New Roman" w:hAnsi="Times New Roman" w:cs="Times New Roman"/>
          <w:sz w:val="24"/>
          <w:szCs w:val="24"/>
          <w:u w:val="single"/>
        </w:rPr>
        <w:t>Analysis</w:t>
      </w:r>
    </w:p>
    <w:p w:rsidR="002E06BE" w:rsidRDefault="009746D4"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second respondent gave his consent to the sale of all the immovable property in the estate to meet liabilities</w:t>
      </w:r>
      <w:r w:rsidR="001010E2">
        <w:rPr>
          <w:rFonts w:ascii="Times New Roman" w:hAnsi="Times New Roman" w:cs="Times New Roman"/>
          <w:sz w:val="24"/>
          <w:szCs w:val="24"/>
        </w:rPr>
        <w:t xml:space="preserve"> of the estate</w:t>
      </w:r>
      <w:r>
        <w:rPr>
          <w:rFonts w:ascii="Times New Roman" w:hAnsi="Times New Roman" w:cs="Times New Roman"/>
          <w:sz w:val="24"/>
          <w:szCs w:val="24"/>
        </w:rPr>
        <w:t xml:space="preserve"> and distribute the residue to beneficiaries</w:t>
      </w:r>
      <w:r w:rsidR="002F0BBA">
        <w:rPr>
          <w:rFonts w:ascii="Times New Roman" w:hAnsi="Times New Roman" w:cs="Times New Roman"/>
          <w:sz w:val="24"/>
          <w:szCs w:val="24"/>
        </w:rPr>
        <w:t xml:space="preserve"> predicated on an initial distribution agreement between the beneficiaries</w:t>
      </w:r>
      <w:r>
        <w:rPr>
          <w:rFonts w:ascii="Times New Roman" w:hAnsi="Times New Roman" w:cs="Times New Roman"/>
          <w:sz w:val="24"/>
          <w:szCs w:val="24"/>
        </w:rPr>
        <w:t>. That consent, by admission of both parties was never set aside, cancelled or withdrawn.</w:t>
      </w:r>
      <w:r w:rsidR="001010E2">
        <w:rPr>
          <w:rFonts w:ascii="Times New Roman" w:hAnsi="Times New Roman" w:cs="Times New Roman"/>
          <w:sz w:val="24"/>
          <w:szCs w:val="24"/>
        </w:rPr>
        <w:t xml:space="preserve"> No request was ever made to second respondent to revisit his consent. It remained extant. I cannot accept the applicant’s position that by virtue of the beneficiaries agreeing a second redistribution agreement, regardless of whether </w:t>
      </w:r>
      <w:r w:rsidR="00B872B7">
        <w:rPr>
          <w:rFonts w:ascii="Times New Roman" w:hAnsi="Times New Roman" w:cs="Times New Roman"/>
          <w:sz w:val="24"/>
          <w:szCs w:val="24"/>
        </w:rPr>
        <w:t xml:space="preserve">or not </w:t>
      </w:r>
      <w:r w:rsidR="001010E2">
        <w:rPr>
          <w:rFonts w:ascii="Times New Roman" w:hAnsi="Times New Roman" w:cs="Times New Roman"/>
          <w:sz w:val="24"/>
          <w:szCs w:val="24"/>
        </w:rPr>
        <w:t xml:space="preserve">it novated the initial distribution </w:t>
      </w:r>
      <w:r w:rsidR="002F0BBA">
        <w:rPr>
          <w:rFonts w:ascii="Times New Roman" w:hAnsi="Times New Roman" w:cs="Times New Roman"/>
          <w:sz w:val="24"/>
          <w:szCs w:val="24"/>
        </w:rPr>
        <w:t>agreement</w:t>
      </w:r>
      <w:r w:rsidR="001010E2">
        <w:rPr>
          <w:rFonts w:ascii="Times New Roman" w:hAnsi="Times New Roman" w:cs="Times New Roman"/>
          <w:sz w:val="24"/>
          <w:szCs w:val="24"/>
        </w:rPr>
        <w:t>, the second respondent’s consent to the sale of the property was rendered nugatory. Parties or beneficiaries, cannot and do not have power to overturn the official decision of a quasi-judicial officer without following due process. In fact, applicant’s counsel does not even attempt to argue that.</w:t>
      </w:r>
    </w:p>
    <w:p w:rsidR="00C31B57" w:rsidRDefault="003E3B17" w:rsidP="003E3B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sidRPr="003E3B17">
        <w:rPr>
          <w:rFonts w:ascii="Times New Roman" w:hAnsi="Times New Roman" w:cs="Times New Roman"/>
          <w:i/>
          <w:sz w:val="24"/>
          <w:szCs w:val="24"/>
        </w:rPr>
        <w:t xml:space="preserve">Nemuseso </w:t>
      </w:r>
      <w:r w:rsidRPr="00B221D8">
        <w:rPr>
          <w:rFonts w:ascii="Times New Roman" w:hAnsi="Times New Roman" w:cs="Times New Roman"/>
          <w:sz w:val="24"/>
          <w:szCs w:val="24"/>
        </w:rPr>
        <w:t>v</w:t>
      </w:r>
      <w:r w:rsidRPr="003E3B17">
        <w:rPr>
          <w:rFonts w:ascii="Times New Roman" w:hAnsi="Times New Roman" w:cs="Times New Roman"/>
          <w:i/>
          <w:sz w:val="24"/>
          <w:szCs w:val="24"/>
        </w:rPr>
        <w:t xml:space="preserve"> Mashita</w:t>
      </w:r>
      <w:r>
        <w:rPr>
          <w:rFonts w:ascii="Times New Roman" w:hAnsi="Times New Roman" w:cs="Times New Roman"/>
          <w:i/>
          <w:sz w:val="24"/>
          <w:szCs w:val="24"/>
        </w:rPr>
        <w:t xml:space="preserve"> &amp; Ors</w:t>
      </w:r>
      <w:r>
        <w:rPr>
          <w:rStyle w:val="FootnoteReference"/>
          <w:rFonts w:ascii="Times New Roman" w:hAnsi="Times New Roman"/>
          <w:sz w:val="24"/>
          <w:szCs w:val="24"/>
        </w:rPr>
        <w:footnoteReference w:id="2"/>
      </w:r>
      <w:r>
        <w:rPr>
          <w:rFonts w:ascii="Times New Roman" w:hAnsi="Times New Roman" w:cs="Times New Roman"/>
          <w:i/>
          <w:sz w:val="24"/>
          <w:szCs w:val="24"/>
        </w:rPr>
        <w:t xml:space="preserve"> </w:t>
      </w:r>
      <w:r>
        <w:rPr>
          <w:rFonts w:ascii="Times New Roman" w:hAnsi="Times New Roman" w:cs="Times New Roman"/>
          <w:sz w:val="24"/>
          <w:szCs w:val="24"/>
        </w:rPr>
        <w:t xml:space="preserve">cited by the respondent is in my view distinguishable. That case involved the sale of property belonging to minors which is governed </w:t>
      </w:r>
      <w:r>
        <w:rPr>
          <w:rFonts w:ascii="Times New Roman" w:hAnsi="Times New Roman" w:cs="Times New Roman"/>
          <w:sz w:val="24"/>
          <w:szCs w:val="24"/>
        </w:rPr>
        <w:lastRenderedPageBreak/>
        <w:t>under s</w:t>
      </w:r>
      <w:r w:rsidR="00B221D8">
        <w:rPr>
          <w:rFonts w:ascii="Times New Roman" w:hAnsi="Times New Roman" w:cs="Times New Roman"/>
          <w:sz w:val="24"/>
          <w:szCs w:val="24"/>
        </w:rPr>
        <w:t xml:space="preserve"> </w:t>
      </w:r>
      <w:r>
        <w:rPr>
          <w:rFonts w:ascii="Times New Roman" w:hAnsi="Times New Roman" w:cs="Times New Roman"/>
          <w:sz w:val="24"/>
          <w:szCs w:val="24"/>
        </w:rPr>
        <w:t>122 of the Act where the Master is required to obtain an order from a judge in chambers.</w:t>
      </w:r>
      <w:r w:rsidR="001E6B61">
        <w:rPr>
          <w:rFonts w:ascii="Times New Roman" w:hAnsi="Times New Roman" w:cs="Times New Roman"/>
          <w:sz w:val="24"/>
          <w:szCs w:val="24"/>
        </w:rPr>
        <w:t xml:space="preserve"> In the instant case, s</w:t>
      </w:r>
      <w:r w:rsidR="00B221D8">
        <w:rPr>
          <w:rFonts w:ascii="Times New Roman" w:hAnsi="Times New Roman" w:cs="Times New Roman"/>
          <w:sz w:val="24"/>
          <w:szCs w:val="24"/>
        </w:rPr>
        <w:t xml:space="preserve"> </w:t>
      </w:r>
      <w:r w:rsidR="001E6B61">
        <w:rPr>
          <w:rFonts w:ascii="Times New Roman" w:hAnsi="Times New Roman" w:cs="Times New Roman"/>
          <w:sz w:val="24"/>
          <w:szCs w:val="24"/>
        </w:rPr>
        <w:t xml:space="preserve">120 governs the sale and the only requirement is that it should be in the interests of the beneficiaries that the property be sold. The applicant has not sought a review of the Master’s decision to consent to the sale on the grounds that that decision was made without due inquiry as to the best interests of the beneficiaries. The basis of the application is that the there was a novation of the distribution agreement entered into by the beneficiaries. By extension, while </w:t>
      </w:r>
      <w:r w:rsidR="00B872B7">
        <w:rPr>
          <w:rFonts w:ascii="Times New Roman" w:hAnsi="Times New Roman" w:cs="Times New Roman"/>
          <w:sz w:val="24"/>
          <w:szCs w:val="24"/>
        </w:rPr>
        <w:t xml:space="preserve">applicant concedes </w:t>
      </w:r>
      <w:r w:rsidR="001E6B61">
        <w:rPr>
          <w:rFonts w:ascii="Times New Roman" w:hAnsi="Times New Roman" w:cs="Times New Roman"/>
          <w:sz w:val="24"/>
          <w:szCs w:val="24"/>
        </w:rPr>
        <w:t xml:space="preserve">(see paragraph 4 of the Founding Affidavit) that no attempt was made to cancel the Master’s consent to the sale, </w:t>
      </w:r>
      <w:r w:rsidR="00B872B7">
        <w:rPr>
          <w:rFonts w:ascii="Times New Roman" w:hAnsi="Times New Roman" w:cs="Times New Roman"/>
          <w:sz w:val="24"/>
          <w:szCs w:val="24"/>
        </w:rPr>
        <w:t>she suggests that such</w:t>
      </w:r>
      <w:r w:rsidR="001E6B61">
        <w:rPr>
          <w:rFonts w:ascii="Times New Roman" w:hAnsi="Times New Roman" w:cs="Times New Roman"/>
          <w:sz w:val="24"/>
          <w:szCs w:val="24"/>
        </w:rPr>
        <w:t xml:space="preserve"> novation</w:t>
      </w:r>
      <w:r w:rsidR="002F0BBA">
        <w:rPr>
          <w:rFonts w:ascii="Times New Roman" w:hAnsi="Times New Roman" w:cs="Times New Roman"/>
          <w:sz w:val="24"/>
          <w:szCs w:val="24"/>
        </w:rPr>
        <w:t xml:space="preserve"> of the first distribution agreement entered into be the beneficiaries thereby</w:t>
      </w:r>
      <w:r w:rsidR="001E6B61">
        <w:rPr>
          <w:rFonts w:ascii="Times New Roman" w:hAnsi="Times New Roman" w:cs="Times New Roman"/>
          <w:sz w:val="24"/>
          <w:szCs w:val="24"/>
        </w:rPr>
        <w:t xml:space="preserve"> revoked the Master’s consent, which according to applicant, was overtaken by events. Such an argument is in my view bad in law and is insupportable for the reason that the decisions of the Master, his being an office of record, cannot be set aside </w:t>
      </w:r>
      <w:r w:rsidR="002F0BBA">
        <w:rPr>
          <w:rFonts w:ascii="Times New Roman" w:hAnsi="Times New Roman" w:cs="Times New Roman"/>
          <w:sz w:val="24"/>
          <w:szCs w:val="24"/>
        </w:rPr>
        <w:t xml:space="preserve">by agreement of the parties and </w:t>
      </w:r>
      <w:r w:rsidR="001E6B61">
        <w:rPr>
          <w:rFonts w:ascii="Times New Roman" w:hAnsi="Times New Roman" w:cs="Times New Roman"/>
          <w:sz w:val="24"/>
          <w:szCs w:val="24"/>
        </w:rPr>
        <w:t xml:space="preserve">without due process. </w:t>
      </w:r>
    </w:p>
    <w:p w:rsidR="00CD685C" w:rsidRDefault="00C31B57" w:rsidP="003E3B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Nor do I find the applicant’s submission that she was “garnished” without recourse to law sustainable. The property sold was and remains estate property until duly distributed. At the time of sale the property was not her personal property as the executor had not lodged a final distribution account. Nor am I persuaded that second respondent ought not to have allowed the sale on the basis of applicant’s objection to first respondent’s second interim account, for the reason that the objection was also predicated on the fallacious belief that the property belonged to applicant. </w:t>
      </w:r>
    </w:p>
    <w:p w:rsidR="001010E2" w:rsidRDefault="001010E2"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that regard, I cannot find that first respondent made any misrepresentation at all inducing the second respondent to confirm the sale to third respondent. The decision to sell had long been made and remained extant. </w:t>
      </w:r>
    </w:p>
    <w:p w:rsidR="006A0EBF" w:rsidRDefault="001010E2"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and in any event, </w:t>
      </w:r>
      <w:r w:rsidR="006A0EBF">
        <w:rPr>
          <w:rFonts w:ascii="Times New Roman" w:hAnsi="Times New Roman" w:cs="Times New Roman"/>
          <w:sz w:val="24"/>
          <w:szCs w:val="24"/>
        </w:rPr>
        <w:t>I must</w:t>
      </w:r>
      <w:r w:rsidR="0054306C">
        <w:rPr>
          <w:rFonts w:ascii="Times New Roman" w:hAnsi="Times New Roman" w:cs="Times New Roman"/>
          <w:sz w:val="24"/>
          <w:szCs w:val="24"/>
        </w:rPr>
        <w:t xml:space="preserve"> reiterate my </w:t>
      </w:r>
      <w:r w:rsidR="006A0EBF">
        <w:rPr>
          <w:rFonts w:ascii="Times New Roman" w:hAnsi="Times New Roman" w:cs="Times New Roman"/>
          <w:sz w:val="24"/>
          <w:szCs w:val="24"/>
        </w:rPr>
        <w:t>agree</w:t>
      </w:r>
      <w:r w:rsidR="0054306C">
        <w:rPr>
          <w:rFonts w:ascii="Times New Roman" w:hAnsi="Times New Roman" w:cs="Times New Roman"/>
          <w:sz w:val="24"/>
          <w:szCs w:val="24"/>
        </w:rPr>
        <w:t>ment</w:t>
      </w:r>
      <w:r w:rsidR="006A0EBF">
        <w:rPr>
          <w:rFonts w:ascii="Times New Roman" w:hAnsi="Times New Roman" w:cs="Times New Roman"/>
          <w:sz w:val="24"/>
          <w:szCs w:val="24"/>
        </w:rPr>
        <w:t xml:space="preserve"> with first respondent that </w:t>
      </w:r>
      <w:r>
        <w:rPr>
          <w:rFonts w:ascii="Times New Roman" w:hAnsi="Times New Roman" w:cs="Times New Roman"/>
          <w:sz w:val="24"/>
          <w:szCs w:val="24"/>
        </w:rPr>
        <w:t>the property sold was not the applicant’s property</w:t>
      </w:r>
      <w:r w:rsidR="006A0EBF">
        <w:rPr>
          <w:rFonts w:ascii="Times New Roman" w:hAnsi="Times New Roman" w:cs="Times New Roman"/>
          <w:sz w:val="24"/>
          <w:szCs w:val="24"/>
        </w:rPr>
        <w:t xml:space="preserve">, but was estate property. An agreement between the beneficiaries that the property be distributed to her did not make it her property until the second respondent approved the distribution account. It was liable to be </w:t>
      </w:r>
      <w:r w:rsidR="00744702">
        <w:rPr>
          <w:rFonts w:ascii="Times New Roman" w:hAnsi="Times New Roman" w:cs="Times New Roman"/>
          <w:sz w:val="24"/>
          <w:szCs w:val="24"/>
        </w:rPr>
        <w:t>sold</w:t>
      </w:r>
      <w:r w:rsidR="006A0EBF">
        <w:rPr>
          <w:rFonts w:ascii="Times New Roman" w:hAnsi="Times New Roman" w:cs="Times New Roman"/>
          <w:sz w:val="24"/>
          <w:szCs w:val="24"/>
        </w:rPr>
        <w:t xml:space="preserve"> like any other estate asset</w:t>
      </w:r>
      <w:r w:rsidR="00744702">
        <w:rPr>
          <w:rFonts w:ascii="Times New Roman" w:hAnsi="Times New Roman" w:cs="Times New Roman"/>
          <w:sz w:val="24"/>
          <w:szCs w:val="24"/>
        </w:rPr>
        <w:t>,</w:t>
      </w:r>
      <w:r w:rsidR="006A0EBF">
        <w:rPr>
          <w:rFonts w:ascii="Times New Roman" w:hAnsi="Times New Roman" w:cs="Times New Roman"/>
          <w:sz w:val="24"/>
          <w:szCs w:val="24"/>
        </w:rPr>
        <w:t xml:space="preserve"> in terms of s</w:t>
      </w:r>
      <w:r w:rsidR="00B221D8">
        <w:rPr>
          <w:rFonts w:ascii="Times New Roman" w:hAnsi="Times New Roman" w:cs="Times New Roman"/>
          <w:sz w:val="24"/>
          <w:szCs w:val="24"/>
        </w:rPr>
        <w:t xml:space="preserve"> 1</w:t>
      </w:r>
      <w:r w:rsidR="006A0EBF">
        <w:rPr>
          <w:rFonts w:ascii="Times New Roman" w:hAnsi="Times New Roman" w:cs="Times New Roman"/>
          <w:sz w:val="24"/>
          <w:szCs w:val="24"/>
        </w:rPr>
        <w:t>20</w:t>
      </w:r>
      <w:r w:rsidR="00744702">
        <w:rPr>
          <w:rFonts w:ascii="Times New Roman" w:hAnsi="Times New Roman" w:cs="Times New Roman"/>
          <w:sz w:val="24"/>
          <w:szCs w:val="24"/>
        </w:rPr>
        <w:t>,</w:t>
      </w:r>
      <w:r w:rsidR="006A0EBF">
        <w:rPr>
          <w:rFonts w:ascii="Times New Roman" w:hAnsi="Times New Roman" w:cs="Times New Roman"/>
          <w:sz w:val="24"/>
          <w:szCs w:val="24"/>
        </w:rPr>
        <w:t xml:space="preserve"> in order to wind up the estate. Only where the conduct of the executor shows gross dereliction of duty, negligence or bias in dealing with estate </w:t>
      </w:r>
      <w:r w:rsidR="00744702">
        <w:rPr>
          <w:rFonts w:ascii="Times New Roman" w:hAnsi="Times New Roman" w:cs="Times New Roman"/>
          <w:sz w:val="24"/>
          <w:szCs w:val="24"/>
        </w:rPr>
        <w:t>assets</w:t>
      </w:r>
      <w:r w:rsidR="006A0EBF">
        <w:rPr>
          <w:rFonts w:ascii="Times New Roman" w:hAnsi="Times New Roman" w:cs="Times New Roman"/>
          <w:sz w:val="24"/>
          <w:szCs w:val="24"/>
        </w:rPr>
        <w:t xml:space="preserve"> may the court interfere. In this case, the first respondent was appointed on</w:t>
      </w:r>
      <w:r w:rsidR="00744702">
        <w:rPr>
          <w:rFonts w:ascii="Times New Roman" w:hAnsi="Times New Roman" w:cs="Times New Roman"/>
          <w:sz w:val="24"/>
          <w:szCs w:val="24"/>
        </w:rPr>
        <w:t xml:space="preserve"> 27 January 2017. </w:t>
      </w:r>
      <w:r w:rsidR="006A0EBF">
        <w:rPr>
          <w:rFonts w:ascii="Times New Roman" w:hAnsi="Times New Roman" w:cs="Times New Roman"/>
          <w:sz w:val="24"/>
          <w:szCs w:val="24"/>
        </w:rPr>
        <w:t xml:space="preserve">He had six months to render an account. He did listen to beneficiaries and attempted to sell </w:t>
      </w:r>
      <w:r w:rsidR="0054306C">
        <w:rPr>
          <w:rFonts w:ascii="Times New Roman" w:hAnsi="Times New Roman" w:cs="Times New Roman"/>
          <w:sz w:val="24"/>
          <w:szCs w:val="24"/>
        </w:rPr>
        <w:t xml:space="preserve">the </w:t>
      </w:r>
      <w:r w:rsidR="006A0EBF">
        <w:rPr>
          <w:rFonts w:ascii="Times New Roman" w:hAnsi="Times New Roman" w:cs="Times New Roman"/>
          <w:sz w:val="24"/>
          <w:szCs w:val="24"/>
        </w:rPr>
        <w:t>Chipinge properties</w:t>
      </w:r>
      <w:r w:rsidR="0054306C">
        <w:rPr>
          <w:rFonts w:ascii="Times New Roman" w:hAnsi="Times New Roman" w:cs="Times New Roman"/>
          <w:sz w:val="24"/>
          <w:szCs w:val="24"/>
        </w:rPr>
        <w:t xml:space="preserve"> first</w:t>
      </w:r>
      <w:r w:rsidR="006A0EBF">
        <w:rPr>
          <w:rFonts w:ascii="Times New Roman" w:hAnsi="Times New Roman" w:cs="Times New Roman"/>
          <w:sz w:val="24"/>
          <w:szCs w:val="24"/>
        </w:rPr>
        <w:t xml:space="preserve">. More than a year down the line, that sale had not materialised. In my view, first respondent acted diligently in order to expeditiously wind up the estate by seeking </w:t>
      </w:r>
      <w:r w:rsidR="006A0EBF">
        <w:rPr>
          <w:rFonts w:ascii="Times New Roman" w:hAnsi="Times New Roman" w:cs="Times New Roman"/>
          <w:sz w:val="24"/>
          <w:szCs w:val="24"/>
        </w:rPr>
        <w:lastRenderedPageBreak/>
        <w:t>second respondent’s authority to s</w:t>
      </w:r>
      <w:r w:rsidR="0054306C">
        <w:rPr>
          <w:rFonts w:ascii="Times New Roman" w:hAnsi="Times New Roman" w:cs="Times New Roman"/>
          <w:sz w:val="24"/>
          <w:szCs w:val="24"/>
        </w:rPr>
        <w:t>ell</w:t>
      </w:r>
      <w:r w:rsidR="006A0EBF">
        <w:rPr>
          <w:rFonts w:ascii="Times New Roman" w:hAnsi="Times New Roman" w:cs="Times New Roman"/>
          <w:sz w:val="24"/>
          <w:szCs w:val="24"/>
        </w:rPr>
        <w:t xml:space="preserve"> the Gweru property </w:t>
      </w:r>
      <w:r w:rsidR="00744702">
        <w:rPr>
          <w:rFonts w:ascii="Times New Roman" w:hAnsi="Times New Roman" w:cs="Times New Roman"/>
          <w:sz w:val="24"/>
          <w:szCs w:val="24"/>
        </w:rPr>
        <w:t xml:space="preserve">in November 2018, </w:t>
      </w:r>
      <w:r w:rsidR="006A0EBF">
        <w:rPr>
          <w:rFonts w:ascii="Times New Roman" w:hAnsi="Times New Roman" w:cs="Times New Roman"/>
          <w:sz w:val="24"/>
          <w:szCs w:val="24"/>
        </w:rPr>
        <w:t xml:space="preserve">which </w:t>
      </w:r>
      <w:r w:rsidR="00744702">
        <w:rPr>
          <w:rFonts w:ascii="Times New Roman" w:hAnsi="Times New Roman" w:cs="Times New Roman"/>
          <w:sz w:val="24"/>
          <w:szCs w:val="24"/>
        </w:rPr>
        <w:t>turned out to be</w:t>
      </w:r>
      <w:r w:rsidR="006A0EBF">
        <w:rPr>
          <w:rFonts w:ascii="Times New Roman" w:hAnsi="Times New Roman" w:cs="Times New Roman"/>
          <w:sz w:val="24"/>
          <w:szCs w:val="24"/>
        </w:rPr>
        <w:t xml:space="preserve"> quicker to sell and for a value more amenable to finalisation of the estate account. I therefore cannot fault his conduct, even if I accept, which I do not, that applicant is being truthful that she was not informed that the Chipinge properties were slow to sell and therefore resort would be made towards selling the Gweru property.</w:t>
      </w:r>
    </w:p>
    <w:p w:rsidR="00744702" w:rsidRDefault="00744702"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I agree that </w:t>
      </w:r>
      <w:r w:rsidRPr="00CD685C">
        <w:rPr>
          <w:rFonts w:ascii="Times New Roman" w:hAnsi="Times New Roman" w:cs="Times New Roman"/>
          <w:i/>
          <w:sz w:val="24"/>
          <w:szCs w:val="24"/>
        </w:rPr>
        <w:t xml:space="preserve">Mamutse </w:t>
      </w:r>
      <w:r w:rsidRPr="00B221D8">
        <w:rPr>
          <w:rFonts w:ascii="Times New Roman" w:hAnsi="Times New Roman" w:cs="Times New Roman"/>
          <w:sz w:val="24"/>
          <w:szCs w:val="24"/>
        </w:rPr>
        <w:t>v</w:t>
      </w:r>
      <w:r w:rsidRPr="00CD685C">
        <w:rPr>
          <w:rFonts w:ascii="Times New Roman" w:hAnsi="Times New Roman" w:cs="Times New Roman"/>
          <w:i/>
          <w:sz w:val="24"/>
          <w:szCs w:val="24"/>
        </w:rPr>
        <w:t xml:space="preserve"> Tichareva &amp; 5 Ors</w:t>
      </w:r>
      <w:r>
        <w:rPr>
          <w:rStyle w:val="FootnoteReference"/>
          <w:rFonts w:ascii="Times New Roman" w:hAnsi="Times New Roman"/>
          <w:i/>
          <w:sz w:val="24"/>
          <w:szCs w:val="24"/>
        </w:rPr>
        <w:footnoteReference w:id="3"/>
      </w:r>
      <w:r>
        <w:rPr>
          <w:rFonts w:ascii="Times New Roman" w:hAnsi="Times New Roman" w:cs="Times New Roman"/>
          <w:sz w:val="24"/>
          <w:szCs w:val="24"/>
        </w:rPr>
        <w:t xml:space="preserve"> is authority that circumstances surrounding the sale of estate property are relevant in deciding whether a sale in a deceased estate was valid or not, I do not see how that case helps the applicant in this case. The fact remains that the executor had an obligation to pay estate dues. The estate was not in </w:t>
      </w:r>
      <w:r w:rsidR="0054306C">
        <w:rPr>
          <w:rFonts w:ascii="Times New Roman" w:hAnsi="Times New Roman" w:cs="Times New Roman"/>
          <w:sz w:val="24"/>
          <w:szCs w:val="24"/>
        </w:rPr>
        <w:t xml:space="preserve">a </w:t>
      </w:r>
      <w:r>
        <w:rPr>
          <w:rFonts w:ascii="Times New Roman" w:hAnsi="Times New Roman" w:cs="Times New Roman"/>
          <w:sz w:val="24"/>
          <w:szCs w:val="24"/>
        </w:rPr>
        <w:t>state of liquidity to enable him to do so.  He had to sell estate assets to raise the funds. He attempted to sell Chipinge properties which took too long to find a buy</w:t>
      </w:r>
      <w:r w:rsidR="0054306C">
        <w:rPr>
          <w:rFonts w:ascii="Times New Roman" w:hAnsi="Times New Roman" w:cs="Times New Roman"/>
          <w:sz w:val="24"/>
          <w:szCs w:val="24"/>
        </w:rPr>
        <w:t>er</w:t>
      </w:r>
      <w:r>
        <w:rPr>
          <w:rFonts w:ascii="Times New Roman" w:hAnsi="Times New Roman" w:cs="Times New Roman"/>
          <w:sz w:val="24"/>
          <w:szCs w:val="24"/>
        </w:rPr>
        <w:t>, and would in any case, not have raised adequate funds. The property he sold was still estate property. It was easier and quicker to sell and for a value sufficient to meet the estate obligations. And to top it all, the Master gave his considered consent to such sale.</w:t>
      </w:r>
    </w:p>
    <w:p w:rsidR="00CB6934" w:rsidRDefault="00CB6934"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 must agree with second respondent that cancell</w:t>
      </w:r>
      <w:r w:rsidR="00B72263">
        <w:rPr>
          <w:rFonts w:ascii="Times New Roman" w:hAnsi="Times New Roman" w:cs="Times New Roman"/>
          <w:sz w:val="24"/>
          <w:szCs w:val="24"/>
        </w:rPr>
        <w:t>ation of the agreement of sale in favour of</w:t>
      </w:r>
      <w:r>
        <w:rPr>
          <w:rFonts w:ascii="Times New Roman" w:hAnsi="Times New Roman" w:cs="Times New Roman"/>
          <w:sz w:val="24"/>
          <w:szCs w:val="24"/>
        </w:rPr>
        <w:t xml:space="preserve"> third respondent is not the answer if there is any prejudice to applicant, as such prejudice can be adequately compensated for in the final distribution account. However, the prejudice to third respondent cannot be mitigated if the sale is cancelled because of the change in property values and loss of value of currency. In any event, it would be inequitable to punish an innocent purchaser who bought a property which apparently had all the necessary approvals for it to be sold in the winding up of an Estate, by cancelling her agreement of sale.</w:t>
      </w:r>
    </w:p>
    <w:p w:rsidR="001A0486" w:rsidRPr="00CB6934" w:rsidRDefault="00CB6934" w:rsidP="001A0486">
      <w:pPr>
        <w:spacing w:after="0" w:line="360" w:lineRule="auto"/>
        <w:jc w:val="both"/>
        <w:rPr>
          <w:rFonts w:ascii="Times New Roman" w:hAnsi="Times New Roman" w:cs="Times New Roman"/>
          <w:b/>
          <w:sz w:val="24"/>
          <w:szCs w:val="24"/>
        </w:rPr>
      </w:pPr>
      <w:r w:rsidRPr="00CB6934">
        <w:rPr>
          <w:rFonts w:ascii="Times New Roman" w:hAnsi="Times New Roman" w:cs="Times New Roman"/>
          <w:b/>
          <w:sz w:val="24"/>
          <w:szCs w:val="24"/>
        </w:rPr>
        <w:t>DISPOSITION</w:t>
      </w:r>
    </w:p>
    <w:p w:rsidR="001A0486" w:rsidRPr="001A0486" w:rsidRDefault="00CB6934" w:rsidP="001A04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 I find no merit in this application and dismiss it with costs.</w:t>
      </w:r>
    </w:p>
    <w:p w:rsidR="00894F4F" w:rsidRDefault="00894F4F" w:rsidP="00894F4F">
      <w:pPr>
        <w:pStyle w:val="ListParagraph"/>
        <w:spacing w:after="0" w:line="360" w:lineRule="auto"/>
        <w:ind w:left="1080"/>
        <w:jc w:val="both"/>
        <w:rPr>
          <w:rFonts w:ascii="Times New Roman" w:hAnsi="Times New Roman" w:cs="Times New Roman"/>
          <w:sz w:val="24"/>
          <w:szCs w:val="24"/>
        </w:rPr>
      </w:pPr>
    </w:p>
    <w:p w:rsidR="00B221D8" w:rsidRDefault="00B221D8" w:rsidP="00894F4F">
      <w:pPr>
        <w:pStyle w:val="ListParagraph"/>
        <w:spacing w:after="0" w:line="360" w:lineRule="auto"/>
        <w:ind w:left="1080"/>
        <w:jc w:val="both"/>
        <w:rPr>
          <w:rFonts w:ascii="Times New Roman" w:hAnsi="Times New Roman" w:cs="Times New Roman"/>
          <w:sz w:val="24"/>
          <w:szCs w:val="24"/>
        </w:rPr>
      </w:pPr>
    </w:p>
    <w:p w:rsidR="00B221D8" w:rsidRDefault="00B221D8" w:rsidP="00894F4F">
      <w:pPr>
        <w:pStyle w:val="ListParagraph"/>
        <w:spacing w:after="0" w:line="360" w:lineRule="auto"/>
        <w:ind w:left="1080"/>
        <w:jc w:val="both"/>
        <w:rPr>
          <w:rFonts w:ascii="Times New Roman" w:hAnsi="Times New Roman" w:cs="Times New Roman"/>
          <w:sz w:val="24"/>
          <w:szCs w:val="24"/>
        </w:rPr>
      </w:pPr>
    </w:p>
    <w:p w:rsidR="00B221D8" w:rsidRDefault="00B221D8" w:rsidP="00894F4F">
      <w:pPr>
        <w:pStyle w:val="ListParagraph"/>
        <w:spacing w:after="0" w:line="360" w:lineRule="auto"/>
        <w:ind w:left="1080"/>
        <w:jc w:val="both"/>
        <w:rPr>
          <w:rFonts w:ascii="Times New Roman" w:hAnsi="Times New Roman" w:cs="Times New Roman"/>
          <w:sz w:val="24"/>
          <w:szCs w:val="24"/>
        </w:rPr>
      </w:pPr>
    </w:p>
    <w:p w:rsidR="00B221D8" w:rsidRPr="00894F4F" w:rsidRDefault="00B221D8" w:rsidP="00894F4F">
      <w:pPr>
        <w:pStyle w:val="ListParagraph"/>
        <w:spacing w:after="0" w:line="360" w:lineRule="auto"/>
        <w:ind w:left="1080"/>
        <w:jc w:val="both"/>
        <w:rPr>
          <w:rFonts w:ascii="Times New Roman" w:hAnsi="Times New Roman" w:cs="Times New Roman"/>
          <w:sz w:val="24"/>
          <w:szCs w:val="24"/>
        </w:rPr>
      </w:pPr>
    </w:p>
    <w:p w:rsidR="00585BA6" w:rsidRPr="00585BA6" w:rsidRDefault="000D228E"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Mess</w:t>
      </w:r>
      <w:r w:rsidR="00A8164E">
        <w:rPr>
          <w:rFonts w:ascii="Times New Roman" w:hAnsi="Times New Roman" w:cs="Times New Roman"/>
          <w:i/>
          <w:sz w:val="24"/>
          <w:szCs w:val="24"/>
        </w:rPr>
        <w:t>r</w:t>
      </w:r>
      <w:r>
        <w:rPr>
          <w:rFonts w:ascii="Times New Roman" w:hAnsi="Times New Roman" w:cs="Times New Roman"/>
          <w:i/>
          <w:sz w:val="24"/>
          <w:szCs w:val="24"/>
        </w:rPr>
        <w:t xml:space="preserve">s </w:t>
      </w:r>
      <w:r w:rsidR="00CB6934">
        <w:rPr>
          <w:rFonts w:ascii="Times New Roman" w:hAnsi="Times New Roman" w:cs="Times New Roman"/>
          <w:i/>
          <w:sz w:val="24"/>
          <w:szCs w:val="24"/>
        </w:rPr>
        <w:t>DNM Attorneys</w:t>
      </w:r>
      <w:r w:rsidR="00585BA6">
        <w:rPr>
          <w:rFonts w:ascii="Times New Roman" w:hAnsi="Times New Roman" w:cs="Times New Roman"/>
          <w:i/>
          <w:sz w:val="24"/>
          <w:szCs w:val="24"/>
        </w:rPr>
        <w:t xml:space="preserve">, </w:t>
      </w:r>
      <w:r w:rsidR="00585BA6">
        <w:rPr>
          <w:rFonts w:ascii="Times New Roman" w:hAnsi="Times New Roman" w:cs="Times New Roman"/>
          <w:sz w:val="24"/>
          <w:szCs w:val="24"/>
        </w:rPr>
        <w:t>applicant</w:t>
      </w:r>
      <w:r w:rsidR="009753AB">
        <w:rPr>
          <w:rFonts w:ascii="Times New Roman" w:hAnsi="Times New Roman" w:cs="Times New Roman"/>
          <w:sz w:val="24"/>
          <w:szCs w:val="24"/>
        </w:rPr>
        <w:t>’s legal practitioners</w:t>
      </w:r>
    </w:p>
    <w:p w:rsidR="001916DB" w:rsidRPr="00ED4FAA" w:rsidRDefault="00CB6934" w:rsidP="00192891">
      <w:pPr>
        <w:spacing w:after="0" w:line="240" w:lineRule="auto"/>
        <w:rPr>
          <w:rFonts w:ascii="Times New Roman" w:hAnsi="Times New Roman" w:cs="Times New Roman"/>
          <w:sz w:val="24"/>
          <w:szCs w:val="24"/>
          <w:lang w:val="fr-FR"/>
        </w:rPr>
      </w:pPr>
      <w:r>
        <w:rPr>
          <w:rFonts w:ascii="Times New Roman" w:hAnsi="Times New Roman" w:cs="Times New Roman"/>
          <w:i/>
          <w:sz w:val="24"/>
          <w:szCs w:val="24"/>
          <w:lang w:val="fr-FR"/>
        </w:rPr>
        <w:t>Hungwe &amp; Partners</w:t>
      </w:r>
      <w:r w:rsidR="00855D51" w:rsidRPr="00ED4FAA">
        <w:rPr>
          <w:rFonts w:ascii="Times New Roman" w:hAnsi="Times New Roman" w:cs="Times New Roman"/>
          <w:i/>
          <w:sz w:val="24"/>
          <w:szCs w:val="24"/>
          <w:lang w:val="fr-FR"/>
        </w:rPr>
        <w:t>,</w:t>
      </w:r>
      <w:r w:rsidR="00585BA6" w:rsidRPr="00ED4FAA">
        <w:rPr>
          <w:rFonts w:ascii="Times New Roman" w:hAnsi="Times New Roman" w:cs="Times New Roman"/>
          <w:sz w:val="24"/>
          <w:szCs w:val="24"/>
          <w:lang w:val="fr-FR"/>
        </w:rPr>
        <w:t xml:space="preserve"> </w:t>
      </w:r>
      <w:r>
        <w:rPr>
          <w:rFonts w:ascii="Times New Roman" w:hAnsi="Times New Roman" w:cs="Times New Roman"/>
          <w:sz w:val="24"/>
          <w:szCs w:val="24"/>
          <w:lang w:val="fr-FR"/>
        </w:rPr>
        <w:t>f</w:t>
      </w:r>
      <w:r w:rsidR="008B1E96" w:rsidRPr="00ED4FAA">
        <w:rPr>
          <w:rFonts w:ascii="Times New Roman" w:hAnsi="Times New Roman" w:cs="Times New Roman"/>
          <w:sz w:val="24"/>
          <w:szCs w:val="24"/>
          <w:lang w:val="fr-FR"/>
        </w:rPr>
        <w:t xml:space="preserve">irst </w:t>
      </w:r>
      <w:r w:rsidR="008538E5" w:rsidRPr="00ED4FAA">
        <w:rPr>
          <w:rFonts w:ascii="Times New Roman" w:hAnsi="Times New Roman" w:cs="Times New Roman"/>
          <w:sz w:val="24"/>
          <w:szCs w:val="24"/>
          <w:lang w:val="fr-FR"/>
        </w:rPr>
        <w:t>respondent</w:t>
      </w:r>
      <w:r>
        <w:rPr>
          <w:rFonts w:ascii="Times New Roman" w:hAnsi="Times New Roman" w:cs="Times New Roman"/>
          <w:sz w:val="24"/>
          <w:szCs w:val="24"/>
          <w:lang w:val="fr-FR"/>
        </w:rPr>
        <w:t>’s legal practitioners</w:t>
      </w:r>
    </w:p>
    <w:sectPr w:rsidR="001916DB" w:rsidRPr="00ED4FA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FCF" w:rsidRDefault="00F54FCF" w:rsidP="00A5344D">
      <w:pPr>
        <w:spacing w:after="0" w:line="240" w:lineRule="auto"/>
      </w:pPr>
      <w:r>
        <w:separator/>
      </w:r>
    </w:p>
  </w:endnote>
  <w:endnote w:type="continuationSeparator" w:id="0">
    <w:p w:rsidR="00F54FCF" w:rsidRDefault="00F54FCF"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FCF" w:rsidRDefault="00F54FCF" w:rsidP="00A5344D">
      <w:pPr>
        <w:spacing w:after="0" w:line="240" w:lineRule="auto"/>
      </w:pPr>
      <w:r>
        <w:separator/>
      </w:r>
    </w:p>
  </w:footnote>
  <w:footnote w:type="continuationSeparator" w:id="0">
    <w:p w:rsidR="00F54FCF" w:rsidRDefault="00F54FCF" w:rsidP="00A5344D">
      <w:pPr>
        <w:spacing w:after="0" w:line="240" w:lineRule="auto"/>
      </w:pPr>
      <w:r>
        <w:continuationSeparator/>
      </w:r>
    </w:p>
  </w:footnote>
  <w:footnote w:id="1">
    <w:p w:rsidR="007F1635" w:rsidRPr="007F1635" w:rsidRDefault="007F1635">
      <w:pPr>
        <w:pStyle w:val="FootnoteText"/>
        <w:rPr>
          <w:lang w:val="en-US"/>
        </w:rPr>
      </w:pPr>
      <w:r>
        <w:rPr>
          <w:rStyle w:val="FootnoteReference"/>
        </w:rPr>
        <w:footnoteRef/>
      </w:r>
      <w:r>
        <w:t xml:space="preserve"> </w:t>
      </w:r>
      <w:r>
        <w:rPr>
          <w:lang w:val="en-US"/>
        </w:rPr>
        <w:t>S42 of the Administration of Estates Act Chapter 6:01</w:t>
      </w:r>
    </w:p>
  </w:footnote>
  <w:footnote w:id="2">
    <w:p w:rsidR="003E3B17" w:rsidRPr="003E3B17" w:rsidRDefault="003E3B17" w:rsidP="003E3B17">
      <w:pPr>
        <w:pStyle w:val="FootnoteText"/>
        <w:rPr>
          <w:lang w:val="en-US"/>
        </w:rPr>
      </w:pPr>
      <w:r>
        <w:rPr>
          <w:rStyle w:val="FootnoteReference"/>
        </w:rPr>
        <w:footnoteRef/>
      </w:r>
      <w:r>
        <w:t xml:space="preserve"> </w:t>
      </w:r>
      <w:r>
        <w:rPr>
          <w:lang w:val="en-US"/>
        </w:rPr>
        <w:t xml:space="preserve">2009 (2) ZLR 298 </w:t>
      </w:r>
    </w:p>
  </w:footnote>
  <w:footnote w:id="3">
    <w:p w:rsidR="00744702" w:rsidRPr="00CD685C" w:rsidRDefault="00744702" w:rsidP="00744702">
      <w:pPr>
        <w:pStyle w:val="FootnoteText"/>
        <w:rPr>
          <w:lang w:val="en-US"/>
        </w:rPr>
      </w:pPr>
      <w:r>
        <w:rPr>
          <w:rStyle w:val="FootnoteReference"/>
        </w:rPr>
        <w:footnoteRef/>
      </w:r>
      <w:r>
        <w:t xml:space="preserve"> </w:t>
      </w:r>
      <w:r>
        <w:rPr>
          <w:lang w:val="en-US"/>
        </w:rPr>
        <w:t>HH258-18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D60DED" w:rsidRDefault="00D60DED">
        <w:pPr>
          <w:pStyle w:val="Header"/>
          <w:jc w:val="right"/>
          <w:rPr>
            <w:noProof/>
          </w:rPr>
        </w:pPr>
        <w:r>
          <w:fldChar w:fldCharType="begin"/>
        </w:r>
        <w:r>
          <w:instrText xml:space="preserve"> PAGE   \* MERGEFORMAT </w:instrText>
        </w:r>
        <w:r>
          <w:fldChar w:fldCharType="separate"/>
        </w:r>
        <w:r w:rsidR="00C06FF4">
          <w:rPr>
            <w:noProof/>
          </w:rPr>
          <w:t>1</w:t>
        </w:r>
        <w:r>
          <w:rPr>
            <w:noProof/>
          </w:rPr>
          <w:fldChar w:fldCharType="end"/>
        </w:r>
      </w:p>
      <w:p w:rsidR="00CC6616" w:rsidRDefault="00CC6616">
        <w:pPr>
          <w:pStyle w:val="Header"/>
          <w:jc w:val="right"/>
          <w:rPr>
            <w:noProof/>
          </w:rPr>
        </w:pPr>
        <w:r>
          <w:rPr>
            <w:noProof/>
          </w:rPr>
          <w:t>HH</w:t>
        </w:r>
        <w:r w:rsidR="001C15BD">
          <w:rPr>
            <w:noProof/>
          </w:rPr>
          <w:t xml:space="preserve"> 194-21</w:t>
        </w:r>
      </w:p>
      <w:p w:rsidR="00D60DED" w:rsidRDefault="00D60DED" w:rsidP="0081013D">
        <w:pPr>
          <w:pStyle w:val="Header"/>
          <w:jc w:val="right"/>
          <w:rPr>
            <w:noProof/>
          </w:rPr>
        </w:pPr>
        <w:r>
          <w:rPr>
            <w:noProof/>
          </w:rPr>
          <w:t>HC</w:t>
        </w:r>
        <w:r w:rsidR="003039A8">
          <w:rPr>
            <w:noProof/>
          </w:rPr>
          <w:t xml:space="preserve"> 492</w:t>
        </w:r>
        <w:r w:rsidR="00A61CD2">
          <w:rPr>
            <w:noProof/>
          </w:rPr>
          <w:t>/19</w:t>
        </w:r>
      </w:p>
      <w:p w:rsidR="00D60DED" w:rsidRDefault="00F54FCF" w:rsidP="0054041B">
        <w:pPr>
          <w:pStyle w:val="Header"/>
          <w:jc w:val="right"/>
          <w:rPr>
            <w:noProof/>
          </w:rPr>
        </w:pPr>
      </w:p>
    </w:sdtContent>
  </w:sdt>
  <w:p w:rsidR="00D60DED" w:rsidRDefault="00D60DED">
    <w:pPr>
      <w:pStyle w:val="Header"/>
      <w:jc w:val="right"/>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66B"/>
    <w:multiLevelType w:val="hybridMultilevel"/>
    <w:tmpl w:val="A2528F18"/>
    <w:lvl w:ilvl="0" w:tplc="10784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1D74016"/>
    <w:multiLevelType w:val="hybridMultilevel"/>
    <w:tmpl w:val="44BA0394"/>
    <w:lvl w:ilvl="0" w:tplc="598A5B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3CA19F8"/>
    <w:multiLevelType w:val="hybridMultilevel"/>
    <w:tmpl w:val="55646C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4821A56"/>
    <w:multiLevelType w:val="hybridMultilevel"/>
    <w:tmpl w:val="BB426D58"/>
    <w:lvl w:ilvl="0" w:tplc="58E0DD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0B450C2B"/>
    <w:multiLevelType w:val="hybridMultilevel"/>
    <w:tmpl w:val="71069418"/>
    <w:lvl w:ilvl="0" w:tplc="6D90B1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0C287C14"/>
    <w:multiLevelType w:val="hybridMultilevel"/>
    <w:tmpl w:val="28A81A9E"/>
    <w:lvl w:ilvl="0" w:tplc="A25885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1B1A72AC"/>
    <w:multiLevelType w:val="hybridMultilevel"/>
    <w:tmpl w:val="2596739A"/>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1" w15:restartNumberingAfterBreak="0">
    <w:nsid w:val="20A21957"/>
    <w:multiLevelType w:val="hybridMultilevel"/>
    <w:tmpl w:val="79EA8452"/>
    <w:lvl w:ilvl="0" w:tplc="A600C6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2BAE727A"/>
    <w:multiLevelType w:val="hybridMultilevel"/>
    <w:tmpl w:val="99A82FFC"/>
    <w:lvl w:ilvl="0" w:tplc="A24E356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3A1A3B5C"/>
    <w:multiLevelType w:val="hybridMultilevel"/>
    <w:tmpl w:val="A3E873F8"/>
    <w:lvl w:ilvl="0" w:tplc="6EE6F9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F9922B8"/>
    <w:multiLevelType w:val="hybridMultilevel"/>
    <w:tmpl w:val="4DF2900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B886D6C"/>
    <w:multiLevelType w:val="hybridMultilevel"/>
    <w:tmpl w:val="24065AD0"/>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2" w15:restartNumberingAfterBreak="0">
    <w:nsid w:val="4CDE1686"/>
    <w:multiLevelType w:val="hybridMultilevel"/>
    <w:tmpl w:val="54D627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4FA1149B"/>
    <w:multiLevelType w:val="hybridMultilevel"/>
    <w:tmpl w:val="52F85DD8"/>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22808DD"/>
    <w:multiLevelType w:val="hybridMultilevel"/>
    <w:tmpl w:val="542EBDBE"/>
    <w:lvl w:ilvl="0" w:tplc="457E42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4273360"/>
    <w:multiLevelType w:val="hybridMultilevel"/>
    <w:tmpl w:val="EAA6A73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5B970142"/>
    <w:multiLevelType w:val="hybridMultilevel"/>
    <w:tmpl w:val="3702D76E"/>
    <w:lvl w:ilvl="0" w:tplc="362E1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636555AE"/>
    <w:multiLevelType w:val="hybridMultilevel"/>
    <w:tmpl w:val="F55AFEAE"/>
    <w:lvl w:ilvl="0" w:tplc="A28C53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6DFB0428"/>
    <w:multiLevelType w:val="hybridMultilevel"/>
    <w:tmpl w:val="C33200B6"/>
    <w:lvl w:ilvl="0" w:tplc="4FB685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7"/>
  </w:num>
  <w:num w:numId="2">
    <w:abstractNumId w:val="9"/>
  </w:num>
  <w:num w:numId="3">
    <w:abstractNumId w:val="5"/>
  </w:num>
  <w:num w:numId="4">
    <w:abstractNumId w:val="36"/>
  </w:num>
  <w:num w:numId="5">
    <w:abstractNumId w:val="37"/>
  </w:num>
  <w:num w:numId="6">
    <w:abstractNumId w:val="39"/>
  </w:num>
  <w:num w:numId="7">
    <w:abstractNumId w:val="17"/>
  </w:num>
  <w:num w:numId="8">
    <w:abstractNumId w:val="26"/>
  </w:num>
  <w:num w:numId="9">
    <w:abstractNumId w:val="35"/>
  </w:num>
  <w:num w:numId="10">
    <w:abstractNumId w:val="12"/>
  </w:num>
  <w:num w:numId="11">
    <w:abstractNumId w:val="31"/>
  </w:num>
  <w:num w:numId="12">
    <w:abstractNumId w:val="14"/>
  </w:num>
  <w:num w:numId="13">
    <w:abstractNumId w:val="24"/>
  </w:num>
  <w:num w:numId="14">
    <w:abstractNumId w:val="33"/>
  </w:num>
  <w:num w:numId="15">
    <w:abstractNumId w:val="38"/>
  </w:num>
  <w:num w:numId="16">
    <w:abstractNumId w:val="20"/>
  </w:num>
  <w:num w:numId="17">
    <w:abstractNumId w:val="6"/>
  </w:num>
  <w:num w:numId="18">
    <w:abstractNumId w:val="4"/>
  </w:num>
  <w:num w:numId="19">
    <w:abstractNumId w:val="19"/>
  </w:num>
  <w:num w:numId="20">
    <w:abstractNumId w:val="18"/>
  </w:num>
  <w:num w:numId="21">
    <w:abstractNumId w:val="23"/>
  </w:num>
  <w:num w:numId="22">
    <w:abstractNumId w:val="15"/>
  </w:num>
  <w:num w:numId="23">
    <w:abstractNumId w:val="34"/>
  </w:num>
  <w:num w:numId="24">
    <w:abstractNumId w:val="7"/>
  </w:num>
  <w:num w:numId="25">
    <w:abstractNumId w:val="21"/>
  </w:num>
  <w:num w:numId="26">
    <w:abstractNumId w:val="11"/>
  </w:num>
  <w:num w:numId="27">
    <w:abstractNumId w:val="32"/>
  </w:num>
  <w:num w:numId="28">
    <w:abstractNumId w:val="28"/>
  </w:num>
  <w:num w:numId="29">
    <w:abstractNumId w:val="13"/>
  </w:num>
  <w:num w:numId="30">
    <w:abstractNumId w:val="25"/>
  </w:num>
  <w:num w:numId="31">
    <w:abstractNumId w:val="3"/>
  </w:num>
  <w:num w:numId="32">
    <w:abstractNumId w:val="22"/>
  </w:num>
  <w:num w:numId="33">
    <w:abstractNumId w:val="30"/>
  </w:num>
  <w:num w:numId="34">
    <w:abstractNumId w:val="1"/>
  </w:num>
  <w:num w:numId="35">
    <w:abstractNumId w:val="8"/>
  </w:num>
  <w:num w:numId="36">
    <w:abstractNumId w:val="2"/>
  </w:num>
  <w:num w:numId="37">
    <w:abstractNumId w:val="0"/>
  </w:num>
  <w:num w:numId="38">
    <w:abstractNumId w:val="10"/>
  </w:num>
  <w:num w:numId="39">
    <w:abstractNumId w:val="16"/>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717"/>
    <w:rsid w:val="00002FFA"/>
    <w:rsid w:val="00006FE9"/>
    <w:rsid w:val="0001033C"/>
    <w:rsid w:val="00010DBB"/>
    <w:rsid w:val="00012D36"/>
    <w:rsid w:val="000147B5"/>
    <w:rsid w:val="00015EF0"/>
    <w:rsid w:val="00020429"/>
    <w:rsid w:val="00022BF3"/>
    <w:rsid w:val="00024C29"/>
    <w:rsid w:val="00025F45"/>
    <w:rsid w:val="00033073"/>
    <w:rsid w:val="0003388C"/>
    <w:rsid w:val="00036056"/>
    <w:rsid w:val="00040646"/>
    <w:rsid w:val="00047385"/>
    <w:rsid w:val="00050CDA"/>
    <w:rsid w:val="00051357"/>
    <w:rsid w:val="00052F53"/>
    <w:rsid w:val="0005429F"/>
    <w:rsid w:val="00062188"/>
    <w:rsid w:val="000657F4"/>
    <w:rsid w:val="00065992"/>
    <w:rsid w:val="00071180"/>
    <w:rsid w:val="00072CCD"/>
    <w:rsid w:val="00073E16"/>
    <w:rsid w:val="00074CFF"/>
    <w:rsid w:val="00077AE9"/>
    <w:rsid w:val="000807CC"/>
    <w:rsid w:val="00080C6C"/>
    <w:rsid w:val="0008185F"/>
    <w:rsid w:val="00083CFF"/>
    <w:rsid w:val="000844DF"/>
    <w:rsid w:val="00085813"/>
    <w:rsid w:val="000862D5"/>
    <w:rsid w:val="00090BBF"/>
    <w:rsid w:val="00093427"/>
    <w:rsid w:val="00093544"/>
    <w:rsid w:val="0009405E"/>
    <w:rsid w:val="00095AAE"/>
    <w:rsid w:val="00096727"/>
    <w:rsid w:val="0009761F"/>
    <w:rsid w:val="000A02D0"/>
    <w:rsid w:val="000B46C2"/>
    <w:rsid w:val="000C02B4"/>
    <w:rsid w:val="000C1585"/>
    <w:rsid w:val="000C65B2"/>
    <w:rsid w:val="000D228E"/>
    <w:rsid w:val="000D6175"/>
    <w:rsid w:val="000D7361"/>
    <w:rsid w:val="000E23D9"/>
    <w:rsid w:val="000E3E6F"/>
    <w:rsid w:val="000E426A"/>
    <w:rsid w:val="000E4F4E"/>
    <w:rsid w:val="000E5845"/>
    <w:rsid w:val="000E5EF2"/>
    <w:rsid w:val="000F6C31"/>
    <w:rsid w:val="001010E2"/>
    <w:rsid w:val="001015A9"/>
    <w:rsid w:val="00103D92"/>
    <w:rsid w:val="001113D3"/>
    <w:rsid w:val="00112DE6"/>
    <w:rsid w:val="001136AE"/>
    <w:rsid w:val="001136E5"/>
    <w:rsid w:val="0012003C"/>
    <w:rsid w:val="001225C0"/>
    <w:rsid w:val="00122EC5"/>
    <w:rsid w:val="00123797"/>
    <w:rsid w:val="00123FD7"/>
    <w:rsid w:val="001245CF"/>
    <w:rsid w:val="00132947"/>
    <w:rsid w:val="0013647D"/>
    <w:rsid w:val="00144F54"/>
    <w:rsid w:val="0014648F"/>
    <w:rsid w:val="00153236"/>
    <w:rsid w:val="001536DE"/>
    <w:rsid w:val="0016137A"/>
    <w:rsid w:val="00165726"/>
    <w:rsid w:val="00165A09"/>
    <w:rsid w:val="0017321C"/>
    <w:rsid w:val="00174FCA"/>
    <w:rsid w:val="00176836"/>
    <w:rsid w:val="00182886"/>
    <w:rsid w:val="00183D71"/>
    <w:rsid w:val="0019018D"/>
    <w:rsid w:val="00190755"/>
    <w:rsid w:val="00191489"/>
    <w:rsid w:val="001916DB"/>
    <w:rsid w:val="00192891"/>
    <w:rsid w:val="001929C6"/>
    <w:rsid w:val="00196A4E"/>
    <w:rsid w:val="001A0486"/>
    <w:rsid w:val="001A4E4C"/>
    <w:rsid w:val="001A562F"/>
    <w:rsid w:val="001A7735"/>
    <w:rsid w:val="001C0ACE"/>
    <w:rsid w:val="001C15BD"/>
    <w:rsid w:val="001C2B00"/>
    <w:rsid w:val="001C5AA9"/>
    <w:rsid w:val="001D05CA"/>
    <w:rsid w:val="001D298A"/>
    <w:rsid w:val="001D481A"/>
    <w:rsid w:val="001E0BDC"/>
    <w:rsid w:val="001E416C"/>
    <w:rsid w:val="001E5B90"/>
    <w:rsid w:val="001E6B61"/>
    <w:rsid w:val="001F0CCD"/>
    <w:rsid w:val="001F2230"/>
    <w:rsid w:val="001F7BE4"/>
    <w:rsid w:val="00201157"/>
    <w:rsid w:val="0020159D"/>
    <w:rsid w:val="002020BF"/>
    <w:rsid w:val="00202A27"/>
    <w:rsid w:val="00206CEC"/>
    <w:rsid w:val="00216B3D"/>
    <w:rsid w:val="00226660"/>
    <w:rsid w:val="00226AF2"/>
    <w:rsid w:val="00231449"/>
    <w:rsid w:val="002319D6"/>
    <w:rsid w:val="002405FA"/>
    <w:rsid w:val="00240D57"/>
    <w:rsid w:val="0024197D"/>
    <w:rsid w:val="00242E6F"/>
    <w:rsid w:val="0025106C"/>
    <w:rsid w:val="0025507C"/>
    <w:rsid w:val="0025531A"/>
    <w:rsid w:val="002564A8"/>
    <w:rsid w:val="0026135C"/>
    <w:rsid w:val="0026207C"/>
    <w:rsid w:val="00262A8F"/>
    <w:rsid w:val="00264214"/>
    <w:rsid w:val="002652BC"/>
    <w:rsid w:val="00273F92"/>
    <w:rsid w:val="002831A9"/>
    <w:rsid w:val="00293728"/>
    <w:rsid w:val="00294321"/>
    <w:rsid w:val="0029584D"/>
    <w:rsid w:val="00296A0E"/>
    <w:rsid w:val="002A1BDC"/>
    <w:rsid w:val="002A4B44"/>
    <w:rsid w:val="002A6D8A"/>
    <w:rsid w:val="002B7E9A"/>
    <w:rsid w:val="002C08FB"/>
    <w:rsid w:val="002C47EF"/>
    <w:rsid w:val="002D0D37"/>
    <w:rsid w:val="002D1DDF"/>
    <w:rsid w:val="002D62E1"/>
    <w:rsid w:val="002E06BE"/>
    <w:rsid w:val="002E0DD3"/>
    <w:rsid w:val="002E29B2"/>
    <w:rsid w:val="002E32EC"/>
    <w:rsid w:val="002E5B08"/>
    <w:rsid w:val="002E7C2E"/>
    <w:rsid w:val="002F0BBA"/>
    <w:rsid w:val="002F3DB8"/>
    <w:rsid w:val="00300971"/>
    <w:rsid w:val="003039A8"/>
    <w:rsid w:val="0030663C"/>
    <w:rsid w:val="003071B4"/>
    <w:rsid w:val="00307496"/>
    <w:rsid w:val="00307F43"/>
    <w:rsid w:val="003165A1"/>
    <w:rsid w:val="00320282"/>
    <w:rsid w:val="00321664"/>
    <w:rsid w:val="0032169A"/>
    <w:rsid w:val="00321C3A"/>
    <w:rsid w:val="0032298B"/>
    <w:rsid w:val="00324047"/>
    <w:rsid w:val="003273C1"/>
    <w:rsid w:val="00330BE9"/>
    <w:rsid w:val="003402F1"/>
    <w:rsid w:val="00342680"/>
    <w:rsid w:val="0034450B"/>
    <w:rsid w:val="00345F6C"/>
    <w:rsid w:val="0034675B"/>
    <w:rsid w:val="00350A81"/>
    <w:rsid w:val="00350CA6"/>
    <w:rsid w:val="003517A9"/>
    <w:rsid w:val="00351A53"/>
    <w:rsid w:val="00355C36"/>
    <w:rsid w:val="00371DFB"/>
    <w:rsid w:val="00390475"/>
    <w:rsid w:val="00390E7B"/>
    <w:rsid w:val="0039582E"/>
    <w:rsid w:val="00397B6F"/>
    <w:rsid w:val="003A0AA1"/>
    <w:rsid w:val="003A6F9C"/>
    <w:rsid w:val="003B20BF"/>
    <w:rsid w:val="003B3903"/>
    <w:rsid w:val="003B3C42"/>
    <w:rsid w:val="003B5CC5"/>
    <w:rsid w:val="003C2681"/>
    <w:rsid w:val="003C44DA"/>
    <w:rsid w:val="003C5EE9"/>
    <w:rsid w:val="003C7662"/>
    <w:rsid w:val="003D00DF"/>
    <w:rsid w:val="003D0CE8"/>
    <w:rsid w:val="003D0FEC"/>
    <w:rsid w:val="003D2792"/>
    <w:rsid w:val="003D3E83"/>
    <w:rsid w:val="003D670B"/>
    <w:rsid w:val="003D7AE0"/>
    <w:rsid w:val="003E3361"/>
    <w:rsid w:val="003E3B17"/>
    <w:rsid w:val="003E5E20"/>
    <w:rsid w:val="003F2824"/>
    <w:rsid w:val="003F304A"/>
    <w:rsid w:val="003F3A45"/>
    <w:rsid w:val="003F643B"/>
    <w:rsid w:val="0040093B"/>
    <w:rsid w:val="0041452D"/>
    <w:rsid w:val="004203A1"/>
    <w:rsid w:val="00425019"/>
    <w:rsid w:val="004265BA"/>
    <w:rsid w:val="004309C1"/>
    <w:rsid w:val="0043347A"/>
    <w:rsid w:val="00437D7D"/>
    <w:rsid w:val="00443D52"/>
    <w:rsid w:val="004445DA"/>
    <w:rsid w:val="004475E6"/>
    <w:rsid w:val="004500CB"/>
    <w:rsid w:val="00451135"/>
    <w:rsid w:val="004512E7"/>
    <w:rsid w:val="004529AB"/>
    <w:rsid w:val="00453BC6"/>
    <w:rsid w:val="004565D2"/>
    <w:rsid w:val="00460D28"/>
    <w:rsid w:val="00460F6B"/>
    <w:rsid w:val="00461967"/>
    <w:rsid w:val="004639FA"/>
    <w:rsid w:val="0047011C"/>
    <w:rsid w:val="00471446"/>
    <w:rsid w:val="00472D5B"/>
    <w:rsid w:val="004735E9"/>
    <w:rsid w:val="0047591B"/>
    <w:rsid w:val="00482DE2"/>
    <w:rsid w:val="00483ECA"/>
    <w:rsid w:val="00485DC3"/>
    <w:rsid w:val="004877F9"/>
    <w:rsid w:val="00491066"/>
    <w:rsid w:val="00494456"/>
    <w:rsid w:val="00495FDC"/>
    <w:rsid w:val="004A06CC"/>
    <w:rsid w:val="004A2D67"/>
    <w:rsid w:val="004C78B7"/>
    <w:rsid w:val="004C7B4C"/>
    <w:rsid w:val="004D1803"/>
    <w:rsid w:val="004D4139"/>
    <w:rsid w:val="004D6946"/>
    <w:rsid w:val="004E2EFD"/>
    <w:rsid w:val="004E4BA6"/>
    <w:rsid w:val="004E556B"/>
    <w:rsid w:val="004E5EC6"/>
    <w:rsid w:val="004E6CC3"/>
    <w:rsid w:val="005019BD"/>
    <w:rsid w:val="005019E3"/>
    <w:rsid w:val="005023C5"/>
    <w:rsid w:val="00503A3D"/>
    <w:rsid w:val="005050EB"/>
    <w:rsid w:val="005066B5"/>
    <w:rsid w:val="0051094F"/>
    <w:rsid w:val="00513488"/>
    <w:rsid w:val="00517300"/>
    <w:rsid w:val="005213E9"/>
    <w:rsid w:val="00521501"/>
    <w:rsid w:val="00524220"/>
    <w:rsid w:val="005307F7"/>
    <w:rsid w:val="0053094D"/>
    <w:rsid w:val="00531623"/>
    <w:rsid w:val="0053181F"/>
    <w:rsid w:val="00532124"/>
    <w:rsid w:val="0053256A"/>
    <w:rsid w:val="0053312D"/>
    <w:rsid w:val="005375A5"/>
    <w:rsid w:val="0054041B"/>
    <w:rsid w:val="00540495"/>
    <w:rsid w:val="00542B0B"/>
    <w:rsid w:val="0054306C"/>
    <w:rsid w:val="005432BC"/>
    <w:rsid w:val="00550CAB"/>
    <w:rsid w:val="00553215"/>
    <w:rsid w:val="00553418"/>
    <w:rsid w:val="00556EB9"/>
    <w:rsid w:val="00557430"/>
    <w:rsid w:val="00557E46"/>
    <w:rsid w:val="00565116"/>
    <w:rsid w:val="00566A1F"/>
    <w:rsid w:val="0057306E"/>
    <w:rsid w:val="00573C5E"/>
    <w:rsid w:val="0057413E"/>
    <w:rsid w:val="00585BA6"/>
    <w:rsid w:val="00586A2C"/>
    <w:rsid w:val="005870FA"/>
    <w:rsid w:val="00587660"/>
    <w:rsid w:val="00592B58"/>
    <w:rsid w:val="00593FEE"/>
    <w:rsid w:val="00595728"/>
    <w:rsid w:val="00595F6A"/>
    <w:rsid w:val="005A10F8"/>
    <w:rsid w:val="005A2C1C"/>
    <w:rsid w:val="005A63D6"/>
    <w:rsid w:val="005A6410"/>
    <w:rsid w:val="005A7155"/>
    <w:rsid w:val="005B2D7F"/>
    <w:rsid w:val="005C213D"/>
    <w:rsid w:val="005C3F5C"/>
    <w:rsid w:val="005C6408"/>
    <w:rsid w:val="005C6A66"/>
    <w:rsid w:val="005D2DFA"/>
    <w:rsid w:val="005D41DC"/>
    <w:rsid w:val="005D4DAE"/>
    <w:rsid w:val="005D5F5F"/>
    <w:rsid w:val="005D6AE9"/>
    <w:rsid w:val="005E1FC3"/>
    <w:rsid w:val="005F01DA"/>
    <w:rsid w:val="005F5D5C"/>
    <w:rsid w:val="005F63AD"/>
    <w:rsid w:val="00607999"/>
    <w:rsid w:val="00610D6E"/>
    <w:rsid w:val="00611E35"/>
    <w:rsid w:val="00613729"/>
    <w:rsid w:val="00615161"/>
    <w:rsid w:val="006165D2"/>
    <w:rsid w:val="00617093"/>
    <w:rsid w:val="00623987"/>
    <w:rsid w:val="006247B8"/>
    <w:rsid w:val="0062597B"/>
    <w:rsid w:val="00626888"/>
    <w:rsid w:val="006302DD"/>
    <w:rsid w:val="006343F5"/>
    <w:rsid w:val="0064067B"/>
    <w:rsid w:val="00640901"/>
    <w:rsid w:val="00651153"/>
    <w:rsid w:val="00652464"/>
    <w:rsid w:val="00654C9B"/>
    <w:rsid w:val="0065775F"/>
    <w:rsid w:val="006609E8"/>
    <w:rsid w:val="006622DF"/>
    <w:rsid w:val="006651EB"/>
    <w:rsid w:val="00673887"/>
    <w:rsid w:val="00674C27"/>
    <w:rsid w:val="00676928"/>
    <w:rsid w:val="006802A1"/>
    <w:rsid w:val="0068380A"/>
    <w:rsid w:val="0069383B"/>
    <w:rsid w:val="00694626"/>
    <w:rsid w:val="0069749B"/>
    <w:rsid w:val="00697720"/>
    <w:rsid w:val="00697D53"/>
    <w:rsid w:val="006A02F3"/>
    <w:rsid w:val="006A05B9"/>
    <w:rsid w:val="006A0EBF"/>
    <w:rsid w:val="006A21E5"/>
    <w:rsid w:val="006A2509"/>
    <w:rsid w:val="006A2875"/>
    <w:rsid w:val="006A65B3"/>
    <w:rsid w:val="006B164B"/>
    <w:rsid w:val="006B2428"/>
    <w:rsid w:val="006B3F67"/>
    <w:rsid w:val="006B7F5C"/>
    <w:rsid w:val="006C20C8"/>
    <w:rsid w:val="006D3BEB"/>
    <w:rsid w:val="006D485A"/>
    <w:rsid w:val="006D6CDE"/>
    <w:rsid w:val="006D6E91"/>
    <w:rsid w:val="006D7AEF"/>
    <w:rsid w:val="006E4C89"/>
    <w:rsid w:val="006E5F5F"/>
    <w:rsid w:val="006E6AC6"/>
    <w:rsid w:val="006E6D32"/>
    <w:rsid w:val="006F290D"/>
    <w:rsid w:val="006F50AA"/>
    <w:rsid w:val="006F77FF"/>
    <w:rsid w:val="006F7DF0"/>
    <w:rsid w:val="00700560"/>
    <w:rsid w:val="0070258F"/>
    <w:rsid w:val="00705117"/>
    <w:rsid w:val="007079A8"/>
    <w:rsid w:val="0071197D"/>
    <w:rsid w:val="0071201C"/>
    <w:rsid w:val="00716063"/>
    <w:rsid w:val="00716AF5"/>
    <w:rsid w:val="007204EB"/>
    <w:rsid w:val="00720544"/>
    <w:rsid w:val="0072318E"/>
    <w:rsid w:val="0072321F"/>
    <w:rsid w:val="007275F2"/>
    <w:rsid w:val="0073687C"/>
    <w:rsid w:val="00737BDD"/>
    <w:rsid w:val="00744702"/>
    <w:rsid w:val="007455BE"/>
    <w:rsid w:val="0074620D"/>
    <w:rsid w:val="007513F4"/>
    <w:rsid w:val="00753C5C"/>
    <w:rsid w:val="00754C4C"/>
    <w:rsid w:val="0076341D"/>
    <w:rsid w:val="0076426B"/>
    <w:rsid w:val="00764563"/>
    <w:rsid w:val="00766DB1"/>
    <w:rsid w:val="007703F9"/>
    <w:rsid w:val="00774C0E"/>
    <w:rsid w:val="00775EC9"/>
    <w:rsid w:val="007768A8"/>
    <w:rsid w:val="007832B1"/>
    <w:rsid w:val="00783C63"/>
    <w:rsid w:val="007903D3"/>
    <w:rsid w:val="00791E9F"/>
    <w:rsid w:val="0079330E"/>
    <w:rsid w:val="007A0ADB"/>
    <w:rsid w:val="007A13DA"/>
    <w:rsid w:val="007A21CF"/>
    <w:rsid w:val="007A2882"/>
    <w:rsid w:val="007A3773"/>
    <w:rsid w:val="007A39E6"/>
    <w:rsid w:val="007A5BC0"/>
    <w:rsid w:val="007A6B0B"/>
    <w:rsid w:val="007B21C3"/>
    <w:rsid w:val="007B342F"/>
    <w:rsid w:val="007B35B9"/>
    <w:rsid w:val="007B4B62"/>
    <w:rsid w:val="007B4B9D"/>
    <w:rsid w:val="007B6BCE"/>
    <w:rsid w:val="007B6C56"/>
    <w:rsid w:val="007B7D1C"/>
    <w:rsid w:val="007C15A7"/>
    <w:rsid w:val="007C2219"/>
    <w:rsid w:val="007C67FF"/>
    <w:rsid w:val="007D627B"/>
    <w:rsid w:val="007D7A7A"/>
    <w:rsid w:val="007D7E4B"/>
    <w:rsid w:val="007E4DDA"/>
    <w:rsid w:val="007E6049"/>
    <w:rsid w:val="007F1635"/>
    <w:rsid w:val="0080069A"/>
    <w:rsid w:val="00800D9E"/>
    <w:rsid w:val="00804275"/>
    <w:rsid w:val="00806CB3"/>
    <w:rsid w:val="00807117"/>
    <w:rsid w:val="00807C07"/>
    <w:rsid w:val="0081013D"/>
    <w:rsid w:val="00811906"/>
    <w:rsid w:val="0081218F"/>
    <w:rsid w:val="00820BF8"/>
    <w:rsid w:val="00821DBB"/>
    <w:rsid w:val="00830D78"/>
    <w:rsid w:val="00831025"/>
    <w:rsid w:val="00843C2C"/>
    <w:rsid w:val="00851174"/>
    <w:rsid w:val="008538E5"/>
    <w:rsid w:val="00855D51"/>
    <w:rsid w:val="0086046E"/>
    <w:rsid w:val="00862C84"/>
    <w:rsid w:val="0086329F"/>
    <w:rsid w:val="00864E52"/>
    <w:rsid w:val="0086651B"/>
    <w:rsid w:val="00882EFC"/>
    <w:rsid w:val="008834AE"/>
    <w:rsid w:val="008837D8"/>
    <w:rsid w:val="00890585"/>
    <w:rsid w:val="00892080"/>
    <w:rsid w:val="008926B1"/>
    <w:rsid w:val="00894F4F"/>
    <w:rsid w:val="008A166C"/>
    <w:rsid w:val="008A73E6"/>
    <w:rsid w:val="008A7603"/>
    <w:rsid w:val="008A7B38"/>
    <w:rsid w:val="008A7CF2"/>
    <w:rsid w:val="008B04F7"/>
    <w:rsid w:val="008B0512"/>
    <w:rsid w:val="008B1E96"/>
    <w:rsid w:val="008B7F1F"/>
    <w:rsid w:val="008C08C3"/>
    <w:rsid w:val="008C48D1"/>
    <w:rsid w:val="008C6468"/>
    <w:rsid w:val="008C7F32"/>
    <w:rsid w:val="008D21A7"/>
    <w:rsid w:val="008D51A3"/>
    <w:rsid w:val="008D5B14"/>
    <w:rsid w:val="008E508B"/>
    <w:rsid w:val="008F183D"/>
    <w:rsid w:val="008F79B4"/>
    <w:rsid w:val="00902F2A"/>
    <w:rsid w:val="00902F54"/>
    <w:rsid w:val="009049A6"/>
    <w:rsid w:val="00904D2B"/>
    <w:rsid w:val="00905E99"/>
    <w:rsid w:val="00907296"/>
    <w:rsid w:val="00910254"/>
    <w:rsid w:val="009160A2"/>
    <w:rsid w:val="00920B5E"/>
    <w:rsid w:val="00921768"/>
    <w:rsid w:val="00921972"/>
    <w:rsid w:val="00924F5C"/>
    <w:rsid w:val="00930208"/>
    <w:rsid w:val="0093314F"/>
    <w:rsid w:val="00933F36"/>
    <w:rsid w:val="00935391"/>
    <w:rsid w:val="009358C4"/>
    <w:rsid w:val="00936404"/>
    <w:rsid w:val="00940045"/>
    <w:rsid w:val="0094091C"/>
    <w:rsid w:val="00943046"/>
    <w:rsid w:val="009431C9"/>
    <w:rsid w:val="00943DCA"/>
    <w:rsid w:val="009440A9"/>
    <w:rsid w:val="00944AE6"/>
    <w:rsid w:val="00950A73"/>
    <w:rsid w:val="0095281D"/>
    <w:rsid w:val="00954F68"/>
    <w:rsid w:val="0096125E"/>
    <w:rsid w:val="009616C9"/>
    <w:rsid w:val="00964440"/>
    <w:rsid w:val="00964A1D"/>
    <w:rsid w:val="00965DA1"/>
    <w:rsid w:val="0097294C"/>
    <w:rsid w:val="009730A7"/>
    <w:rsid w:val="009746D4"/>
    <w:rsid w:val="009753AB"/>
    <w:rsid w:val="0098161D"/>
    <w:rsid w:val="00984237"/>
    <w:rsid w:val="009854EA"/>
    <w:rsid w:val="00985E35"/>
    <w:rsid w:val="00987997"/>
    <w:rsid w:val="00987E5E"/>
    <w:rsid w:val="00992A46"/>
    <w:rsid w:val="0099314D"/>
    <w:rsid w:val="00993CC3"/>
    <w:rsid w:val="00996296"/>
    <w:rsid w:val="009A06C1"/>
    <w:rsid w:val="009A1665"/>
    <w:rsid w:val="009A1CBE"/>
    <w:rsid w:val="009A724F"/>
    <w:rsid w:val="009A7E9C"/>
    <w:rsid w:val="009B4612"/>
    <w:rsid w:val="009B6A22"/>
    <w:rsid w:val="009B6C41"/>
    <w:rsid w:val="009B75E2"/>
    <w:rsid w:val="009C1242"/>
    <w:rsid w:val="009C63FE"/>
    <w:rsid w:val="009D21A8"/>
    <w:rsid w:val="009D24C0"/>
    <w:rsid w:val="009D53FA"/>
    <w:rsid w:val="009E3F68"/>
    <w:rsid w:val="009F602C"/>
    <w:rsid w:val="009F6E30"/>
    <w:rsid w:val="00A011B9"/>
    <w:rsid w:val="00A022AE"/>
    <w:rsid w:val="00A15025"/>
    <w:rsid w:val="00A157ED"/>
    <w:rsid w:val="00A21E6F"/>
    <w:rsid w:val="00A224BE"/>
    <w:rsid w:val="00A24E92"/>
    <w:rsid w:val="00A2642B"/>
    <w:rsid w:val="00A32902"/>
    <w:rsid w:val="00A33497"/>
    <w:rsid w:val="00A411CF"/>
    <w:rsid w:val="00A42911"/>
    <w:rsid w:val="00A43EE6"/>
    <w:rsid w:val="00A441C6"/>
    <w:rsid w:val="00A44BB3"/>
    <w:rsid w:val="00A465F8"/>
    <w:rsid w:val="00A46FB7"/>
    <w:rsid w:val="00A51B2A"/>
    <w:rsid w:val="00A5344D"/>
    <w:rsid w:val="00A53E8D"/>
    <w:rsid w:val="00A574D3"/>
    <w:rsid w:val="00A61CD2"/>
    <w:rsid w:val="00A620DB"/>
    <w:rsid w:val="00A620E5"/>
    <w:rsid w:val="00A63DCC"/>
    <w:rsid w:val="00A643DE"/>
    <w:rsid w:val="00A66595"/>
    <w:rsid w:val="00A70274"/>
    <w:rsid w:val="00A71BC1"/>
    <w:rsid w:val="00A72477"/>
    <w:rsid w:val="00A74CDA"/>
    <w:rsid w:val="00A8089E"/>
    <w:rsid w:val="00A8164E"/>
    <w:rsid w:val="00A820E4"/>
    <w:rsid w:val="00A8553D"/>
    <w:rsid w:val="00A91397"/>
    <w:rsid w:val="00A93DB8"/>
    <w:rsid w:val="00A96EB7"/>
    <w:rsid w:val="00AA1FB6"/>
    <w:rsid w:val="00AA3CD3"/>
    <w:rsid w:val="00AA75D1"/>
    <w:rsid w:val="00AB0D84"/>
    <w:rsid w:val="00AB222B"/>
    <w:rsid w:val="00AB34A2"/>
    <w:rsid w:val="00AB6264"/>
    <w:rsid w:val="00AB6AD1"/>
    <w:rsid w:val="00AC0E9E"/>
    <w:rsid w:val="00AC368F"/>
    <w:rsid w:val="00AC5598"/>
    <w:rsid w:val="00AD30D7"/>
    <w:rsid w:val="00AE01AC"/>
    <w:rsid w:val="00AE1630"/>
    <w:rsid w:val="00AE6CC5"/>
    <w:rsid w:val="00AF0243"/>
    <w:rsid w:val="00AF6176"/>
    <w:rsid w:val="00B00361"/>
    <w:rsid w:val="00B0367B"/>
    <w:rsid w:val="00B13657"/>
    <w:rsid w:val="00B221D8"/>
    <w:rsid w:val="00B2441C"/>
    <w:rsid w:val="00B25DE2"/>
    <w:rsid w:val="00B27F25"/>
    <w:rsid w:val="00B33832"/>
    <w:rsid w:val="00B3468F"/>
    <w:rsid w:val="00B34F7A"/>
    <w:rsid w:val="00B37BD6"/>
    <w:rsid w:val="00B453EE"/>
    <w:rsid w:val="00B51D18"/>
    <w:rsid w:val="00B6195C"/>
    <w:rsid w:val="00B61A93"/>
    <w:rsid w:val="00B61EB9"/>
    <w:rsid w:val="00B636DE"/>
    <w:rsid w:val="00B64122"/>
    <w:rsid w:val="00B72263"/>
    <w:rsid w:val="00B773CF"/>
    <w:rsid w:val="00B872B7"/>
    <w:rsid w:val="00B92437"/>
    <w:rsid w:val="00BA44E5"/>
    <w:rsid w:val="00BA600E"/>
    <w:rsid w:val="00BA799A"/>
    <w:rsid w:val="00BB1D1B"/>
    <w:rsid w:val="00BB24DC"/>
    <w:rsid w:val="00BB65BA"/>
    <w:rsid w:val="00BC3355"/>
    <w:rsid w:val="00BC5EBB"/>
    <w:rsid w:val="00BE25F4"/>
    <w:rsid w:val="00BE611F"/>
    <w:rsid w:val="00BE633C"/>
    <w:rsid w:val="00BF1C88"/>
    <w:rsid w:val="00BF3061"/>
    <w:rsid w:val="00BF3FBA"/>
    <w:rsid w:val="00BF6A37"/>
    <w:rsid w:val="00BF6D6C"/>
    <w:rsid w:val="00C06FF4"/>
    <w:rsid w:val="00C104A1"/>
    <w:rsid w:val="00C149E7"/>
    <w:rsid w:val="00C20587"/>
    <w:rsid w:val="00C210AF"/>
    <w:rsid w:val="00C260AE"/>
    <w:rsid w:val="00C31B57"/>
    <w:rsid w:val="00C34288"/>
    <w:rsid w:val="00C347AB"/>
    <w:rsid w:val="00C34E97"/>
    <w:rsid w:val="00C36767"/>
    <w:rsid w:val="00C41974"/>
    <w:rsid w:val="00C448D4"/>
    <w:rsid w:val="00C63838"/>
    <w:rsid w:val="00C65A52"/>
    <w:rsid w:val="00C66194"/>
    <w:rsid w:val="00C663EF"/>
    <w:rsid w:val="00C773D1"/>
    <w:rsid w:val="00C8080B"/>
    <w:rsid w:val="00C82DDA"/>
    <w:rsid w:val="00C82DE5"/>
    <w:rsid w:val="00C8309F"/>
    <w:rsid w:val="00C84DF1"/>
    <w:rsid w:val="00C87130"/>
    <w:rsid w:val="00C874AC"/>
    <w:rsid w:val="00C90CC1"/>
    <w:rsid w:val="00CA0412"/>
    <w:rsid w:val="00CB0D71"/>
    <w:rsid w:val="00CB1B98"/>
    <w:rsid w:val="00CB1D00"/>
    <w:rsid w:val="00CB6934"/>
    <w:rsid w:val="00CB69D9"/>
    <w:rsid w:val="00CC0F35"/>
    <w:rsid w:val="00CC552A"/>
    <w:rsid w:val="00CC6616"/>
    <w:rsid w:val="00CD1665"/>
    <w:rsid w:val="00CD1898"/>
    <w:rsid w:val="00CD48C0"/>
    <w:rsid w:val="00CD685C"/>
    <w:rsid w:val="00CE58C2"/>
    <w:rsid w:val="00CF106B"/>
    <w:rsid w:val="00CF3143"/>
    <w:rsid w:val="00CF3A96"/>
    <w:rsid w:val="00CF6279"/>
    <w:rsid w:val="00D12F8B"/>
    <w:rsid w:val="00D1434C"/>
    <w:rsid w:val="00D20805"/>
    <w:rsid w:val="00D21C50"/>
    <w:rsid w:val="00D24ED2"/>
    <w:rsid w:val="00D2625C"/>
    <w:rsid w:val="00D26F91"/>
    <w:rsid w:val="00D3143A"/>
    <w:rsid w:val="00D3509E"/>
    <w:rsid w:val="00D35864"/>
    <w:rsid w:val="00D37968"/>
    <w:rsid w:val="00D409AF"/>
    <w:rsid w:val="00D40A47"/>
    <w:rsid w:val="00D43339"/>
    <w:rsid w:val="00D44ED3"/>
    <w:rsid w:val="00D47206"/>
    <w:rsid w:val="00D51414"/>
    <w:rsid w:val="00D518C5"/>
    <w:rsid w:val="00D54499"/>
    <w:rsid w:val="00D559FF"/>
    <w:rsid w:val="00D55DD3"/>
    <w:rsid w:val="00D60DED"/>
    <w:rsid w:val="00D611EB"/>
    <w:rsid w:val="00D67081"/>
    <w:rsid w:val="00D71A82"/>
    <w:rsid w:val="00D75BB6"/>
    <w:rsid w:val="00D7717B"/>
    <w:rsid w:val="00D828DE"/>
    <w:rsid w:val="00D87187"/>
    <w:rsid w:val="00D93732"/>
    <w:rsid w:val="00D942D1"/>
    <w:rsid w:val="00D96EF2"/>
    <w:rsid w:val="00D97910"/>
    <w:rsid w:val="00DA4E3D"/>
    <w:rsid w:val="00DB1CBD"/>
    <w:rsid w:val="00DB4B0A"/>
    <w:rsid w:val="00DB5BB1"/>
    <w:rsid w:val="00DC27FF"/>
    <w:rsid w:val="00DC2A46"/>
    <w:rsid w:val="00DC6B9A"/>
    <w:rsid w:val="00DC77DA"/>
    <w:rsid w:val="00DD718E"/>
    <w:rsid w:val="00DD77FF"/>
    <w:rsid w:val="00DE5C8D"/>
    <w:rsid w:val="00DE6A14"/>
    <w:rsid w:val="00DE793E"/>
    <w:rsid w:val="00DF7AE0"/>
    <w:rsid w:val="00E04C72"/>
    <w:rsid w:val="00E13D75"/>
    <w:rsid w:val="00E15273"/>
    <w:rsid w:val="00E16D07"/>
    <w:rsid w:val="00E21420"/>
    <w:rsid w:val="00E2517A"/>
    <w:rsid w:val="00E35E50"/>
    <w:rsid w:val="00E4032E"/>
    <w:rsid w:val="00E41939"/>
    <w:rsid w:val="00E44D15"/>
    <w:rsid w:val="00E45F2C"/>
    <w:rsid w:val="00E47290"/>
    <w:rsid w:val="00E5163E"/>
    <w:rsid w:val="00E545C9"/>
    <w:rsid w:val="00E54F54"/>
    <w:rsid w:val="00E55A95"/>
    <w:rsid w:val="00E5797F"/>
    <w:rsid w:val="00E6012A"/>
    <w:rsid w:val="00E60D95"/>
    <w:rsid w:val="00E612A9"/>
    <w:rsid w:val="00E66010"/>
    <w:rsid w:val="00E73E53"/>
    <w:rsid w:val="00E74A57"/>
    <w:rsid w:val="00E762FE"/>
    <w:rsid w:val="00E807BD"/>
    <w:rsid w:val="00E81599"/>
    <w:rsid w:val="00E81695"/>
    <w:rsid w:val="00E84641"/>
    <w:rsid w:val="00E85705"/>
    <w:rsid w:val="00E8667E"/>
    <w:rsid w:val="00E90BDA"/>
    <w:rsid w:val="00E90CDA"/>
    <w:rsid w:val="00E97E19"/>
    <w:rsid w:val="00EA6510"/>
    <w:rsid w:val="00EB1BD4"/>
    <w:rsid w:val="00EB5837"/>
    <w:rsid w:val="00EB605A"/>
    <w:rsid w:val="00EC66CA"/>
    <w:rsid w:val="00ED03C9"/>
    <w:rsid w:val="00ED34E4"/>
    <w:rsid w:val="00ED4FAA"/>
    <w:rsid w:val="00ED5E2E"/>
    <w:rsid w:val="00ED76B0"/>
    <w:rsid w:val="00EE147D"/>
    <w:rsid w:val="00EE1B58"/>
    <w:rsid w:val="00EE22C4"/>
    <w:rsid w:val="00EE412F"/>
    <w:rsid w:val="00EE658C"/>
    <w:rsid w:val="00EE779E"/>
    <w:rsid w:val="00EF231A"/>
    <w:rsid w:val="00EF3939"/>
    <w:rsid w:val="00EF3A9B"/>
    <w:rsid w:val="00EF658B"/>
    <w:rsid w:val="00F00E80"/>
    <w:rsid w:val="00F07DCB"/>
    <w:rsid w:val="00F13658"/>
    <w:rsid w:val="00F2739C"/>
    <w:rsid w:val="00F31E66"/>
    <w:rsid w:val="00F31ED6"/>
    <w:rsid w:val="00F34FA3"/>
    <w:rsid w:val="00F36CD7"/>
    <w:rsid w:val="00F371E2"/>
    <w:rsid w:val="00F37665"/>
    <w:rsid w:val="00F40BC8"/>
    <w:rsid w:val="00F41839"/>
    <w:rsid w:val="00F43CCD"/>
    <w:rsid w:val="00F43F31"/>
    <w:rsid w:val="00F44250"/>
    <w:rsid w:val="00F44265"/>
    <w:rsid w:val="00F44398"/>
    <w:rsid w:val="00F52AD4"/>
    <w:rsid w:val="00F53C8A"/>
    <w:rsid w:val="00F5426A"/>
    <w:rsid w:val="00F54FCF"/>
    <w:rsid w:val="00F55A63"/>
    <w:rsid w:val="00F634F8"/>
    <w:rsid w:val="00F6679B"/>
    <w:rsid w:val="00F66DD6"/>
    <w:rsid w:val="00F7027B"/>
    <w:rsid w:val="00F74946"/>
    <w:rsid w:val="00F74C5F"/>
    <w:rsid w:val="00F768EA"/>
    <w:rsid w:val="00F802A1"/>
    <w:rsid w:val="00F903E5"/>
    <w:rsid w:val="00F92802"/>
    <w:rsid w:val="00F97227"/>
    <w:rsid w:val="00FA0532"/>
    <w:rsid w:val="00FA5BAB"/>
    <w:rsid w:val="00FA6187"/>
    <w:rsid w:val="00FB1CD5"/>
    <w:rsid w:val="00FB432C"/>
    <w:rsid w:val="00FC146E"/>
    <w:rsid w:val="00FC336F"/>
    <w:rsid w:val="00FC5220"/>
    <w:rsid w:val="00FC6FD9"/>
    <w:rsid w:val="00FD3454"/>
    <w:rsid w:val="00FD7503"/>
    <w:rsid w:val="00FE218C"/>
    <w:rsid w:val="00FE34F2"/>
    <w:rsid w:val="00FF09BB"/>
    <w:rsid w:val="00FF1B85"/>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E43A8"/>
  <w15:docId w15:val="{66332CDD-C63C-4724-BA8B-24EA1B11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 w:type="character" w:styleId="CommentReference">
    <w:name w:val="annotation reference"/>
    <w:basedOn w:val="DefaultParagraphFont"/>
    <w:uiPriority w:val="99"/>
    <w:semiHidden/>
    <w:unhideWhenUsed/>
    <w:rsid w:val="00C448D4"/>
    <w:rPr>
      <w:sz w:val="16"/>
      <w:szCs w:val="16"/>
    </w:rPr>
  </w:style>
  <w:style w:type="paragraph" w:styleId="CommentText">
    <w:name w:val="annotation text"/>
    <w:basedOn w:val="Normal"/>
    <w:link w:val="CommentTextChar"/>
    <w:uiPriority w:val="99"/>
    <w:semiHidden/>
    <w:unhideWhenUsed/>
    <w:rsid w:val="00C448D4"/>
    <w:pPr>
      <w:spacing w:line="240" w:lineRule="auto"/>
    </w:pPr>
    <w:rPr>
      <w:sz w:val="20"/>
      <w:szCs w:val="20"/>
    </w:rPr>
  </w:style>
  <w:style w:type="character" w:customStyle="1" w:styleId="CommentTextChar">
    <w:name w:val="Comment Text Char"/>
    <w:basedOn w:val="DefaultParagraphFont"/>
    <w:link w:val="CommentText"/>
    <w:uiPriority w:val="99"/>
    <w:semiHidden/>
    <w:rsid w:val="00C448D4"/>
    <w:rPr>
      <w:sz w:val="20"/>
      <w:szCs w:val="20"/>
    </w:rPr>
  </w:style>
  <w:style w:type="paragraph" w:styleId="CommentSubject">
    <w:name w:val="annotation subject"/>
    <w:basedOn w:val="CommentText"/>
    <w:next w:val="CommentText"/>
    <w:link w:val="CommentSubjectChar"/>
    <w:uiPriority w:val="99"/>
    <w:semiHidden/>
    <w:unhideWhenUsed/>
    <w:rsid w:val="00C448D4"/>
    <w:rPr>
      <w:b/>
      <w:bCs/>
    </w:rPr>
  </w:style>
  <w:style w:type="character" w:customStyle="1" w:styleId="CommentSubjectChar">
    <w:name w:val="Comment Subject Char"/>
    <w:basedOn w:val="CommentTextChar"/>
    <w:link w:val="CommentSubject"/>
    <w:uiPriority w:val="99"/>
    <w:semiHidden/>
    <w:rsid w:val="00C44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3136">
      <w:bodyDiv w:val="1"/>
      <w:marLeft w:val="0"/>
      <w:marRight w:val="0"/>
      <w:marTop w:val="0"/>
      <w:marBottom w:val="0"/>
      <w:divBdr>
        <w:top w:val="none" w:sz="0" w:space="0" w:color="auto"/>
        <w:left w:val="none" w:sz="0" w:space="0" w:color="auto"/>
        <w:bottom w:val="none" w:sz="0" w:space="0" w:color="auto"/>
        <w:right w:val="none" w:sz="0" w:space="0" w:color="auto"/>
      </w:divBdr>
    </w:div>
    <w:div w:id="18830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B2A52-8452-481F-8250-AC248A80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JSC</cp:lastModifiedBy>
  <cp:revision>2</cp:revision>
  <cp:lastPrinted>2021-04-21T12:53:00Z</cp:lastPrinted>
  <dcterms:created xsi:type="dcterms:W3CDTF">2021-05-07T08:19:00Z</dcterms:created>
  <dcterms:modified xsi:type="dcterms:W3CDTF">2021-05-07T08:19:00Z</dcterms:modified>
</cp:coreProperties>
</file>