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96"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CHINA SHOUGANG INTERNATIONAL</w:t>
      </w:r>
    </w:p>
    <w:p w:rsidR="00510752" w:rsidRDefault="007F3DBC" w:rsidP="00075F0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510752">
        <w:rPr>
          <w:rFonts w:ascii="Times New Roman" w:hAnsi="Times New Roman" w:cs="Times New Roman"/>
          <w:sz w:val="24"/>
          <w:szCs w:val="24"/>
        </w:rPr>
        <w:t>ersus</w:t>
      </w:r>
      <w:proofErr w:type="gramEnd"/>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STANDARD CHARTERED BANK ZIMBABWE</w:t>
      </w: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LIMITED</w:t>
      </w: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BERE J</w:t>
      </w: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HARARE, 22 and 23 November 2011</w:t>
      </w: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p>
    <w:p w:rsidR="00510752" w:rsidRPr="00814063" w:rsidRDefault="00510752" w:rsidP="00075F0A">
      <w:pPr>
        <w:spacing w:after="0"/>
        <w:jc w:val="both"/>
        <w:rPr>
          <w:rFonts w:ascii="Times New Roman" w:hAnsi="Times New Roman" w:cs="Times New Roman"/>
          <w:b/>
          <w:sz w:val="24"/>
          <w:szCs w:val="24"/>
        </w:rPr>
      </w:pPr>
      <w:r w:rsidRPr="00814063">
        <w:rPr>
          <w:rFonts w:ascii="Times New Roman" w:hAnsi="Times New Roman" w:cs="Times New Roman"/>
          <w:b/>
          <w:sz w:val="24"/>
          <w:szCs w:val="24"/>
        </w:rPr>
        <w:t>Opposed Application</w:t>
      </w: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Muzvuzvu</w:t>
      </w:r>
      <w:proofErr w:type="spellEnd"/>
      <w:r>
        <w:rPr>
          <w:rFonts w:ascii="Times New Roman" w:hAnsi="Times New Roman" w:cs="Times New Roman"/>
          <w:sz w:val="24"/>
          <w:szCs w:val="24"/>
        </w:rPr>
        <w:t>, for the applicant</w:t>
      </w:r>
    </w:p>
    <w:p w:rsidR="00510752" w:rsidRDefault="00510752" w:rsidP="00075F0A">
      <w:pPr>
        <w:spacing w:after="0"/>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Nyakabawo</w:t>
      </w:r>
      <w:proofErr w:type="spellEnd"/>
      <w:r>
        <w:rPr>
          <w:rFonts w:ascii="Times New Roman" w:hAnsi="Times New Roman" w:cs="Times New Roman"/>
          <w:sz w:val="24"/>
          <w:szCs w:val="24"/>
        </w:rPr>
        <w:t>, for the respondent</w:t>
      </w: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   The facts which are fairly straightforward and common cause in this matter can safely be summarised as follows:</w:t>
      </w:r>
    </w:p>
    <w:p w:rsidR="00510752" w:rsidRDefault="00510752"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company duly registered and incorporated in terms of the laws of Zimbabwe. The respondent is a registered commercial bank with a number of branches in Zimbabwe.</w:t>
      </w:r>
    </w:p>
    <w:p w:rsidR="00510752" w:rsidRDefault="00510752"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runs two distinct corporate bank accounts with the respondent’s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branch. As of October 2007 the applicant’s two accounts had an aggregate credit balance of forty seven thousand seven hundred and thirty nine dollars and eighty six cents (US$47 739-86).</w:t>
      </w:r>
    </w:p>
    <w:p w:rsidR="00510752" w:rsidRDefault="00510752"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accepted position is that it is a foreign investor company which is legally in Zimbabwe carrying out a specific purpose,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refurbishment of the blast furnaces of a Zimbabwean Company called </w:t>
      </w:r>
      <w:proofErr w:type="spellStart"/>
      <w:r>
        <w:rPr>
          <w:rFonts w:ascii="Times New Roman" w:hAnsi="Times New Roman" w:cs="Times New Roman"/>
          <w:sz w:val="24"/>
          <w:szCs w:val="24"/>
        </w:rPr>
        <w:t>Zisco</w:t>
      </w:r>
      <w:proofErr w:type="spellEnd"/>
      <w:r>
        <w:rPr>
          <w:rFonts w:ascii="Times New Roman" w:hAnsi="Times New Roman" w:cs="Times New Roman"/>
          <w:sz w:val="24"/>
          <w:szCs w:val="24"/>
        </w:rPr>
        <w:t xml:space="preserve"> Steel. The applicant maintained it was not involved in any “foreign exchange” activities.</w:t>
      </w:r>
    </w:p>
    <w:p w:rsidR="00510752" w:rsidRDefault="00510752"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October 2</w:t>
      </w:r>
      <w:r w:rsidR="007F3DBC">
        <w:rPr>
          <w:rFonts w:ascii="Times New Roman" w:hAnsi="Times New Roman" w:cs="Times New Roman"/>
          <w:sz w:val="24"/>
          <w:szCs w:val="24"/>
        </w:rPr>
        <w:t>00</w:t>
      </w:r>
      <w:r>
        <w:rPr>
          <w:rFonts w:ascii="Times New Roman" w:hAnsi="Times New Roman" w:cs="Times New Roman"/>
          <w:sz w:val="24"/>
          <w:szCs w:val="24"/>
        </w:rPr>
        <w:t xml:space="preserve">7 the respondent’s two corporate accounts were debited with an aggregate amount of </w:t>
      </w:r>
      <w:r w:rsidR="00A93EEE">
        <w:rPr>
          <w:rFonts w:ascii="Times New Roman" w:hAnsi="Times New Roman" w:cs="Times New Roman"/>
          <w:sz w:val="24"/>
          <w:szCs w:val="24"/>
        </w:rPr>
        <w:t>forty</w:t>
      </w:r>
      <w:r>
        <w:rPr>
          <w:rFonts w:ascii="Times New Roman" w:hAnsi="Times New Roman" w:cs="Times New Roman"/>
          <w:sz w:val="24"/>
          <w:szCs w:val="24"/>
        </w:rPr>
        <w:t xml:space="preserve"> seven thousand seven hundred and thirty nine dollars and eighty six cents (US$4</w:t>
      </w:r>
      <w:r w:rsidR="00A93EEE">
        <w:rPr>
          <w:rFonts w:ascii="Times New Roman" w:hAnsi="Times New Roman" w:cs="Times New Roman"/>
          <w:sz w:val="24"/>
          <w:szCs w:val="24"/>
        </w:rPr>
        <w:t>7 739-86) without its consent and approval.</w:t>
      </w:r>
    </w:p>
    <w:p w:rsidR="00A93EEE" w:rsidRDefault="00A93EEE"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engaged the respondent with a view to recovering its money to no avail hence the instant application.</w:t>
      </w:r>
    </w:p>
    <w:p w:rsidR="00A93EEE" w:rsidRDefault="00A93EEE" w:rsidP="00075F0A">
      <w:pPr>
        <w:spacing w:after="0" w:line="240" w:lineRule="auto"/>
        <w:jc w:val="both"/>
        <w:rPr>
          <w:rFonts w:ascii="Times New Roman" w:hAnsi="Times New Roman" w:cs="Times New Roman"/>
          <w:sz w:val="24"/>
          <w:szCs w:val="24"/>
        </w:rPr>
      </w:pPr>
    </w:p>
    <w:p w:rsidR="00A93EEE" w:rsidRPr="00A93EEE" w:rsidRDefault="00A93EEE" w:rsidP="00075F0A">
      <w:pPr>
        <w:spacing w:after="0" w:line="360" w:lineRule="auto"/>
        <w:jc w:val="both"/>
        <w:rPr>
          <w:rFonts w:ascii="Times New Roman" w:hAnsi="Times New Roman" w:cs="Times New Roman"/>
          <w:b/>
          <w:sz w:val="24"/>
          <w:szCs w:val="24"/>
        </w:rPr>
      </w:pPr>
      <w:r w:rsidRPr="00A93EEE">
        <w:rPr>
          <w:rFonts w:ascii="Times New Roman" w:hAnsi="Times New Roman" w:cs="Times New Roman"/>
          <w:b/>
          <w:sz w:val="24"/>
          <w:szCs w:val="24"/>
        </w:rPr>
        <w:t xml:space="preserve">The </w:t>
      </w:r>
      <w:r w:rsidR="00075F0A">
        <w:rPr>
          <w:rFonts w:ascii="Times New Roman" w:hAnsi="Times New Roman" w:cs="Times New Roman"/>
          <w:b/>
          <w:sz w:val="24"/>
          <w:szCs w:val="24"/>
        </w:rPr>
        <w:t>r</w:t>
      </w:r>
      <w:r w:rsidRPr="00A93EEE">
        <w:rPr>
          <w:rFonts w:ascii="Times New Roman" w:hAnsi="Times New Roman" w:cs="Times New Roman"/>
          <w:b/>
          <w:sz w:val="24"/>
          <w:szCs w:val="24"/>
        </w:rPr>
        <w:t xml:space="preserve">espondent’s </w:t>
      </w:r>
      <w:r w:rsidR="00075F0A">
        <w:rPr>
          <w:rFonts w:ascii="Times New Roman" w:hAnsi="Times New Roman" w:cs="Times New Roman"/>
          <w:b/>
          <w:sz w:val="24"/>
          <w:szCs w:val="24"/>
        </w:rPr>
        <w:t>p</w:t>
      </w:r>
      <w:r w:rsidRPr="00A93EEE">
        <w:rPr>
          <w:rFonts w:ascii="Times New Roman" w:hAnsi="Times New Roman" w:cs="Times New Roman"/>
          <w:b/>
          <w:sz w:val="24"/>
          <w:szCs w:val="24"/>
        </w:rPr>
        <w:t>osition</w:t>
      </w:r>
    </w:p>
    <w:p w:rsidR="00A93EEE" w:rsidRDefault="00A93EEE"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has offered a two-pronged defence to the application filed by the applicant for the recovery of its money.</w:t>
      </w:r>
    </w:p>
    <w:p w:rsidR="00A93EEE" w:rsidRDefault="00A93EEE"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the respondent has contended as a point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it is improper for the applicant to file a Court Application to recover a debt that is due to it. The correct position is that the applicant ought to have instituted proceedings by way of summons, so the argument went.</w:t>
      </w:r>
    </w:p>
    <w:p w:rsidR="00A93EEE" w:rsidRDefault="00A93EEE"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raised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A93EEE">
        <w:rPr>
          <w:rFonts w:ascii="Times New Roman" w:hAnsi="Times New Roman" w:cs="Times New Roman"/>
          <w:sz w:val="24"/>
          <w:szCs w:val="24"/>
        </w:rPr>
        <w:t>is that the applicant has targeted the wrong respondent. It was contended on behalf of the respondent that since the funds in issue are held by the Reserve Bank of Zimbabwe</w:t>
      </w:r>
      <w:r w:rsidR="00895DED">
        <w:rPr>
          <w:rFonts w:ascii="Times New Roman" w:hAnsi="Times New Roman" w:cs="Times New Roman"/>
          <w:sz w:val="24"/>
          <w:szCs w:val="24"/>
        </w:rPr>
        <w:t>, it is against the Reserve Bank of Zimbabwe that this application should have been directed.</w:t>
      </w:r>
    </w:p>
    <w:p w:rsidR="00A93EEE" w:rsidRDefault="00895DED" w:rsidP="00075F0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r w:rsidR="00A93EEE">
        <w:rPr>
          <w:rFonts w:ascii="Times New Roman" w:hAnsi="Times New Roman" w:cs="Times New Roman"/>
          <w:sz w:val="24"/>
          <w:szCs w:val="24"/>
        </w:rPr>
        <w:t>ntricably</w:t>
      </w:r>
      <w:proofErr w:type="spellEnd"/>
      <w:r w:rsidR="00A93EEE">
        <w:rPr>
          <w:rFonts w:ascii="Times New Roman" w:hAnsi="Times New Roman" w:cs="Times New Roman"/>
          <w:sz w:val="24"/>
          <w:szCs w:val="24"/>
        </w:rPr>
        <w:t xml:space="preserve"> linked to the second point in </w:t>
      </w:r>
      <w:proofErr w:type="spellStart"/>
      <w:r w:rsidR="00A93EEE">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the argument</w:t>
      </w:r>
      <w:r w:rsidR="00A93EEE">
        <w:rPr>
          <w:rFonts w:ascii="Times New Roman" w:hAnsi="Times New Roman" w:cs="Times New Roman"/>
          <w:sz w:val="24"/>
          <w:szCs w:val="24"/>
        </w:rPr>
        <w:t xml:space="preserve"> that by debiting the applicant’s corporate foreign currency account the respondent was merely complying with a directive issued by the Reserve Bank of Zimbabwe to so act.</w:t>
      </w:r>
    </w:p>
    <w:p w:rsidR="00A93EEE" w:rsidRDefault="00A93EEE"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elaboration, the respondent’s position is that in October 2007 the respondent together with all other Commercial Banks in Zimbabwe were directed by the Reserve Bank of Zimbabwe to lodge all foreign currency accounts balances in respect of corporate and non-governmental organization accounts with the Reserve Bank of Zimbabwe and</w:t>
      </w:r>
      <w:r w:rsidR="00291986">
        <w:rPr>
          <w:rFonts w:ascii="Times New Roman" w:hAnsi="Times New Roman" w:cs="Times New Roman"/>
          <w:sz w:val="24"/>
          <w:szCs w:val="24"/>
        </w:rPr>
        <w:t xml:space="preserve"> to maintain mirror accounts in its own books for purposes of keeping track with these accounts.</w:t>
      </w:r>
    </w:p>
    <w:p w:rsidR="00291986" w:rsidRDefault="00291986"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deal with the issues raised by the respondent in </w:t>
      </w:r>
      <w:proofErr w:type="spellStart"/>
      <w:r>
        <w:rPr>
          <w:rFonts w:ascii="Times New Roman" w:hAnsi="Times New Roman" w:cs="Times New Roman"/>
          <w:sz w:val="24"/>
          <w:szCs w:val="24"/>
        </w:rPr>
        <w:t>seratium</w:t>
      </w:r>
      <w:proofErr w:type="spellEnd"/>
      <w:r>
        <w:rPr>
          <w:rFonts w:ascii="Times New Roman" w:hAnsi="Times New Roman" w:cs="Times New Roman"/>
          <w:sz w:val="24"/>
          <w:szCs w:val="24"/>
        </w:rPr>
        <w:t>.</w:t>
      </w:r>
    </w:p>
    <w:p w:rsidR="00291986" w:rsidRDefault="00291986" w:rsidP="00075F0A">
      <w:pPr>
        <w:spacing w:after="0" w:line="240" w:lineRule="auto"/>
        <w:jc w:val="both"/>
        <w:rPr>
          <w:rFonts w:ascii="Times New Roman" w:hAnsi="Times New Roman" w:cs="Times New Roman"/>
          <w:sz w:val="24"/>
          <w:szCs w:val="24"/>
        </w:rPr>
      </w:pPr>
    </w:p>
    <w:p w:rsidR="00291986" w:rsidRDefault="00291986" w:rsidP="00075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POINTS IN LIMINE</w:t>
      </w:r>
    </w:p>
    <w:p w:rsidR="00291986" w:rsidRDefault="00291986" w:rsidP="00075F0A">
      <w:pPr>
        <w:spacing w:after="0" w:line="240" w:lineRule="auto"/>
        <w:jc w:val="both"/>
        <w:rPr>
          <w:rFonts w:ascii="Times New Roman" w:hAnsi="Times New Roman" w:cs="Times New Roman"/>
          <w:sz w:val="24"/>
          <w:szCs w:val="24"/>
        </w:rPr>
      </w:pPr>
    </w:p>
    <w:p w:rsidR="00291986" w:rsidRDefault="00291986" w:rsidP="00075F0A">
      <w:pPr>
        <w:spacing w:after="0" w:line="240" w:lineRule="auto"/>
        <w:jc w:val="both"/>
        <w:rPr>
          <w:rFonts w:ascii="Times New Roman" w:hAnsi="Times New Roman" w:cs="Times New Roman"/>
          <w:b/>
          <w:sz w:val="24"/>
          <w:szCs w:val="24"/>
        </w:rPr>
      </w:pPr>
      <w:r w:rsidRPr="00291986">
        <w:rPr>
          <w:rFonts w:ascii="Times New Roman" w:hAnsi="Times New Roman" w:cs="Times New Roman"/>
          <w:b/>
          <w:sz w:val="24"/>
          <w:szCs w:val="24"/>
        </w:rPr>
        <w:t>Was it competent for the applicant to institute proceedings by way of motion proceedings as opposed to issuing out summons?</w:t>
      </w:r>
    </w:p>
    <w:p w:rsidR="00291986" w:rsidRDefault="00291986" w:rsidP="00075F0A">
      <w:pPr>
        <w:spacing w:after="0" w:line="240" w:lineRule="auto"/>
        <w:jc w:val="both"/>
        <w:rPr>
          <w:rFonts w:ascii="Times New Roman" w:hAnsi="Times New Roman" w:cs="Times New Roman"/>
          <w:b/>
          <w:sz w:val="24"/>
          <w:szCs w:val="24"/>
        </w:rPr>
      </w:pPr>
    </w:p>
    <w:p w:rsidR="00291986" w:rsidRDefault="00291986"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a rule of thumb that proceedings to recover a debt due must be instituted by way of summons as opposed to motion proceedings. It is clear to me that what determines the nature of the proceedings to initiate is whether or not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material disputes of facts in the action contemplated.</w:t>
      </w:r>
    </w:p>
    <w:p w:rsidR="00291986" w:rsidRDefault="00291986"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action contemplated is likely to have material disputes of facts, motion proceedings would be incompetent. Institution of proceedings would have to be by way of summons.</w:t>
      </w:r>
    </w:p>
    <w:p w:rsidR="00291986" w:rsidRDefault="00291986"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respect, it is not the correct position of law that a creditor in a proper case for a claim sounding in money owing to him cannot initiate its recovery by way of notice of motion as argued by the respondent</w:t>
      </w:r>
      <w:r w:rsidR="00895DED">
        <w:rPr>
          <w:rFonts w:ascii="Times New Roman" w:hAnsi="Times New Roman" w:cs="Times New Roman"/>
          <w:sz w:val="24"/>
          <w:szCs w:val="24"/>
        </w:rPr>
        <w:t>’s counsel</w:t>
      </w:r>
      <w:r>
        <w:rPr>
          <w:rFonts w:ascii="Times New Roman" w:hAnsi="Times New Roman" w:cs="Times New Roman"/>
          <w:sz w:val="24"/>
          <w:szCs w:val="24"/>
        </w:rPr>
        <w:t xml:space="preserve"> in the instant case.</w:t>
      </w:r>
    </w:p>
    <w:p w:rsidR="00B072E6" w:rsidRDefault="00B072E6"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 VILLIERS J summed up the correct legal position in </w:t>
      </w:r>
      <w:r>
        <w:rPr>
          <w:rFonts w:ascii="Times New Roman" w:hAnsi="Times New Roman" w:cs="Times New Roman"/>
          <w:i/>
          <w:sz w:val="24"/>
          <w:szCs w:val="24"/>
        </w:rPr>
        <w:t>Regal Trading Co</w:t>
      </w:r>
      <w:r>
        <w:rPr>
          <w:rFonts w:ascii="Times New Roman" w:hAnsi="Times New Roman" w:cs="Times New Roman"/>
          <w:sz w:val="24"/>
          <w:szCs w:val="24"/>
        </w:rPr>
        <w:t>.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Coetzee </w:t>
      </w:r>
      <w:r w:rsidR="00777583">
        <w:rPr>
          <w:rFonts w:ascii="Times New Roman" w:hAnsi="Times New Roman" w:cs="Times New Roman"/>
          <w:sz w:val="24"/>
          <w:szCs w:val="24"/>
        </w:rPr>
        <w:t xml:space="preserve">after carrying out a survey of a number of South African decisions </w:t>
      </w:r>
      <w:r w:rsidR="00895DED">
        <w:rPr>
          <w:rFonts w:ascii="Times New Roman" w:hAnsi="Times New Roman" w:cs="Times New Roman"/>
          <w:sz w:val="24"/>
          <w:szCs w:val="24"/>
        </w:rPr>
        <w:t>when he stated as follows</w:t>
      </w:r>
      <w:r w:rsidR="00777583">
        <w:rPr>
          <w:rFonts w:ascii="Times New Roman" w:hAnsi="Times New Roman" w:cs="Times New Roman"/>
          <w:sz w:val="24"/>
          <w:szCs w:val="24"/>
        </w:rPr>
        <w:t>:</w:t>
      </w:r>
    </w:p>
    <w:p w:rsidR="00777583" w:rsidRPr="00777583" w:rsidRDefault="00777583" w:rsidP="00075F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have come to the conclusion that </w:t>
      </w:r>
      <w:r w:rsidRPr="00777583">
        <w:rPr>
          <w:rFonts w:ascii="Times New Roman" w:hAnsi="Times New Roman" w:cs="Times New Roman"/>
          <w:sz w:val="24"/>
          <w:szCs w:val="24"/>
          <w:u w:val="single"/>
        </w:rPr>
        <w:t>legally it is not incompetent for a creditor in a proper case to claim money owing to him by way of notice of motion, provided at least that the facts are not in dispute</w:t>
      </w:r>
      <w:r>
        <w:rPr>
          <w:rFonts w:ascii="Times New Roman" w:hAnsi="Times New Roman" w:cs="Times New Roman"/>
          <w:sz w:val="24"/>
          <w:szCs w:val="24"/>
        </w:rPr>
        <w:t xml:space="preserve">. This does not, however, refer to </w:t>
      </w:r>
      <w:proofErr w:type="spellStart"/>
      <w:r>
        <w:rPr>
          <w:rFonts w:ascii="Times New Roman" w:hAnsi="Times New Roman" w:cs="Times New Roman"/>
          <w:sz w:val="24"/>
          <w:szCs w:val="24"/>
        </w:rPr>
        <w:t>unliquidated</w:t>
      </w:r>
      <w:proofErr w:type="spellEnd"/>
      <w:r>
        <w:rPr>
          <w:rFonts w:ascii="Times New Roman" w:hAnsi="Times New Roman" w:cs="Times New Roman"/>
          <w:sz w:val="24"/>
          <w:szCs w:val="24"/>
        </w:rPr>
        <w:t xml:space="preserve"> claims for damages. </w:t>
      </w:r>
      <w:r w:rsidRPr="00777583">
        <w:rPr>
          <w:rFonts w:ascii="Times New Roman" w:hAnsi="Times New Roman" w:cs="Times New Roman"/>
          <w:sz w:val="24"/>
          <w:szCs w:val="24"/>
        </w:rPr>
        <w:t>The court has</w:t>
      </w:r>
      <w:r>
        <w:rPr>
          <w:rFonts w:ascii="Times New Roman" w:hAnsi="Times New Roman" w:cs="Times New Roman"/>
          <w:sz w:val="24"/>
          <w:szCs w:val="24"/>
        </w:rPr>
        <w:t xml:space="preserve">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whether it will allow a creditor to depart from the more usual procedure of </w:t>
      </w:r>
      <w:proofErr w:type="spellStart"/>
      <w:r>
        <w:rPr>
          <w:rFonts w:ascii="Times New Roman" w:hAnsi="Times New Roman" w:cs="Times New Roman"/>
          <w:i/>
          <w:sz w:val="24"/>
          <w:szCs w:val="24"/>
        </w:rPr>
        <w:t>rauw</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actie</w:t>
      </w:r>
      <w:proofErr w:type="spellEnd"/>
      <w:r>
        <w:rPr>
          <w:rFonts w:ascii="Times New Roman" w:hAnsi="Times New Roman" w:cs="Times New Roman"/>
          <w:sz w:val="24"/>
          <w:szCs w:val="24"/>
        </w:rPr>
        <w:t>, and that discretion will depend upon all the circumstances of the case. …</w:t>
      </w:r>
      <w:r w:rsidR="00A207F6">
        <w:rPr>
          <w:rStyle w:val="FootnoteReference"/>
          <w:rFonts w:ascii="Times New Roman" w:hAnsi="Times New Roman" w:cs="Times New Roman"/>
          <w:sz w:val="24"/>
          <w:szCs w:val="24"/>
        </w:rPr>
        <w:footnoteReference w:id="1"/>
      </w:r>
      <w:r w:rsidR="00A207F6">
        <w:rPr>
          <w:rFonts w:ascii="Times New Roman" w:hAnsi="Times New Roman" w:cs="Times New Roman"/>
          <w:sz w:val="24"/>
          <w:szCs w:val="24"/>
        </w:rPr>
        <w:t>”</w:t>
      </w:r>
    </w:p>
    <w:p w:rsidR="00291986" w:rsidRDefault="00291986" w:rsidP="00075F0A">
      <w:pPr>
        <w:spacing w:after="0" w:line="240" w:lineRule="auto"/>
        <w:jc w:val="both"/>
        <w:rPr>
          <w:rFonts w:ascii="Times New Roman" w:hAnsi="Times New Roman" w:cs="Times New Roman"/>
          <w:b/>
          <w:sz w:val="24"/>
          <w:szCs w:val="24"/>
        </w:rPr>
      </w:pPr>
    </w:p>
    <w:p w:rsidR="00777583" w:rsidRDefault="00777583" w:rsidP="00075F0A">
      <w:pPr>
        <w:spacing w:after="0" w:line="360" w:lineRule="auto"/>
        <w:ind w:firstLine="720"/>
        <w:jc w:val="both"/>
        <w:rPr>
          <w:rFonts w:ascii="Times New Roman" w:hAnsi="Times New Roman" w:cs="Times New Roman"/>
          <w:sz w:val="24"/>
          <w:szCs w:val="24"/>
        </w:rPr>
      </w:pPr>
      <w:r w:rsidRPr="00777583">
        <w:rPr>
          <w:rFonts w:ascii="Times New Roman" w:hAnsi="Times New Roman" w:cs="Times New Roman"/>
          <w:sz w:val="24"/>
          <w:szCs w:val="24"/>
        </w:rPr>
        <w:t>It is correct that application procedure is inappropriate where disputes of facts exist. Where a party alleges the existence of dispute of facts, one is expected to clearly spell out the b</w:t>
      </w:r>
      <w:r>
        <w:rPr>
          <w:rFonts w:ascii="Times New Roman" w:hAnsi="Times New Roman" w:cs="Times New Roman"/>
          <w:sz w:val="24"/>
          <w:szCs w:val="24"/>
        </w:rPr>
        <w:t>asis of such dispute as it must be distinct from an “illusory dispute of fact”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That explanation must be rooted in the respondent’s opposing papers as opposed to giving them a magnified stature in the heads of argument like what seems to have happened in this case.</w:t>
      </w:r>
    </w:p>
    <w:p w:rsidR="00777583" w:rsidRDefault="00777583"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locate any dispute of</w:t>
      </w:r>
      <w:r w:rsidR="00E3766D">
        <w:rPr>
          <w:rFonts w:ascii="Times New Roman" w:hAnsi="Times New Roman" w:cs="Times New Roman"/>
          <w:sz w:val="24"/>
          <w:szCs w:val="24"/>
        </w:rPr>
        <w:t xml:space="preserve"> facts in this matter except that the parties are unable to agree on the legal implications of the directive given to the respondent. That is certainly not a dispute of facts but a legal issue that must be determined on the papers.</w:t>
      </w:r>
    </w:p>
    <w:p w:rsidR="00E3766D" w:rsidRDefault="00E3766D" w:rsidP="00075F0A">
      <w:pPr>
        <w:spacing w:after="0" w:line="240" w:lineRule="auto"/>
        <w:jc w:val="both"/>
        <w:rPr>
          <w:rFonts w:ascii="Times New Roman" w:hAnsi="Times New Roman" w:cs="Times New Roman"/>
          <w:sz w:val="24"/>
          <w:szCs w:val="24"/>
        </w:rPr>
      </w:pPr>
    </w:p>
    <w:p w:rsidR="00E3766D" w:rsidRDefault="00E3766D" w:rsidP="00075F0A">
      <w:pPr>
        <w:spacing w:after="0" w:line="360" w:lineRule="auto"/>
        <w:jc w:val="both"/>
        <w:rPr>
          <w:rFonts w:ascii="Times New Roman" w:hAnsi="Times New Roman" w:cs="Times New Roman"/>
          <w:b/>
          <w:sz w:val="24"/>
          <w:szCs w:val="24"/>
        </w:rPr>
      </w:pPr>
      <w:r w:rsidRPr="00E3766D">
        <w:rPr>
          <w:rFonts w:ascii="Times New Roman" w:hAnsi="Times New Roman" w:cs="Times New Roman"/>
          <w:b/>
          <w:sz w:val="24"/>
          <w:szCs w:val="24"/>
        </w:rPr>
        <w:t>Did the applicant target the wrong respondent?</w:t>
      </w:r>
    </w:p>
    <w:p w:rsidR="00E3766D" w:rsidRDefault="00E3766D"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are fairly simple and straightforward in this matter. The respondent as a commercial banker undertook to keep the applicant’s money and pay it out to the applicant upon demand. The respondent failed to do so when called upon to do so by the applicant. The respondent claimed it had transferred the money into another third party’s account. There was no privy of contract between that other third party and the applicant. The easy to see party and with whom the applicant had entered into a contractual arrangement was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other than the respondent.</w:t>
      </w:r>
    </w:p>
    <w:p w:rsidR="00E3766D" w:rsidRDefault="00E3766D"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see how the applicant would have initiated any action against the Reserve Bank of Zimbabwe which for all intents and purposes is a stranger to the applicant for purposes of the deposit in issue.</w:t>
      </w:r>
    </w:p>
    <w:p w:rsidR="008E4AA4" w:rsidRDefault="00E3766D"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was not persuaded at all by the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it was for the above reasons that I had no hesitation at the hearing in ordering that the matter be heard on merits.</w:t>
      </w:r>
    </w:p>
    <w:p w:rsidR="008E4AA4" w:rsidRDefault="008E4AA4" w:rsidP="00075F0A">
      <w:pPr>
        <w:spacing w:after="0" w:line="240" w:lineRule="auto"/>
        <w:jc w:val="both"/>
        <w:rPr>
          <w:rFonts w:ascii="Times New Roman" w:hAnsi="Times New Roman" w:cs="Times New Roman"/>
          <w:sz w:val="24"/>
          <w:szCs w:val="24"/>
        </w:rPr>
      </w:pPr>
    </w:p>
    <w:p w:rsidR="00E3766D" w:rsidRDefault="008E4AA4" w:rsidP="00075F0A">
      <w:pPr>
        <w:spacing w:after="0" w:line="360" w:lineRule="auto"/>
        <w:jc w:val="both"/>
        <w:rPr>
          <w:rFonts w:ascii="Times New Roman" w:hAnsi="Times New Roman" w:cs="Times New Roman"/>
          <w:b/>
          <w:sz w:val="24"/>
          <w:szCs w:val="24"/>
        </w:rPr>
      </w:pPr>
      <w:r w:rsidRPr="008E4AA4">
        <w:rPr>
          <w:rFonts w:ascii="Times New Roman" w:hAnsi="Times New Roman" w:cs="Times New Roman"/>
          <w:b/>
          <w:sz w:val="24"/>
          <w:szCs w:val="24"/>
        </w:rPr>
        <w:t>On Merits</w:t>
      </w:r>
      <w:r w:rsidR="00E3766D" w:rsidRPr="008E4AA4">
        <w:rPr>
          <w:rFonts w:ascii="Times New Roman" w:hAnsi="Times New Roman" w:cs="Times New Roman"/>
          <w:b/>
          <w:sz w:val="24"/>
          <w:szCs w:val="24"/>
        </w:rPr>
        <w:t xml:space="preserve"> </w:t>
      </w:r>
    </w:p>
    <w:p w:rsidR="008E4AA4" w:rsidRDefault="008E4AA4"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thrust of the respondent’s position is that it debited the applicant’s account pursuant to a directive given by the Reserve Bank of Zimbabwe and reference was made to the Exchange Control Regulations of 1996 as the authority behind this directive </w:t>
      </w:r>
      <w:r w:rsidR="00895DED">
        <w:rPr>
          <w:rFonts w:ascii="Times New Roman" w:hAnsi="Times New Roman" w:cs="Times New Roman"/>
          <w:sz w:val="24"/>
          <w:szCs w:val="24"/>
        </w:rPr>
        <w:t xml:space="preserve">and </w:t>
      </w:r>
      <w:r>
        <w:rPr>
          <w:rFonts w:ascii="Times New Roman" w:hAnsi="Times New Roman" w:cs="Times New Roman"/>
          <w:sz w:val="24"/>
          <w:szCs w:val="24"/>
        </w:rPr>
        <w:t>s 35 up to s 40 contained in SI 109 of 1996 were relied upon as the specific sections which the Reserve Bank of Zimbabwe relied upon in literally ordering the expropriation of the applicant’s deposits.</w:t>
      </w:r>
    </w:p>
    <w:p w:rsidR="008E4AA4" w:rsidRDefault="008E4AA4"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be noted that the legislature in its wisdom qualified the operations of the exchange control regulations by making a specific provision of s 40 (3) thereof which read as follows:</w:t>
      </w:r>
    </w:p>
    <w:p w:rsidR="008E4AA4" w:rsidRDefault="008E4AA4" w:rsidP="00075F0A">
      <w:pPr>
        <w:spacing w:after="0" w:line="240" w:lineRule="auto"/>
        <w:jc w:val="both"/>
        <w:rPr>
          <w:rFonts w:ascii="Times New Roman" w:hAnsi="Times New Roman" w:cs="Times New Roman"/>
          <w:sz w:val="24"/>
          <w:szCs w:val="24"/>
        </w:rPr>
      </w:pPr>
    </w:p>
    <w:p w:rsidR="008E4AA4" w:rsidRPr="008E4AA4" w:rsidRDefault="008E4AA4" w:rsidP="00075F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“40 (3)</w:t>
      </w:r>
      <w:r>
        <w:rPr>
          <w:rFonts w:ascii="Times New Roman" w:hAnsi="Times New Roman" w:cs="Times New Roman"/>
          <w:sz w:val="24"/>
          <w:szCs w:val="24"/>
        </w:rPr>
        <w:tab/>
        <w:t>Orders made under subs 1 shall not have effect until they have been approved by the Minister and published in the Gazette.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E3766D" w:rsidRPr="00777583" w:rsidRDefault="00E3766D" w:rsidP="00075F0A">
      <w:pPr>
        <w:spacing w:after="0" w:line="240" w:lineRule="auto"/>
        <w:jc w:val="both"/>
        <w:rPr>
          <w:rFonts w:ascii="Times New Roman" w:hAnsi="Times New Roman" w:cs="Times New Roman"/>
          <w:sz w:val="24"/>
          <w:szCs w:val="24"/>
        </w:rPr>
      </w:pPr>
    </w:p>
    <w:p w:rsidR="00291986" w:rsidRDefault="008E4AA4"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to me such checks and balances were meant to guard against improper use of the exchange control regulations and it follows that non-compliance with this mandatory requirement would render any directive unlawful.</w:t>
      </w:r>
    </w:p>
    <w:p w:rsidR="00B23210" w:rsidRDefault="00B23210"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not been demonstrated to me by the respondent’s counsel that the directive by the Reserve Bank of Zimbabwe was lawful or above board.</w:t>
      </w:r>
    </w:p>
    <w:p w:rsidR="00B23210" w:rsidRDefault="00B23210" w:rsidP="00075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occurs to me that given the special relationship that existed between the respondent and the applicant, the decision by the former to interfere with the applicant’s deposits was not one that could have been taken lightly. In my view the onus was on the respondent to ascertain the lawfulness of the Reserve Bank of Zimbabwe’s directive instead of blindly or religiously following same. The respondent could have satisfied itself by simply relying on its compliance division within its institution or by simply seeking counsel’s views before taking such a drastic action with the applicant’s deposits.</w:t>
      </w:r>
    </w:p>
    <w:p w:rsidR="00CD6036" w:rsidRDefault="003A1AFD" w:rsidP="00CD60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proofErr w:type="spellStart"/>
      <w:r>
        <w:rPr>
          <w:rFonts w:ascii="Times New Roman" w:hAnsi="Times New Roman" w:cs="Times New Roman"/>
          <w:i/>
          <w:sz w:val="24"/>
          <w:szCs w:val="24"/>
        </w:rPr>
        <w:t>Nyakabawo</w:t>
      </w:r>
      <w:proofErr w:type="spellEnd"/>
      <w:r>
        <w:rPr>
          <w:rFonts w:ascii="Times New Roman" w:hAnsi="Times New Roman" w:cs="Times New Roman"/>
          <w:i/>
          <w:sz w:val="24"/>
          <w:szCs w:val="24"/>
        </w:rPr>
        <w:t xml:space="preserve"> </w:t>
      </w:r>
      <w:r w:rsidRPr="003A1AFD">
        <w:rPr>
          <w:rFonts w:ascii="Times New Roman" w:hAnsi="Times New Roman" w:cs="Times New Roman"/>
          <w:sz w:val="24"/>
          <w:szCs w:val="24"/>
        </w:rPr>
        <w:t>who appeared</w:t>
      </w:r>
      <w:r>
        <w:rPr>
          <w:rFonts w:ascii="Times New Roman" w:hAnsi="Times New Roman" w:cs="Times New Roman"/>
          <w:sz w:val="24"/>
          <w:szCs w:val="24"/>
        </w:rPr>
        <w:t xml:space="preserve"> for the respondent put up a spirited and persuasive argument in support of what</w:t>
      </w:r>
      <w:r w:rsidR="00CD6036">
        <w:rPr>
          <w:rFonts w:ascii="Times New Roman" w:hAnsi="Times New Roman" w:cs="Times New Roman"/>
          <w:sz w:val="24"/>
          <w:szCs w:val="24"/>
        </w:rPr>
        <w:t xml:space="preserve"> she referred to as the predicament faced by the respondent pursuant to a directive given to it by the Reserve Bank of Zimbabwe which required all authorised dealers (respondent inclusive) to transfer to the Reserve Bank of </w:t>
      </w:r>
      <w:r w:rsidR="00CD6036">
        <w:rPr>
          <w:rFonts w:ascii="Times New Roman" w:hAnsi="Times New Roman" w:cs="Times New Roman"/>
          <w:sz w:val="24"/>
          <w:szCs w:val="24"/>
        </w:rPr>
        <w:lastRenderedPageBreak/>
        <w:t>Zimbabwe all corporate foreign currency account balances and to maintain a mirror account for tracking purposes.</w:t>
      </w:r>
    </w:p>
    <w:p w:rsidR="00CD6036" w:rsidRDefault="00CD6036" w:rsidP="00CD60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her position counsel relied on the views of MW Jones and HC </w:t>
      </w:r>
      <w:proofErr w:type="spellStart"/>
      <w:r>
        <w:rPr>
          <w:rFonts w:ascii="Times New Roman" w:hAnsi="Times New Roman" w:cs="Times New Roman"/>
          <w:sz w:val="24"/>
          <w:szCs w:val="24"/>
        </w:rPr>
        <w:t>Schoeman</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who described the relationship between a banker and a customer in the following terms:-</w:t>
      </w:r>
    </w:p>
    <w:p w:rsidR="00CD6036" w:rsidRDefault="00CD6036" w:rsidP="00CD603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banker customer relationship is not based solely on contract but imposes many additional duties on banks and customers alike. These duties are established by banking practice and custom, legislation and court decisions. The relationship between a bank and its customer can thus be described as a contract </w:t>
      </w:r>
      <w:proofErr w:type="gramStart"/>
      <w:r>
        <w:rPr>
          <w:rFonts w:ascii="Times New Roman" w:hAnsi="Times New Roman" w:cs="Times New Roman"/>
          <w:i/>
          <w:sz w:val="24"/>
          <w:szCs w:val="24"/>
        </w:rPr>
        <w:t>sui</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gneris</w:t>
      </w:r>
      <w:proofErr w:type="spellEnd"/>
      <w:r>
        <w:rPr>
          <w:rFonts w:ascii="Times New Roman" w:hAnsi="Times New Roman" w:cs="Times New Roman"/>
          <w:sz w:val="24"/>
          <w:szCs w:val="24"/>
        </w:rPr>
        <w:t>, or a unique type of contract”.</w:t>
      </w:r>
    </w:p>
    <w:p w:rsidR="00CD6036" w:rsidRDefault="00CD6036" w:rsidP="00CD6036">
      <w:pPr>
        <w:spacing w:after="0" w:line="240" w:lineRule="auto"/>
        <w:ind w:left="720"/>
        <w:jc w:val="both"/>
        <w:rPr>
          <w:rFonts w:ascii="Times New Roman" w:hAnsi="Times New Roman" w:cs="Times New Roman"/>
          <w:sz w:val="24"/>
          <w:szCs w:val="24"/>
        </w:rPr>
      </w:pPr>
    </w:p>
    <w:p w:rsidR="00CD6036" w:rsidRDefault="00CD6036" w:rsidP="00CD603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Building on the views of the two authors, the respondent’s counsel argued that the </w:t>
      </w:r>
    </w:p>
    <w:p w:rsidR="00CD6036" w:rsidRDefault="00CD6036" w:rsidP="00CD603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directive</w:t>
      </w:r>
      <w:proofErr w:type="gramEnd"/>
      <w:r>
        <w:rPr>
          <w:rFonts w:ascii="Times New Roman" w:hAnsi="Times New Roman" w:cs="Times New Roman"/>
          <w:sz w:val="24"/>
          <w:szCs w:val="24"/>
        </w:rPr>
        <w:t xml:space="preserve"> given by the Reserve Bank was decisive at the material time as the respondent could not have risked losing its banking licence by refusing to comply with the directive in question.</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respect, I am unable to agree with the simplistic interpretation of the relationship between the bank (the respondent) and the customer (the applicant in the instant matter) by counsel. That interpretation is too narrow and dangerous. It is dangerous and risky in the banking business because it turns to depart from the legitimate expectations of the two contractual parties when they entered into a contract, a unique type of contract. I take a very strong view that the respondent had a natural obligation thrust upon it </w:t>
      </w:r>
      <w:r w:rsidR="007F3DBC">
        <w:rPr>
          <w:rFonts w:ascii="Times New Roman" w:hAnsi="Times New Roman" w:cs="Times New Roman"/>
          <w:sz w:val="24"/>
          <w:szCs w:val="24"/>
        </w:rPr>
        <w:t xml:space="preserve">to </w:t>
      </w:r>
      <w:r>
        <w:rPr>
          <w:rFonts w:ascii="Times New Roman" w:hAnsi="Times New Roman" w:cs="Times New Roman"/>
          <w:sz w:val="24"/>
          <w:szCs w:val="24"/>
        </w:rPr>
        <w:t xml:space="preserve">protect the applicant’s deposits. As already highlighted elsewhere in this judgment, that duty entailed </w:t>
      </w:r>
      <w:r>
        <w:rPr>
          <w:rFonts w:ascii="Times New Roman" w:hAnsi="Times New Roman" w:cs="Times New Roman"/>
          <w:i/>
          <w:sz w:val="24"/>
          <w:szCs w:val="24"/>
        </w:rPr>
        <w:t>inter alia</w:t>
      </w:r>
      <w:r>
        <w:rPr>
          <w:rFonts w:ascii="Times New Roman" w:hAnsi="Times New Roman" w:cs="Times New Roman"/>
          <w:sz w:val="24"/>
          <w:szCs w:val="24"/>
        </w:rPr>
        <w:t xml:space="preserve"> verifying the legality or otherwise of the directive given by the Reserve Bank of Zimbabwe because the Reserve Bank of Zimbabwe was not privy to the contractual relationship between the applicant and the respondent. </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extremely impressed by the view taken by their Lordships in the case of </w:t>
      </w:r>
      <w:r w:rsidRPr="00A1284A">
        <w:rPr>
          <w:rFonts w:ascii="Times New Roman" w:hAnsi="Times New Roman" w:cs="Times New Roman"/>
          <w:i/>
          <w:sz w:val="24"/>
          <w:szCs w:val="24"/>
        </w:rPr>
        <w:t>Attorney</w:t>
      </w:r>
      <w:r>
        <w:rPr>
          <w:rFonts w:ascii="Times New Roman" w:hAnsi="Times New Roman" w:cs="Times New Roman"/>
          <w:sz w:val="24"/>
          <w:szCs w:val="24"/>
        </w:rPr>
        <w:t xml:space="preserve"> </w:t>
      </w:r>
      <w:r w:rsidRPr="00A1284A">
        <w:rPr>
          <w:rFonts w:ascii="Times New Roman" w:hAnsi="Times New Roman" w:cs="Times New Roman"/>
          <w:i/>
          <w:sz w:val="24"/>
          <w:szCs w:val="24"/>
        </w:rPr>
        <w:t>General for Canada</w:t>
      </w:r>
      <w:r>
        <w:rPr>
          <w:rFonts w:ascii="Times New Roman" w:hAnsi="Times New Roman" w:cs="Times New Roman"/>
          <w:sz w:val="24"/>
          <w:szCs w:val="24"/>
        </w:rPr>
        <w:t xml:space="preserve"> v </w:t>
      </w:r>
      <w:r>
        <w:rPr>
          <w:rFonts w:ascii="Times New Roman" w:hAnsi="Times New Roman" w:cs="Times New Roman"/>
          <w:i/>
          <w:sz w:val="24"/>
          <w:szCs w:val="24"/>
        </w:rPr>
        <w:t xml:space="preserve">Attorney General for the Province of Quebec and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when they described the relationship between the bankers and customer in the following terms:-</w:t>
      </w:r>
    </w:p>
    <w:p w:rsidR="00CD6036" w:rsidRDefault="00CD6036" w:rsidP="00CD603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“Their Lordships cannot but think that the receipt of deposits and the repayment of the sums deposited to the depositors or their successors as defined is an essential part of the business of banking. The relationship between bankers and customer who pays money into the bank is stated in </w:t>
      </w:r>
      <w:r>
        <w:rPr>
          <w:rFonts w:ascii="Times New Roman" w:hAnsi="Times New Roman" w:cs="Times New Roman"/>
          <w:i/>
          <w:sz w:val="24"/>
          <w:szCs w:val="24"/>
        </w:rPr>
        <w:t xml:space="preserve">Foley </w:t>
      </w:r>
      <w:r>
        <w:rPr>
          <w:rFonts w:ascii="Times New Roman" w:hAnsi="Times New Roman" w:cs="Times New Roman"/>
          <w:sz w:val="24"/>
          <w:szCs w:val="24"/>
        </w:rPr>
        <w:t xml:space="preserve">v </w:t>
      </w:r>
      <w:r>
        <w:rPr>
          <w:rFonts w:ascii="Times New Roman" w:hAnsi="Times New Roman" w:cs="Times New Roman"/>
          <w:i/>
          <w:sz w:val="24"/>
          <w:szCs w:val="24"/>
        </w:rPr>
        <w:t>Hill</w:t>
      </w:r>
      <w:r w:rsidR="00270622">
        <w:rPr>
          <w:rFonts w:ascii="Times New Roman" w:hAnsi="Times New Roman" w:cs="Times New Roman"/>
          <w:i/>
          <w:sz w:val="24"/>
          <w:szCs w:val="24"/>
        </w:rPr>
        <w:t xml:space="preserve"> </w:t>
      </w:r>
      <w:r>
        <w:rPr>
          <w:rFonts w:ascii="Times New Roman" w:hAnsi="Times New Roman" w:cs="Times New Roman"/>
          <w:sz w:val="24"/>
          <w:szCs w:val="24"/>
        </w:rPr>
        <w:t xml:space="preserve">(1) as ‘the ordinary relation of debtor and creditor, with a super’ added obligation arising out of the custom of bankers to ‘honour the customer’s drafts’. No question of possession of or property in the deposit </w:t>
      </w:r>
      <w:r>
        <w:rPr>
          <w:rFonts w:ascii="Times New Roman" w:hAnsi="Times New Roman" w:cs="Times New Roman"/>
          <w:sz w:val="24"/>
          <w:szCs w:val="24"/>
        </w:rPr>
        <w:lastRenderedPageBreak/>
        <w:t xml:space="preserve">arises. The obligation is </w:t>
      </w:r>
      <w:proofErr w:type="spellStart"/>
      <w:r w:rsidRPr="0040250B">
        <w:rPr>
          <w:rFonts w:ascii="Times New Roman" w:hAnsi="Times New Roman" w:cs="Times New Roman"/>
          <w:i/>
          <w:sz w:val="24"/>
          <w:szCs w:val="24"/>
        </w:rPr>
        <w:t>mutuum</w:t>
      </w:r>
      <w:proofErr w:type="spellEnd"/>
      <w:r>
        <w:rPr>
          <w:rFonts w:ascii="Times New Roman" w:hAnsi="Times New Roman" w:cs="Times New Roman"/>
          <w:sz w:val="24"/>
          <w:szCs w:val="24"/>
        </w:rPr>
        <w:t xml:space="preserve"> not </w:t>
      </w:r>
      <w:proofErr w:type="spellStart"/>
      <w:r w:rsidRPr="0040250B">
        <w:rPr>
          <w:rFonts w:ascii="Times New Roman" w:hAnsi="Times New Roman" w:cs="Times New Roman"/>
          <w:i/>
          <w:sz w:val="24"/>
          <w:szCs w:val="24"/>
        </w:rPr>
        <w:t>commodatum</w:t>
      </w:r>
      <w:proofErr w:type="spellEnd"/>
      <w:r>
        <w:rPr>
          <w:rFonts w:ascii="Times New Roman" w:hAnsi="Times New Roman" w:cs="Times New Roman"/>
          <w:sz w:val="24"/>
          <w:szCs w:val="24"/>
        </w:rPr>
        <w:t>. Once a deposit is made there remains only a debt due from the banker to the customer”</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CD6036" w:rsidRDefault="00CD6036" w:rsidP="00CD6036">
      <w:pPr>
        <w:spacing w:after="0" w:line="240" w:lineRule="auto"/>
        <w:ind w:left="720"/>
        <w:jc w:val="both"/>
        <w:rPr>
          <w:rFonts w:ascii="Times New Roman" w:hAnsi="Times New Roman" w:cs="Times New Roman"/>
          <w:sz w:val="24"/>
          <w:szCs w:val="24"/>
        </w:rPr>
      </w:pPr>
    </w:p>
    <w:p w:rsidR="00CD6036" w:rsidRDefault="00CD6036" w:rsidP="00CD603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to me, and it must be the most logical conclusion that once money is placed </w:t>
      </w:r>
    </w:p>
    <w:p w:rsidR="00CD6036" w:rsidRDefault="00CD6036" w:rsidP="00CD603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custody of a banker, that banker must be held accountable to the depositor of that money. The banker must be able to repay the depositor upon demand. It is as simple as it comes. It requires no complicated interpretation. It therefore naturally follows that the respondent must account to the applicant of the deposits made to it by the applicant. To hold otherwise would be to create chaos in the banking sector. It would be to allow banks like the respondent to ride roughshod on innocent and unsuspecting customers like the applicant and would in addition seve</w:t>
      </w:r>
      <w:r w:rsidR="001B3143">
        <w:rPr>
          <w:rFonts w:ascii="Times New Roman" w:hAnsi="Times New Roman" w:cs="Times New Roman"/>
          <w:sz w:val="24"/>
          <w:szCs w:val="24"/>
        </w:rPr>
        <w:t>rely undermine the assumed inte</w:t>
      </w:r>
      <w:r>
        <w:rPr>
          <w:rFonts w:ascii="Times New Roman" w:hAnsi="Times New Roman" w:cs="Times New Roman"/>
          <w:sz w:val="24"/>
          <w:szCs w:val="24"/>
        </w:rPr>
        <w:t xml:space="preserve">grity of the banking sector. </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penalty which the respondent feared would have visited it if it had not blindly followed the directive </w:t>
      </w:r>
      <w:r w:rsidR="004D7C34">
        <w:rPr>
          <w:rFonts w:ascii="Times New Roman" w:hAnsi="Times New Roman" w:cs="Times New Roman"/>
          <w:sz w:val="24"/>
          <w:szCs w:val="24"/>
        </w:rPr>
        <w:t>was specifically provided for.</w:t>
      </w:r>
      <w:r>
        <w:rPr>
          <w:rFonts w:ascii="Times New Roman" w:hAnsi="Times New Roman" w:cs="Times New Roman"/>
          <w:sz w:val="24"/>
          <w:szCs w:val="24"/>
        </w:rPr>
        <w:t xml:space="preserve"> In terms of s 37 the Exchange Control regulations the respondent as an authorised dealer was to be gi</w:t>
      </w:r>
      <w:bookmarkStart w:id="0" w:name="_GoBack"/>
      <w:bookmarkEnd w:id="0"/>
      <w:r>
        <w:rPr>
          <w:rFonts w:ascii="Times New Roman" w:hAnsi="Times New Roman" w:cs="Times New Roman"/>
          <w:sz w:val="24"/>
          <w:szCs w:val="24"/>
        </w:rPr>
        <w:t xml:space="preserve">ven an adequate opportunity to make representations if it felt it had an obligation to protect the deposits made by the applicant. Not </w:t>
      </w:r>
      <w:proofErr w:type="gramStart"/>
      <w:r>
        <w:rPr>
          <w:rFonts w:ascii="Times New Roman" w:hAnsi="Times New Roman" w:cs="Times New Roman"/>
          <w:sz w:val="24"/>
          <w:szCs w:val="24"/>
        </w:rPr>
        <w:t>only that</w:t>
      </w:r>
      <w:proofErr w:type="gramEnd"/>
      <w:r>
        <w:rPr>
          <w:rFonts w:ascii="Times New Roman" w:hAnsi="Times New Roman" w:cs="Times New Roman"/>
          <w:sz w:val="24"/>
          <w:szCs w:val="24"/>
        </w:rPr>
        <w:t xml:space="preserve"> but the regulations</w:t>
      </w:r>
      <w:r w:rsidR="004D7C34">
        <w:rPr>
          <w:rFonts w:ascii="Times New Roman" w:hAnsi="Times New Roman" w:cs="Times New Roman"/>
          <w:sz w:val="24"/>
          <w:szCs w:val="24"/>
        </w:rPr>
        <w:t xml:space="preserve"> further</w:t>
      </w:r>
      <w:r>
        <w:rPr>
          <w:rFonts w:ascii="Times New Roman" w:hAnsi="Times New Roman" w:cs="Times New Roman"/>
          <w:sz w:val="24"/>
          <w:szCs w:val="24"/>
        </w:rPr>
        <w:t xml:space="preserve"> provided for the process of appeal by the respondent against any decision by the Reserve Bank of Zimbabwe.</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occurs to me that what the respondent did in this case was to blindly expropriate the applicant’s deposit</w:t>
      </w:r>
      <w:r w:rsidR="00515B27">
        <w:rPr>
          <w:rFonts w:ascii="Times New Roman" w:hAnsi="Times New Roman" w:cs="Times New Roman"/>
          <w:sz w:val="24"/>
          <w:szCs w:val="24"/>
        </w:rPr>
        <w:t>s</w:t>
      </w:r>
      <w:r>
        <w:rPr>
          <w:rFonts w:ascii="Times New Roman" w:hAnsi="Times New Roman" w:cs="Times New Roman"/>
          <w:sz w:val="24"/>
          <w:szCs w:val="24"/>
        </w:rPr>
        <w:t xml:space="preserve"> without due regard to the law and this was obviously ultra vires even the constitution of this country.</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I find that it is inevitably befitting that the respondent should be ordered to reimburse the monies due to the applicant without putting the applicant into further unnecessary cost of insisting that it joins the Reserve Bank of Zimbabwe in these proceedings for the simple reason that there was never</w:t>
      </w:r>
      <w:r w:rsidR="00515B27">
        <w:rPr>
          <w:rFonts w:ascii="Times New Roman" w:hAnsi="Times New Roman" w:cs="Times New Roman"/>
          <w:sz w:val="24"/>
          <w:szCs w:val="24"/>
        </w:rPr>
        <w:t xml:space="preserve"> any</w:t>
      </w:r>
      <w:r>
        <w:rPr>
          <w:rFonts w:ascii="Times New Roman" w:hAnsi="Times New Roman" w:cs="Times New Roman"/>
          <w:sz w:val="24"/>
          <w:szCs w:val="24"/>
        </w:rPr>
        <w:t xml:space="preserve"> privy of contract between the applicant and the Reserve Bank of Zimbabwe.</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up to the respondent to take appropriate action against the Reserve Bank of Zimbabwe if it so desires.</w:t>
      </w:r>
    </w:p>
    <w:p w:rsidR="004D7C34" w:rsidRDefault="004D7C34" w:rsidP="004D7C34">
      <w:pPr>
        <w:spacing w:after="0" w:line="240" w:lineRule="auto"/>
        <w:jc w:val="both"/>
        <w:rPr>
          <w:rFonts w:ascii="Times New Roman" w:hAnsi="Times New Roman" w:cs="Times New Roman"/>
          <w:sz w:val="24"/>
          <w:szCs w:val="24"/>
          <w:u w:val="single"/>
        </w:rPr>
      </w:pPr>
    </w:p>
    <w:p w:rsidR="00CD6036" w:rsidRPr="004D7C34" w:rsidRDefault="00CD6036" w:rsidP="00CD6036">
      <w:pPr>
        <w:spacing w:after="0" w:line="360" w:lineRule="auto"/>
        <w:jc w:val="both"/>
        <w:rPr>
          <w:rFonts w:ascii="Times New Roman" w:hAnsi="Times New Roman" w:cs="Times New Roman"/>
          <w:b/>
          <w:sz w:val="24"/>
          <w:szCs w:val="24"/>
        </w:rPr>
      </w:pPr>
      <w:r w:rsidRPr="004D7C34">
        <w:rPr>
          <w:rFonts w:ascii="Times New Roman" w:hAnsi="Times New Roman" w:cs="Times New Roman"/>
          <w:b/>
          <w:sz w:val="24"/>
          <w:szCs w:val="24"/>
        </w:rPr>
        <w:t>Costs</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ironic that despite what appears to be reckless execution of its mandate by the respondent in transferring the applicant’s deposits to a third party</w:t>
      </w:r>
      <w:r w:rsidR="004D7C34">
        <w:rPr>
          <w:rFonts w:ascii="Times New Roman" w:hAnsi="Times New Roman" w:cs="Times New Roman"/>
          <w:sz w:val="24"/>
          <w:szCs w:val="24"/>
        </w:rPr>
        <w:t>’s account</w:t>
      </w:r>
      <w:r>
        <w:rPr>
          <w:rFonts w:ascii="Times New Roman" w:hAnsi="Times New Roman" w:cs="Times New Roman"/>
          <w:sz w:val="24"/>
          <w:szCs w:val="24"/>
        </w:rPr>
        <w:t xml:space="preserve"> without the </w:t>
      </w:r>
      <w:r>
        <w:rPr>
          <w:rFonts w:ascii="Times New Roman" w:hAnsi="Times New Roman" w:cs="Times New Roman"/>
          <w:sz w:val="24"/>
          <w:szCs w:val="24"/>
        </w:rPr>
        <w:lastRenderedPageBreak/>
        <w:t>consent and or approval of the applicant, the respondent had the audacity to ask for costs on Attorney</w:t>
      </w:r>
      <w:r w:rsidR="004D7C34">
        <w:rPr>
          <w:rFonts w:ascii="Times New Roman" w:hAnsi="Times New Roman" w:cs="Times New Roman"/>
          <w:sz w:val="24"/>
          <w:szCs w:val="24"/>
        </w:rPr>
        <w:t>-</w:t>
      </w:r>
      <w:r>
        <w:rPr>
          <w:rFonts w:ascii="Times New Roman" w:hAnsi="Times New Roman" w:cs="Times New Roman"/>
          <w:sz w:val="24"/>
          <w:szCs w:val="24"/>
        </w:rPr>
        <w:t>client</w:t>
      </w:r>
      <w:r w:rsidR="004D7C34">
        <w:rPr>
          <w:rFonts w:ascii="Times New Roman" w:hAnsi="Times New Roman" w:cs="Times New Roman"/>
          <w:sz w:val="24"/>
          <w:szCs w:val="24"/>
        </w:rPr>
        <w:t xml:space="preserve"> scale</w:t>
      </w:r>
      <w:r>
        <w:rPr>
          <w:rFonts w:ascii="Times New Roman" w:hAnsi="Times New Roman" w:cs="Times New Roman"/>
          <w:sz w:val="24"/>
          <w:szCs w:val="24"/>
        </w:rPr>
        <w:t xml:space="preserve"> against the applicant as its counsel argued for the dismissal of the </w:t>
      </w:r>
      <w:r w:rsidR="00515B27">
        <w:rPr>
          <w:rFonts w:ascii="Times New Roman" w:hAnsi="Times New Roman" w:cs="Times New Roman"/>
          <w:sz w:val="24"/>
          <w:szCs w:val="24"/>
        </w:rPr>
        <w:t>claim.</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convinced that the inverse must in fact be true. The respondent has been stubborn in refusing to accede to the applicant’s claim. The respondent took an extremely dangerous or casual approach in paying out the applicant’s deposits to a third party without the approval and or consent of the latter let alone before attempting to verify the lawfulness or otherwise of the Reserve Bank of Zimbabwe directive.  </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believe the conduct exhibited by the respondent is deplorable and must be punished by an appropriate order for costs.</w:t>
      </w:r>
    </w:p>
    <w:p w:rsidR="00CD6036" w:rsidRDefault="00CD6036" w:rsidP="00CD6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grant the following order</w:t>
      </w:r>
      <w:r w:rsidR="002C7D45">
        <w:rPr>
          <w:rFonts w:ascii="Times New Roman" w:hAnsi="Times New Roman" w:cs="Times New Roman"/>
          <w:sz w:val="24"/>
          <w:szCs w:val="24"/>
        </w:rPr>
        <w:t>:</w:t>
      </w:r>
    </w:p>
    <w:p w:rsidR="00CD6036" w:rsidRDefault="00CD6036" w:rsidP="00CD603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 pays to the applicant US$38 843-88 and US$8 895-98 being monies unlawfully debited from the applicant’s accounts, namely Account number 8740064001800 and 8740064001801 respectively totalling to US$47 739-86</w:t>
      </w:r>
      <w:r w:rsidR="004D7C34">
        <w:rPr>
          <w:rFonts w:ascii="Times New Roman" w:hAnsi="Times New Roman" w:cs="Times New Roman"/>
          <w:sz w:val="24"/>
          <w:szCs w:val="24"/>
        </w:rPr>
        <w:t xml:space="preserve"> (forty seven thousand seven hundred and thirty nine dollars and eighty six cents)</w:t>
      </w:r>
      <w:r>
        <w:rPr>
          <w:rFonts w:ascii="Times New Roman" w:hAnsi="Times New Roman" w:cs="Times New Roman"/>
          <w:sz w:val="24"/>
          <w:szCs w:val="24"/>
        </w:rPr>
        <w:t xml:space="preserve"> within seven (7) days of this order.</w:t>
      </w:r>
    </w:p>
    <w:p w:rsidR="00CD6036" w:rsidRDefault="00CD6036" w:rsidP="00CD6036">
      <w:pPr>
        <w:pStyle w:val="ListParagraph"/>
        <w:spacing w:after="0" w:line="240" w:lineRule="auto"/>
        <w:ind w:left="1080"/>
        <w:jc w:val="both"/>
        <w:rPr>
          <w:rFonts w:ascii="Times New Roman" w:hAnsi="Times New Roman" w:cs="Times New Roman"/>
          <w:sz w:val="24"/>
          <w:szCs w:val="24"/>
        </w:rPr>
      </w:pPr>
    </w:p>
    <w:p w:rsidR="00CD6036" w:rsidRDefault="00CD6036" w:rsidP="00CD603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pay interest at the prescribed rate from </w:t>
      </w:r>
      <w:r w:rsidR="004D7C34">
        <w:rPr>
          <w:rFonts w:ascii="Times New Roman" w:hAnsi="Times New Roman" w:cs="Times New Roman"/>
          <w:sz w:val="24"/>
          <w:szCs w:val="24"/>
        </w:rPr>
        <w:t xml:space="preserve">the </w:t>
      </w:r>
      <w:r>
        <w:rPr>
          <w:rFonts w:ascii="Times New Roman" w:hAnsi="Times New Roman" w:cs="Times New Roman"/>
          <w:sz w:val="24"/>
          <w:szCs w:val="24"/>
        </w:rPr>
        <w:t>date of this application to date of full payment.</w:t>
      </w:r>
    </w:p>
    <w:p w:rsidR="00CD6036" w:rsidRPr="00825CE2" w:rsidRDefault="00CD6036" w:rsidP="00CD6036">
      <w:pPr>
        <w:spacing w:after="0" w:line="240" w:lineRule="auto"/>
        <w:jc w:val="both"/>
        <w:rPr>
          <w:rFonts w:ascii="Times New Roman" w:hAnsi="Times New Roman" w:cs="Times New Roman"/>
          <w:sz w:val="24"/>
          <w:szCs w:val="24"/>
        </w:rPr>
      </w:pPr>
    </w:p>
    <w:p w:rsidR="00CD6036" w:rsidRDefault="00CD6036" w:rsidP="00CD603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pay costs of suit at a higher scale. </w:t>
      </w:r>
      <w:r w:rsidRPr="000A6BB4">
        <w:rPr>
          <w:rFonts w:ascii="Times New Roman" w:hAnsi="Times New Roman" w:cs="Times New Roman"/>
          <w:sz w:val="24"/>
          <w:szCs w:val="24"/>
        </w:rPr>
        <w:t xml:space="preserve"> </w:t>
      </w:r>
    </w:p>
    <w:p w:rsidR="00CD6036" w:rsidRPr="00E2035A" w:rsidRDefault="00CD6036" w:rsidP="00CD6036">
      <w:pPr>
        <w:pStyle w:val="ListParagraph"/>
        <w:rPr>
          <w:rFonts w:ascii="Times New Roman" w:hAnsi="Times New Roman" w:cs="Times New Roman"/>
          <w:sz w:val="24"/>
          <w:szCs w:val="24"/>
        </w:rPr>
      </w:pPr>
    </w:p>
    <w:p w:rsidR="00CD6036" w:rsidRDefault="00CD6036" w:rsidP="00CD6036">
      <w:pPr>
        <w:spacing w:after="0" w:line="360" w:lineRule="auto"/>
        <w:jc w:val="both"/>
        <w:rPr>
          <w:rFonts w:ascii="Times New Roman" w:hAnsi="Times New Roman" w:cs="Times New Roman"/>
          <w:sz w:val="24"/>
          <w:szCs w:val="24"/>
        </w:rPr>
      </w:pPr>
    </w:p>
    <w:p w:rsidR="00CD6036" w:rsidRDefault="00CD6036" w:rsidP="00CD6036">
      <w:pPr>
        <w:spacing w:after="0" w:line="360" w:lineRule="auto"/>
        <w:jc w:val="both"/>
        <w:rPr>
          <w:rFonts w:ascii="Times New Roman" w:hAnsi="Times New Roman" w:cs="Times New Roman"/>
          <w:sz w:val="24"/>
          <w:szCs w:val="24"/>
        </w:rPr>
      </w:pPr>
    </w:p>
    <w:p w:rsidR="00CD6036" w:rsidRDefault="00CD6036" w:rsidP="00CD6036">
      <w:pPr>
        <w:spacing w:after="0" w:line="360" w:lineRule="auto"/>
        <w:jc w:val="both"/>
        <w:rPr>
          <w:rFonts w:ascii="Times New Roman" w:hAnsi="Times New Roman" w:cs="Times New Roman"/>
          <w:sz w:val="24"/>
          <w:szCs w:val="24"/>
        </w:rPr>
      </w:pPr>
    </w:p>
    <w:p w:rsidR="00CD6036" w:rsidRDefault="00CD6036" w:rsidP="00CD603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Masawi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CD6036" w:rsidRDefault="00CD6036" w:rsidP="00CD60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CD6036" w:rsidRPr="00510752" w:rsidRDefault="00CD6036" w:rsidP="00CD6036">
      <w:pPr>
        <w:jc w:val="both"/>
        <w:rPr>
          <w:rFonts w:ascii="Times New Roman" w:hAnsi="Times New Roman" w:cs="Times New Roman"/>
          <w:sz w:val="24"/>
          <w:szCs w:val="24"/>
        </w:rPr>
      </w:pPr>
    </w:p>
    <w:p w:rsidR="003A1AFD" w:rsidRPr="003A1AFD" w:rsidRDefault="003A1AFD" w:rsidP="00075F0A">
      <w:pPr>
        <w:spacing w:after="0" w:line="360" w:lineRule="auto"/>
        <w:ind w:firstLine="720"/>
        <w:jc w:val="both"/>
        <w:rPr>
          <w:rFonts w:ascii="Times New Roman" w:hAnsi="Times New Roman" w:cs="Times New Roman"/>
          <w:sz w:val="24"/>
          <w:szCs w:val="24"/>
        </w:rPr>
      </w:pPr>
    </w:p>
    <w:p w:rsidR="00291986" w:rsidRPr="00777583" w:rsidRDefault="00291986" w:rsidP="00075F0A">
      <w:pPr>
        <w:spacing w:after="0" w:line="360" w:lineRule="auto"/>
        <w:ind w:firstLine="720"/>
        <w:jc w:val="both"/>
        <w:rPr>
          <w:rFonts w:ascii="Times New Roman" w:hAnsi="Times New Roman" w:cs="Times New Roman"/>
          <w:sz w:val="24"/>
          <w:szCs w:val="24"/>
        </w:rPr>
      </w:pPr>
    </w:p>
    <w:p w:rsidR="00A93EEE" w:rsidRPr="00291986" w:rsidRDefault="00A93EEE" w:rsidP="00075F0A">
      <w:pPr>
        <w:spacing w:after="0" w:line="360" w:lineRule="auto"/>
        <w:ind w:firstLine="720"/>
        <w:jc w:val="both"/>
        <w:rPr>
          <w:rFonts w:ascii="Times New Roman" w:hAnsi="Times New Roman" w:cs="Times New Roman"/>
          <w:b/>
          <w:i/>
          <w:sz w:val="24"/>
          <w:szCs w:val="24"/>
        </w:rPr>
      </w:pPr>
    </w:p>
    <w:p w:rsidR="00A93EEE" w:rsidRPr="00291986" w:rsidRDefault="00A93EEE" w:rsidP="00075F0A">
      <w:pPr>
        <w:spacing w:after="0" w:line="360" w:lineRule="auto"/>
        <w:ind w:left="720"/>
        <w:jc w:val="both"/>
        <w:rPr>
          <w:rFonts w:ascii="Times New Roman" w:hAnsi="Times New Roman" w:cs="Times New Roman"/>
          <w:b/>
          <w:sz w:val="24"/>
          <w:szCs w:val="24"/>
        </w:rPr>
      </w:pPr>
    </w:p>
    <w:p w:rsidR="00A93EEE" w:rsidRPr="00291986" w:rsidRDefault="00A93EEE" w:rsidP="00075F0A">
      <w:pPr>
        <w:spacing w:after="0" w:line="360" w:lineRule="auto"/>
        <w:ind w:firstLine="720"/>
        <w:jc w:val="both"/>
        <w:rPr>
          <w:rFonts w:ascii="Times New Roman" w:hAnsi="Times New Roman" w:cs="Times New Roman"/>
          <w:b/>
          <w:sz w:val="24"/>
          <w:szCs w:val="24"/>
        </w:rPr>
      </w:pPr>
    </w:p>
    <w:p w:rsidR="00510752" w:rsidRPr="00510752" w:rsidRDefault="00510752" w:rsidP="00075F0A">
      <w:pPr>
        <w:spacing w:after="0" w:line="360" w:lineRule="auto"/>
        <w:jc w:val="both"/>
        <w:rPr>
          <w:rFonts w:ascii="Times New Roman" w:hAnsi="Times New Roman" w:cs="Times New Roman"/>
          <w:sz w:val="24"/>
          <w:szCs w:val="24"/>
        </w:rPr>
      </w:pPr>
    </w:p>
    <w:p w:rsidR="00510752" w:rsidRDefault="00510752" w:rsidP="00075F0A">
      <w:pPr>
        <w:spacing w:after="0"/>
        <w:jc w:val="both"/>
        <w:rPr>
          <w:rFonts w:ascii="Times New Roman" w:hAnsi="Times New Roman" w:cs="Times New Roman"/>
          <w:sz w:val="24"/>
          <w:szCs w:val="24"/>
        </w:rPr>
      </w:pPr>
    </w:p>
    <w:p w:rsidR="00510752" w:rsidRDefault="00510752" w:rsidP="00075F0A">
      <w:pPr>
        <w:spacing w:after="0" w:line="240" w:lineRule="auto"/>
        <w:jc w:val="both"/>
        <w:rPr>
          <w:rFonts w:ascii="Times New Roman" w:hAnsi="Times New Roman" w:cs="Times New Roman"/>
          <w:sz w:val="24"/>
          <w:szCs w:val="24"/>
        </w:rPr>
      </w:pPr>
    </w:p>
    <w:p w:rsidR="00510752" w:rsidRPr="00510752" w:rsidRDefault="00510752" w:rsidP="00075F0A">
      <w:pPr>
        <w:jc w:val="both"/>
        <w:rPr>
          <w:rFonts w:ascii="Times New Roman" w:hAnsi="Times New Roman" w:cs="Times New Roman"/>
          <w:sz w:val="24"/>
          <w:szCs w:val="24"/>
        </w:rPr>
      </w:pPr>
    </w:p>
    <w:sectPr w:rsidR="00510752" w:rsidRPr="0051075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98" w:rsidRDefault="00E82598" w:rsidP="00B072E6">
      <w:pPr>
        <w:spacing w:after="0" w:line="240" w:lineRule="auto"/>
      </w:pPr>
      <w:r>
        <w:separator/>
      </w:r>
    </w:p>
  </w:endnote>
  <w:endnote w:type="continuationSeparator" w:id="0">
    <w:p w:rsidR="00E82598" w:rsidRDefault="00E82598" w:rsidP="00B0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98" w:rsidRDefault="00E82598" w:rsidP="00B072E6">
      <w:pPr>
        <w:spacing w:after="0" w:line="240" w:lineRule="auto"/>
      </w:pPr>
      <w:r>
        <w:separator/>
      </w:r>
    </w:p>
  </w:footnote>
  <w:footnote w:type="continuationSeparator" w:id="0">
    <w:p w:rsidR="00E82598" w:rsidRDefault="00E82598" w:rsidP="00B072E6">
      <w:pPr>
        <w:spacing w:after="0" w:line="240" w:lineRule="auto"/>
      </w:pPr>
      <w:r>
        <w:continuationSeparator/>
      </w:r>
    </w:p>
  </w:footnote>
  <w:footnote w:id="1">
    <w:p w:rsidR="00A207F6" w:rsidRDefault="00A207F6">
      <w:pPr>
        <w:pStyle w:val="FootnoteText"/>
      </w:pPr>
      <w:r>
        <w:rPr>
          <w:rStyle w:val="FootnoteReference"/>
        </w:rPr>
        <w:footnoteRef/>
      </w:r>
      <w:r>
        <w:t xml:space="preserve"> 1956(1) SA 766</w:t>
      </w:r>
      <w:r w:rsidR="00515B27">
        <w:t xml:space="preserve"> at p 768 </w:t>
      </w:r>
    </w:p>
  </w:footnote>
  <w:footnote w:id="2">
    <w:p w:rsidR="00777583" w:rsidRDefault="00777583">
      <w:pPr>
        <w:pStyle w:val="FootnoteText"/>
      </w:pPr>
      <w:r>
        <w:rPr>
          <w:rStyle w:val="FootnoteReference"/>
        </w:rPr>
        <w:footnoteRef/>
      </w:r>
      <w:r>
        <w:t xml:space="preserve"> Per GUBBAY JA in Zimbabwe Bonded </w:t>
      </w:r>
      <w:proofErr w:type="spellStart"/>
      <w:r>
        <w:t>Fireglass</w:t>
      </w:r>
      <w:proofErr w:type="spellEnd"/>
      <w:r>
        <w:t xml:space="preserve"> (Pvt) Ltd v </w:t>
      </w:r>
      <w:proofErr w:type="spellStart"/>
      <w:r>
        <w:t>Peech</w:t>
      </w:r>
      <w:proofErr w:type="spellEnd"/>
      <w:r>
        <w:t xml:space="preserve"> 1987 (2) ZLR 338 (SC)</w:t>
      </w:r>
      <w:r w:rsidR="00515B27">
        <w:t xml:space="preserve"> at p 339</w:t>
      </w:r>
    </w:p>
  </w:footnote>
  <w:footnote w:id="3">
    <w:p w:rsidR="008E4AA4" w:rsidRDefault="00515B27">
      <w:pPr>
        <w:pStyle w:val="FootnoteText"/>
      </w:pPr>
      <w:r>
        <w:rPr>
          <w:rStyle w:val="FootnoteReference"/>
        </w:rPr>
        <w:footnoteRef/>
      </w:r>
      <w:r w:rsidR="008E4AA4">
        <w:t xml:space="preserve"> </w:t>
      </w:r>
      <w:r w:rsidR="00312048">
        <w:t>Section 40 (3) SI 109 of Exchange Control Regulations 1996</w:t>
      </w:r>
    </w:p>
  </w:footnote>
  <w:footnote w:id="4">
    <w:p w:rsidR="00CD6036" w:rsidRDefault="00CD6036" w:rsidP="00CD6036">
      <w:pPr>
        <w:pStyle w:val="FootnoteText"/>
      </w:pPr>
      <w:r>
        <w:rPr>
          <w:rStyle w:val="FootnoteReference"/>
        </w:rPr>
        <w:footnoteRef/>
      </w:r>
      <w:r>
        <w:t xml:space="preserve"> An Introduction to South African Banking and Credit Law, </w:t>
      </w:r>
      <w:r w:rsidR="00A207F6">
        <w:t xml:space="preserve">by MW Jones &amp; HC </w:t>
      </w:r>
      <w:proofErr w:type="spellStart"/>
      <w:r w:rsidR="00A207F6">
        <w:t>Schoeman</w:t>
      </w:r>
      <w:proofErr w:type="spellEnd"/>
      <w:r w:rsidR="00A207F6">
        <w:t xml:space="preserve">, </w:t>
      </w:r>
      <w:r>
        <w:t>published in 2006 page</w:t>
      </w:r>
      <w:r w:rsidR="00A207F6">
        <w:t xml:space="preserve"> 4 </w:t>
      </w:r>
    </w:p>
  </w:footnote>
  <w:footnote w:id="5">
    <w:p w:rsidR="00CD6036" w:rsidRDefault="00CD6036" w:rsidP="00CD6036">
      <w:pPr>
        <w:pStyle w:val="FootnoteText"/>
      </w:pPr>
      <w:r>
        <w:rPr>
          <w:rStyle w:val="FootnoteReference"/>
        </w:rPr>
        <w:footnoteRef/>
      </w:r>
      <w:r>
        <w:t xml:space="preserve"> (PRIVY COUNCIL) </w:t>
      </w:r>
    </w:p>
    <w:p w:rsidR="00CD6036" w:rsidRDefault="00CD6036" w:rsidP="00CD6036">
      <w:pPr>
        <w:pStyle w:val="FootnoteText"/>
      </w:pPr>
      <w:r>
        <w:t xml:space="preserve">  Attorney-General for Canada and Attorney-General for the Province of Quebec (and Connected Appeal)</w:t>
      </w:r>
    </w:p>
    <w:p w:rsidR="00CD6036" w:rsidRDefault="00CD6036" w:rsidP="00CD6036">
      <w:pPr>
        <w:pStyle w:val="FootnoteText"/>
      </w:pPr>
      <w:r>
        <w:t xml:space="preserve"> Attorney-General for </w:t>
      </w:r>
      <w:proofErr w:type="spellStart"/>
      <w:r>
        <w:t>Saskat-Chewan</w:t>
      </w:r>
      <w:proofErr w:type="spellEnd"/>
      <w:r>
        <w:t>, Alberta and Mani-Toba 1946 A.C p 33 at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28928"/>
      <w:docPartObj>
        <w:docPartGallery w:val="Page Numbers (Top of Page)"/>
        <w:docPartUnique/>
      </w:docPartObj>
    </w:sdtPr>
    <w:sdtEndPr>
      <w:rPr>
        <w:noProof/>
      </w:rPr>
    </w:sdtEndPr>
    <w:sdtContent>
      <w:p w:rsidR="00E52E5F" w:rsidRDefault="00E52E5F">
        <w:pPr>
          <w:pStyle w:val="Header"/>
          <w:jc w:val="right"/>
          <w:rPr>
            <w:noProof/>
          </w:rPr>
        </w:pPr>
        <w:r>
          <w:fldChar w:fldCharType="begin"/>
        </w:r>
        <w:r>
          <w:instrText xml:space="preserve"> PAGE   \* MERGEFORMAT </w:instrText>
        </w:r>
        <w:r>
          <w:fldChar w:fldCharType="separate"/>
        </w:r>
        <w:r w:rsidR="001B3143">
          <w:rPr>
            <w:noProof/>
          </w:rPr>
          <w:t>6</w:t>
        </w:r>
        <w:r>
          <w:rPr>
            <w:noProof/>
          </w:rPr>
          <w:fldChar w:fldCharType="end"/>
        </w:r>
      </w:p>
      <w:p w:rsidR="00E52E5F" w:rsidRDefault="00E52E5F">
        <w:pPr>
          <w:pStyle w:val="Header"/>
          <w:jc w:val="right"/>
          <w:rPr>
            <w:noProof/>
          </w:rPr>
        </w:pPr>
        <w:r>
          <w:rPr>
            <w:noProof/>
          </w:rPr>
          <w:t>HH 310-11</w:t>
        </w:r>
      </w:p>
      <w:p w:rsidR="00E52E5F" w:rsidRDefault="00E52E5F">
        <w:pPr>
          <w:pStyle w:val="Header"/>
          <w:jc w:val="right"/>
        </w:pPr>
        <w:r>
          <w:rPr>
            <w:noProof/>
          </w:rPr>
          <w:t>HC 4447/11</w:t>
        </w:r>
      </w:p>
    </w:sdtContent>
  </w:sdt>
  <w:p w:rsidR="00E52E5F" w:rsidRDefault="00E52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49F2"/>
    <w:multiLevelType w:val="hybridMultilevel"/>
    <w:tmpl w:val="D612FE5C"/>
    <w:lvl w:ilvl="0" w:tplc="CFF22A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52"/>
    <w:rsid w:val="000272CF"/>
    <w:rsid w:val="00075F0A"/>
    <w:rsid w:val="00077BC9"/>
    <w:rsid w:val="000C00E8"/>
    <w:rsid w:val="001B3143"/>
    <w:rsid w:val="00223173"/>
    <w:rsid w:val="00270622"/>
    <w:rsid w:val="00291986"/>
    <w:rsid w:val="002C7D45"/>
    <w:rsid w:val="002D2727"/>
    <w:rsid w:val="00312048"/>
    <w:rsid w:val="00360F48"/>
    <w:rsid w:val="003A1AFD"/>
    <w:rsid w:val="003E3DA3"/>
    <w:rsid w:val="004D7C34"/>
    <w:rsid w:val="00510752"/>
    <w:rsid w:val="00515B27"/>
    <w:rsid w:val="00573CE7"/>
    <w:rsid w:val="00777583"/>
    <w:rsid w:val="007C7E2D"/>
    <w:rsid w:val="007F3DBC"/>
    <w:rsid w:val="00814063"/>
    <w:rsid w:val="00895DED"/>
    <w:rsid w:val="008C22F0"/>
    <w:rsid w:val="008E4AA4"/>
    <w:rsid w:val="008F3BCA"/>
    <w:rsid w:val="00A207F6"/>
    <w:rsid w:val="00A93EEE"/>
    <w:rsid w:val="00AD3896"/>
    <w:rsid w:val="00B072E6"/>
    <w:rsid w:val="00B23210"/>
    <w:rsid w:val="00B55975"/>
    <w:rsid w:val="00C4444C"/>
    <w:rsid w:val="00C70A45"/>
    <w:rsid w:val="00CC0DB5"/>
    <w:rsid w:val="00CD6036"/>
    <w:rsid w:val="00D42849"/>
    <w:rsid w:val="00E3766D"/>
    <w:rsid w:val="00E467FC"/>
    <w:rsid w:val="00E52E5F"/>
    <w:rsid w:val="00E82598"/>
    <w:rsid w:val="00F35445"/>
    <w:rsid w:val="00F407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7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2E6"/>
    <w:rPr>
      <w:sz w:val="20"/>
      <w:szCs w:val="20"/>
    </w:rPr>
  </w:style>
  <w:style w:type="character" w:styleId="FootnoteReference">
    <w:name w:val="footnote reference"/>
    <w:basedOn w:val="DefaultParagraphFont"/>
    <w:uiPriority w:val="99"/>
    <w:semiHidden/>
    <w:unhideWhenUsed/>
    <w:rsid w:val="00B072E6"/>
    <w:rPr>
      <w:vertAlign w:val="superscript"/>
    </w:rPr>
  </w:style>
  <w:style w:type="paragraph" w:styleId="ListParagraph">
    <w:name w:val="List Paragraph"/>
    <w:basedOn w:val="Normal"/>
    <w:uiPriority w:val="34"/>
    <w:qFormat/>
    <w:rsid w:val="00CD6036"/>
    <w:pPr>
      <w:ind w:left="720"/>
      <w:contextualSpacing/>
    </w:pPr>
  </w:style>
  <w:style w:type="paragraph" w:styleId="Header">
    <w:name w:val="header"/>
    <w:basedOn w:val="Normal"/>
    <w:link w:val="HeaderChar"/>
    <w:uiPriority w:val="99"/>
    <w:unhideWhenUsed/>
    <w:rsid w:val="00E5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E5F"/>
  </w:style>
  <w:style w:type="paragraph" w:styleId="Footer">
    <w:name w:val="footer"/>
    <w:basedOn w:val="Normal"/>
    <w:link w:val="FooterChar"/>
    <w:uiPriority w:val="99"/>
    <w:unhideWhenUsed/>
    <w:rsid w:val="00E5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E5F"/>
  </w:style>
  <w:style w:type="paragraph" w:styleId="BalloonText">
    <w:name w:val="Balloon Text"/>
    <w:basedOn w:val="Normal"/>
    <w:link w:val="BalloonTextChar"/>
    <w:uiPriority w:val="99"/>
    <w:semiHidden/>
    <w:unhideWhenUsed/>
    <w:rsid w:val="0007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7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2E6"/>
    <w:rPr>
      <w:sz w:val="20"/>
      <w:szCs w:val="20"/>
    </w:rPr>
  </w:style>
  <w:style w:type="character" w:styleId="FootnoteReference">
    <w:name w:val="footnote reference"/>
    <w:basedOn w:val="DefaultParagraphFont"/>
    <w:uiPriority w:val="99"/>
    <w:semiHidden/>
    <w:unhideWhenUsed/>
    <w:rsid w:val="00B072E6"/>
    <w:rPr>
      <w:vertAlign w:val="superscript"/>
    </w:rPr>
  </w:style>
  <w:style w:type="paragraph" w:styleId="ListParagraph">
    <w:name w:val="List Paragraph"/>
    <w:basedOn w:val="Normal"/>
    <w:uiPriority w:val="34"/>
    <w:qFormat/>
    <w:rsid w:val="00CD6036"/>
    <w:pPr>
      <w:ind w:left="720"/>
      <w:contextualSpacing/>
    </w:pPr>
  </w:style>
  <w:style w:type="paragraph" w:styleId="Header">
    <w:name w:val="header"/>
    <w:basedOn w:val="Normal"/>
    <w:link w:val="HeaderChar"/>
    <w:uiPriority w:val="99"/>
    <w:unhideWhenUsed/>
    <w:rsid w:val="00E5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E5F"/>
  </w:style>
  <w:style w:type="paragraph" w:styleId="Footer">
    <w:name w:val="footer"/>
    <w:basedOn w:val="Normal"/>
    <w:link w:val="FooterChar"/>
    <w:uiPriority w:val="99"/>
    <w:unhideWhenUsed/>
    <w:rsid w:val="00E5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E5F"/>
  </w:style>
  <w:style w:type="paragraph" w:styleId="BalloonText">
    <w:name w:val="Balloon Text"/>
    <w:basedOn w:val="Normal"/>
    <w:link w:val="BalloonTextChar"/>
    <w:uiPriority w:val="99"/>
    <w:semiHidden/>
    <w:unhideWhenUsed/>
    <w:rsid w:val="0007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3C52-8A13-4C80-9FD4-C8DEA384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2013-06-05T14:30:00Z</cp:lastPrinted>
  <dcterms:created xsi:type="dcterms:W3CDTF">2012-04-05T08:03:00Z</dcterms:created>
  <dcterms:modified xsi:type="dcterms:W3CDTF">2013-06-05T14:53:00Z</dcterms:modified>
</cp:coreProperties>
</file>