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D7" w:rsidRDefault="00B641C1" w:rsidP="005E485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CHINA AFRICA COTTON ZIMBABWE (PRIVATE) LIMITED</w:t>
      </w:r>
    </w:p>
    <w:p w:rsidR="00B37BD6" w:rsidRDefault="00A72477"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641C1" w:rsidRDefault="00B641C1" w:rsidP="00B641C1">
      <w:pPr>
        <w:pStyle w:val="NoSpacing"/>
        <w:rPr>
          <w:rFonts w:ascii="Times New Roman" w:hAnsi="Times New Roman" w:cs="Times New Roman"/>
          <w:sz w:val="24"/>
          <w:szCs w:val="24"/>
        </w:rPr>
      </w:pPr>
      <w:r>
        <w:rPr>
          <w:rFonts w:ascii="Times New Roman" w:hAnsi="Times New Roman" w:cs="Times New Roman"/>
          <w:sz w:val="24"/>
          <w:szCs w:val="24"/>
        </w:rPr>
        <w:t>QUTON SEED COMPANY (PRIVATE) LIMITED</w:t>
      </w:r>
    </w:p>
    <w:p w:rsidR="001F7BE4" w:rsidRDefault="001F7BE4" w:rsidP="001F7BE4">
      <w:pPr>
        <w:spacing w:after="0" w:line="240" w:lineRule="auto"/>
        <w:jc w:val="both"/>
        <w:rPr>
          <w:rFonts w:ascii="Times New Roman" w:hAnsi="Times New Roman" w:cs="Times New Roman"/>
          <w:sz w:val="24"/>
          <w:szCs w:val="24"/>
        </w:rPr>
      </w:pPr>
    </w:p>
    <w:p w:rsidR="00B641C1" w:rsidRDefault="00B641C1" w:rsidP="001F7BE4">
      <w:pPr>
        <w:spacing w:after="0" w:line="240" w:lineRule="auto"/>
        <w:jc w:val="both"/>
        <w:rPr>
          <w:rFonts w:ascii="Times New Roman" w:hAnsi="Times New Roman" w:cs="Times New Roman"/>
          <w:sz w:val="24"/>
          <w:szCs w:val="24"/>
        </w:rPr>
      </w:pPr>
    </w:p>
    <w:p w:rsidR="008E6003" w:rsidRDefault="008E6003"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sidRPr="00DD4DCF">
        <w:rPr>
          <w:rFonts w:ascii="Times New Roman" w:hAnsi="Times New Roman" w:cs="Times New Roman"/>
          <w:sz w:val="24"/>
          <w:szCs w:val="24"/>
        </w:rPr>
        <w:t xml:space="preserve">HARARE, </w:t>
      </w:r>
      <w:r w:rsidR="00B641C1">
        <w:rPr>
          <w:rFonts w:ascii="Times New Roman" w:hAnsi="Times New Roman" w:cs="Times New Roman"/>
          <w:sz w:val="24"/>
          <w:szCs w:val="24"/>
        </w:rPr>
        <w:t>28 February &amp; 11 April</w:t>
      </w:r>
      <w:r w:rsidR="006651EB" w:rsidRPr="00DD4DCF">
        <w:rPr>
          <w:rFonts w:ascii="Times New Roman" w:hAnsi="Times New Roman" w:cs="Times New Roman"/>
          <w:sz w:val="24"/>
          <w:szCs w:val="24"/>
        </w:rPr>
        <w:t xml:space="preserve"> 201</w:t>
      </w:r>
      <w:r w:rsidR="00B641C1">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9B0106">
        <w:rPr>
          <w:rFonts w:ascii="Times New Roman" w:hAnsi="Times New Roman" w:cs="Times New Roman"/>
          <w:b/>
          <w:sz w:val="24"/>
          <w:szCs w:val="24"/>
        </w:rPr>
        <w:t>Matter</w:t>
      </w:r>
      <w:r w:rsidR="009F4F85">
        <w:rPr>
          <w:rFonts w:ascii="Times New Roman" w:hAnsi="Times New Roman" w:cs="Times New Roman"/>
          <w:b/>
          <w:sz w:val="24"/>
          <w:szCs w:val="24"/>
        </w:rPr>
        <w:t xml:space="preserve">- </w:t>
      </w:r>
      <w:r w:rsidR="009B0106">
        <w:rPr>
          <w:rFonts w:ascii="Times New Roman" w:hAnsi="Times New Roman" w:cs="Times New Roman"/>
          <w:b/>
          <w:sz w:val="24"/>
          <w:szCs w:val="24"/>
        </w:rPr>
        <w:t>Exception</w:t>
      </w:r>
      <w:r w:rsidR="005E4856">
        <w:rPr>
          <w:rFonts w:ascii="Times New Roman" w:hAnsi="Times New Roman" w:cs="Times New Roman"/>
          <w:b/>
          <w:sz w:val="24"/>
          <w:szCs w:val="24"/>
        </w:rPr>
        <w:t xml:space="preserve"> </w:t>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Pr="009F4F85" w:rsidRDefault="001F7BE4" w:rsidP="001F7BE4">
      <w:pPr>
        <w:spacing w:after="0" w:line="240" w:lineRule="auto"/>
        <w:rPr>
          <w:rFonts w:ascii="Times New Roman" w:hAnsi="Times New Roman" w:cs="Times New Roman"/>
          <w:i/>
          <w:sz w:val="24"/>
          <w:szCs w:val="24"/>
        </w:rPr>
      </w:pPr>
    </w:p>
    <w:p w:rsidR="00AD30D7" w:rsidRDefault="006D415C"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A602B3">
        <w:rPr>
          <w:rFonts w:ascii="Times New Roman" w:hAnsi="Times New Roman" w:cs="Times New Roman"/>
          <w:i/>
          <w:sz w:val="24"/>
          <w:szCs w:val="24"/>
        </w:rPr>
        <w:t>r</w:t>
      </w:r>
      <w:r w:rsidR="00E15006">
        <w:rPr>
          <w:rFonts w:ascii="Times New Roman" w:hAnsi="Times New Roman" w:cs="Times New Roman"/>
          <w:i/>
          <w:sz w:val="24"/>
          <w:szCs w:val="24"/>
        </w:rPr>
        <w:t xml:space="preserve"> S Muzondiwa</w:t>
      </w:r>
      <w:r w:rsidR="00090BBF" w:rsidRPr="00DD4DCF">
        <w:rPr>
          <w:rFonts w:ascii="Times New Roman" w:hAnsi="Times New Roman" w:cs="Times New Roman"/>
          <w:i/>
          <w:sz w:val="24"/>
          <w:szCs w:val="24"/>
        </w:rPr>
        <w:t>,</w:t>
      </w:r>
      <w:r w:rsidR="00090BBF" w:rsidRPr="00DD4DCF">
        <w:rPr>
          <w:rFonts w:ascii="Times New Roman" w:hAnsi="Times New Roman" w:cs="Times New Roman"/>
          <w:sz w:val="24"/>
          <w:szCs w:val="24"/>
        </w:rPr>
        <w:t xml:space="preserve"> for the </w:t>
      </w:r>
      <w:r w:rsidR="006250C6">
        <w:rPr>
          <w:rFonts w:ascii="Times New Roman" w:hAnsi="Times New Roman" w:cs="Times New Roman"/>
          <w:sz w:val="24"/>
          <w:szCs w:val="24"/>
        </w:rPr>
        <w:t>plaintiff</w:t>
      </w:r>
    </w:p>
    <w:p w:rsidR="005023C5" w:rsidRDefault="006250C6" w:rsidP="00AD30D7">
      <w:pPr>
        <w:spacing w:after="0" w:line="240" w:lineRule="auto"/>
        <w:rPr>
          <w:rFonts w:ascii="Times New Roman" w:hAnsi="Times New Roman" w:cs="Times New Roman"/>
          <w:sz w:val="24"/>
          <w:szCs w:val="24"/>
        </w:rPr>
      </w:pPr>
      <w:r w:rsidRPr="00DD4DCF">
        <w:rPr>
          <w:rFonts w:ascii="Times New Roman" w:hAnsi="Times New Roman" w:cs="Times New Roman"/>
          <w:i/>
          <w:sz w:val="24"/>
          <w:szCs w:val="24"/>
        </w:rPr>
        <w:t xml:space="preserve">Mr </w:t>
      </w:r>
      <w:r w:rsidR="00E15006">
        <w:rPr>
          <w:rFonts w:ascii="Times New Roman" w:hAnsi="Times New Roman" w:cs="Times New Roman"/>
          <w:i/>
          <w:sz w:val="24"/>
          <w:szCs w:val="24"/>
        </w:rPr>
        <w:t>T Chagonda</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D4DCF">
        <w:rPr>
          <w:rFonts w:ascii="Times New Roman" w:hAnsi="Times New Roman" w:cs="Times New Roman"/>
          <w:sz w:val="24"/>
          <w:szCs w:val="24"/>
        </w:rPr>
        <w:t>defendant</w:t>
      </w:r>
    </w:p>
    <w:p w:rsidR="00090BBF" w:rsidRDefault="00090BBF" w:rsidP="001F7BE4">
      <w:pPr>
        <w:spacing w:after="0" w:line="240" w:lineRule="auto"/>
        <w:rPr>
          <w:rFonts w:ascii="Times New Roman" w:hAnsi="Times New Roman" w:cs="Times New Roman"/>
          <w:sz w:val="24"/>
          <w:szCs w:val="24"/>
        </w:rPr>
      </w:pPr>
    </w:p>
    <w:p w:rsidR="001F7BE4" w:rsidRDefault="001F7BE4" w:rsidP="001F7BE4">
      <w:pPr>
        <w:spacing w:after="0" w:line="240" w:lineRule="auto"/>
        <w:rPr>
          <w:rFonts w:ascii="Times New Roman" w:hAnsi="Times New Roman" w:cs="Times New Roman"/>
          <w:sz w:val="24"/>
          <w:szCs w:val="24"/>
        </w:rPr>
      </w:pPr>
    </w:p>
    <w:p w:rsidR="006A5E1C"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A602B3">
        <w:rPr>
          <w:rFonts w:ascii="Times New Roman" w:hAnsi="Times New Roman" w:cs="Times New Roman"/>
          <w:sz w:val="24"/>
          <w:szCs w:val="24"/>
        </w:rPr>
        <w:t>Plaintiff</w:t>
      </w:r>
      <w:r w:rsidR="006D415C">
        <w:rPr>
          <w:rFonts w:ascii="Times New Roman" w:hAnsi="Times New Roman" w:cs="Times New Roman"/>
          <w:sz w:val="24"/>
          <w:szCs w:val="24"/>
        </w:rPr>
        <w:t xml:space="preserve"> issued summons against the defendant</w:t>
      </w:r>
      <w:r w:rsidR="00E15006">
        <w:rPr>
          <w:rFonts w:ascii="Times New Roman" w:hAnsi="Times New Roman" w:cs="Times New Roman"/>
          <w:sz w:val="24"/>
          <w:szCs w:val="24"/>
        </w:rPr>
        <w:t>, on 21 November 2017,</w:t>
      </w:r>
      <w:r w:rsidR="006D415C">
        <w:rPr>
          <w:rFonts w:ascii="Times New Roman" w:hAnsi="Times New Roman" w:cs="Times New Roman"/>
          <w:sz w:val="24"/>
          <w:szCs w:val="24"/>
        </w:rPr>
        <w:t xml:space="preserve"> claiming </w:t>
      </w:r>
      <w:r w:rsidR="00E15006">
        <w:rPr>
          <w:rFonts w:ascii="Times New Roman" w:hAnsi="Times New Roman" w:cs="Times New Roman"/>
          <w:sz w:val="24"/>
          <w:szCs w:val="24"/>
        </w:rPr>
        <w:t xml:space="preserve">an order for eviction, holding over damages in the amount of </w:t>
      </w:r>
      <w:r w:rsidR="006D415C">
        <w:rPr>
          <w:rFonts w:ascii="Times New Roman" w:hAnsi="Times New Roman" w:cs="Times New Roman"/>
          <w:sz w:val="24"/>
          <w:szCs w:val="24"/>
        </w:rPr>
        <w:t>$</w:t>
      </w:r>
      <w:r w:rsidR="00E15006">
        <w:rPr>
          <w:rFonts w:ascii="Times New Roman" w:hAnsi="Times New Roman" w:cs="Times New Roman"/>
          <w:sz w:val="24"/>
          <w:szCs w:val="24"/>
        </w:rPr>
        <w:t xml:space="preserve">7 873,97 per month from 1 October 2017 to date of eviction and legal practitioner and client costs. </w:t>
      </w:r>
      <w:r w:rsidR="002B2529">
        <w:rPr>
          <w:rFonts w:ascii="Times New Roman" w:hAnsi="Times New Roman" w:cs="Times New Roman"/>
          <w:sz w:val="24"/>
          <w:szCs w:val="24"/>
        </w:rPr>
        <w:t>On 30 November 2017, the defe</w:t>
      </w:r>
      <w:r w:rsidR="00E15006">
        <w:rPr>
          <w:rFonts w:ascii="Times New Roman" w:hAnsi="Times New Roman" w:cs="Times New Roman"/>
          <w:sz w:val="24"/>
          <w:szCs w:val="24"/>
        </w:rPr>
        <w:t>ndant notif</w:t>
      </w:r>
      <w:r w:rsidR="002B2529">
        <w:rPr>
          <w:rFonts w:ascii="Times New Roman" w:hAnsi="Times New Roman" w:cs="Times New Roman"/>
          <w:sz w:val="24"/>
          <w:szCs w:val="24"/>
        </w:rPr>
        <w:t>ied</w:t>
      </w:r>
      <w:r w:rsidR="00E15006">
        <w:rPr>
          <w:rFonts w:ascii="Times New Roman" w:hAnsi="Times New Roman" w:cs="Times New Roman"/>
          <w:sz w:val="24"/>
          <w:szCs w:val="24"/>
        </w:rPr>
        <w:t xml:space="preserve"> the plaintiff that </w:t>
      </w:r>
      <w:r w:rsidR="00EA46CD">
        <w:rPr>
          <w:rFonts w:ascii="Times New Roman" w:hAnsi="Times New Roman" w:cs="Times New Roman"/>
          <w:sz w:val="24"/>
          <w:szCs w:val="24"/>
        </w:rPr>
        <w:t>its</w:t>
      </w:r>
      <w:r w:rsidR="00E15006">
        <w:rPr>
          <w:rFonts w:ascii="Times New Roman" w:hAnsi="Times New Roman" w:cs="Times New Roman"/>
          <w:sz w:val="24"/>
          <w:szCs w:val="24"/>
        </w:rPr>
        <w:t xml:space="preserve"> </w:t>
      </w:r>
      <w:r w:rsidR="00EA46CD">
        <w:rPr>
          <w:rFonts w:ascii="Times New Roman" w:hAnsi="Times New Roman" w:cs="Times New Roman"/>
          <w:sz w:val="24"/>
          <w:szCs w:val="24"/>
        </w:rPr>
        <w:t xml:space="preserve">summons and declaration </w:t>
      </w:r>
      <w:r w:rsidR="00E15006">
        <w:rPr>
          <w:rFonts w:ascii="Times New Roman" w:hAnsi="Times New Roman" w:cs="Times New Roman"/>
          <w:sz w:val="24"/>
          <w:szCs w:val="24"/>
        </w:rPr>
        <w:t>were defective as they did not give a concise statement of the nature of the claim, and thereby disclosed no cause of action</w:t>
      </w:r>
      <w:r w:rsidR="002B2529">
        <w:rPr>
          <w:rFonts w:ascii="Times New Roman" w:hAnsi="Times New Roman" w:cs="Times New Roman"/>
          <w:sz w:val="24"/>
          <w:szCs w:val="24"/>
        </w:rPr>
        <w:t>. As a consequence</w:t>
      </w:r>
      <w:r w:rsidR="00E15006">
        <w:rPr>
          <w:rFonts w:ascii="Times New Roman" w:hAnsi="Times New Roman" w:cs="Times New Roman"/>
          <w:sz w:val="24"/>
          <w:szCs w:val="24"/>
        </w:rPr>
        <w:t xml:space="preserve">, the plaintiff filed a notice to amend on 11 </w:t>
      </w:r>
      <w:r w:rsidR="00B06E86">
        <w:rPr>
          <w:rFonts w:ascii="Times New Roman" w:hAnsi="Times New Roman" w:cs="Times New Roman"/>
          <w:sz w:val="24"/>
          <w:szCs w:val="24"/>
        </w:rPr>
        <w:t>December</w:t>
      </w:r>
      <w:r w:rsidR="00E15006">
        <w:rPr>
          <w:rFonts w:ascii="Times New Roman" w:hAnsi="Times New Roman" w:cs="Times New Roman"/>
          <w:sz w:val="24"/>
          <w:szCs w:val="24"/>
        </w:rPr>
        <w:t xml:space="preserve"> 2017 to cure the defect. On 12 December 2017, </w:t>
      </w:r>
      <w:r w:rsidR="002B2529">
        <w:rPr>
          <w:rFonts w:ascii="Times New Roman" w:hAnsi="Times New Roman" w:cs="Times New Roman"/>
          <w:sz w:val="24"/>
          <w:szCs w:val="24"/>
        </w:rPr>
        <w:t xml:space="preserve">the </w:t>
      </w:r>
      <w:r w:rsidR="00E15006">
        <w:rPr>
          <w:rFonts w:ascii="Times New Roman" w:hAnsi="Times New Roman" w:cs="Times New Roman"/>
          <w:sz w:val="24"/>
          <w:szCs w:val="24"/>
        </w:rPr>
        <w:t xml:space="preserve">defendant </w:t>
      </w:r>
      <w:r w:rsidR="00B9419D">
        <w:rPr>
          <w:rFonts w:ascii="Times New Roman" w:hAnsi="Times New Roman" w:cs="Times New Roman"/>
          <w:sz w:val="24"/>
          <w:szCs w:val="24"/>
        </w:rPr>
        <w:t>excep</w:t>
      </w:r>
      <w:r w:rsidR="00EA46CD">
        <w:rPr>
          <w:rFonts w:ascii="Times New Roman" w:hAnsi="Times New Roman" w:cs="Times New Roman"/>
          <w:sz w:val="24"/>
          <w:szCs w:val="24"/>
        </w:rPr>
        <w:t>ted</w:t>
      </w:r>
      <w:r w:rsidR="00E15006">
        <w:rPr>
          <w:rFonts w:ascii="Times New Roman" w:hAnsi="Times New Roman" w:cs="Times New Roman"/>
          <w:sz w:val="24"/>
          <w:szCs w:val="24"/>
        </w:rPr>
        <w:t xml:space="preserve"> to the summons </w:t>
      </w:r>
      <w:r w:rsidR="00EA46CD">
        <w:rPr>
          <w:rFonts w:ascii="Times New Roman" w:hAnsi="Times New Roman" w:cs="Times New Roman"/>
          <w:sz w:val="24"/>
          <w:szCs w:val="24"/>
        </w:rPr>
        <w:t>and declaration</w:t>
      </w:r>
      <w:r w:rsidR="00B06E86">
        <w:rPr>
          <w:rFonts w:ascii="Times New Roman" w:hAnsi="Times New Roman" w:cs="Times New Roman"/>
          <w:sz w:val="24"/>
          <w:szCs w:val="24"/>
        </w:rPr>
        <w:t>.</w:t>
      </w:r>
    </w:p>
    <w:p w:rsidR="00EA46CD" w:rsidRPr="007820CB" w:rsidRDefault="00EA46CD" w:rsidP="002B2529">
      <w:pPr>
        <w:spacing w:after="0" w:line="360" w:lineRule="auto"/>
        <w:jc w:val="both"/>
        <w:rPr>
          <w:rFonts w:ascii="Times New Roman" w:hAnsi="Times New Roman" w:cs="Times New Roman"/>
          <w:sz w:val="24"/>
          <w:szCs w:val="24"/>
          <w:u w:val="single"/>
        </w:rPr>
      </w:pPr>
      <w:r w:rsidRPr="007820CB">
        <w:rPr>
          <w:rFonts w:ascii="Times New Roman" w:hAnsi="Times New Roman" w:cs="Times New Roman"/>
          <w:sz w:val="24"/>
          <w:szCs w:val="24"/>
          <w:u w:val="single"/>
        </w:rPr>
        <w:t xml:space="preserve">Procedural </w:t>
      </w:r>
      <w:r w:rsidR="00743EA4" w:rsidRPr="007820CB">
        <w:rPr>
          <w:rFonts w:ascii="Times New Roman" w:hAnsi="Times New Roman" w:cs="Times New Roman"/>
          <w:sz w:val="24"/>
          <w:szCs w:val="24"/>
          <w:u w:val="single"/>
        </w:rPr>
        <w:t>Irregularities</w:t>
      </w:r>
    </w:p>
    <w:p w:rsidR="00B06E86" w:rsidRDefault="00B06E8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offending parts of the summons read as follows:</w:t>
      </w:r>
    </w:p>
    <w:p w:rsidR="00B06E86" w:rsidRPr="007820CB" w:rsidRDefault="00B06E86" w:rsidP="007820CB">
      <w:pPr>
        <w:spacing w:after="0" w:line="240" w:lineRule="auto"/>
        <w:ind w:left="720" w:firstLine="720"/>
        <w:jc w:val="both"/>
        <w:rPr>
          <w:rFonts w:ascii="Times New Roman" w:hAnsi="Times New Roman" w:cs="Times New Roman"/>
        </w:rPr>
      </w:pPr>
      <w:r w:rsidRPr="007820CB">
        <w:rPr>
          <w:rFonts w:ascii="Times New Roman" w:hAnsi="Times New Roman" w:cs="Times New Roman"/>
        </w:rPr>
        <w:t>“Plaintiff’s claim is for:-</w:t>
      </w:r>
    </w:p>
    <w:p w:rsidR="00B06E86" w:rsidRPr="007820CB" w:rsidRDefault="00B06E86" w:rsidP="007820CB">
      <w:pPr>
        <w:pStyle w:val="ListParagraph"/>
        <w:numPr>
          <w:ilvl w:val="0"/>
          <w:numId w:val="34"/>
        </w:numPr>
        <w:spacing w:after="0" w:line="240" w:lineRule="auto"/>
        <w:ind w:left="1800"/>
        <w:jc w:val="both"/>
        <w:rPr>
          <w:rFonts w:ascii="Times New Roman" w:hAnsi="Times New Roman" w:cs="Times New Roman"/>
        </w:rPr>
      </w:pPr>
      <w:r w:rsidRPr="007820CB">
        <w:rPr>
          <w:rFonts w:ascii="Times New Roman" w:hAnsi="Times New Roman" w:cs="Times New Roman"/>
        </w:rPr>
        <w:t>An Order evicting the defendant and all those claiming occupation through it from the leased premises 222A Sally Mugabe Way Glendale Township, Glendale.</w:t>
      </w:r>
    </w:p>
    <w:p w:rsidR="00B06E86" w:rsidRPr="007820CB" w:rsidRDefault="00B06E86" w:rsidP="007820CB">
      <w:pPr>
        <w:pStyle w:val="ListParagraph"/>
        <w:numPr>
          <w:ilvl w:val="0"/>
          <w:numId w:val="34"/>
        </w:numPr>
        <w:spacing w:after="0" w:line="240" w:lineRule="auto"/>
        <w:ind w:left="1800"/>
        <w:jc w:val="both"/>
        <w:rPr>
          <w:rFonts w:ascii="Times New Roman" w:hAnsi="Times New Roman" w:cs="Times New Roman"/>
        </w:rPr>
      </w:pPr>
      <w:r w:rsidRPr="007820CB">
        <w:rPr>
          <w:rFonts w:ascii="Times New Roman" w:hAnsi="Times New Roman" w:cs="Times New Roman"/>
        </w:rPr>
        <w:t>Holding over damages at the rate of $7 873.97 per month calculated from 1</w:t>
      </w:r>
      <w:r w:rsidRPr="007820CB">
        <w:rPr>
          <w:rFonts w:ascii="Times New Roman" w:hAnsi="Times New Roman" w:cs="Times New Roman"/>
          <w:vertAlign w:val="superscript"/>
        </w:rPr>
        <w:t>st</w:t>
      </w:r>
      <w:r w:rsidRPr="007820CB">
        <w:rPr>
          <w:rFonts w:ascii="Times New Roman" w:hAnsi="Times New Roman" w:cs="Times New Roman"/>
        </w:rPr>
        <w:t xml:space="preserve"> of October to the date of eviction.</w:t>
      </w:r>
    </w:p>
    <w:p w:rsidR="00B06E86" w:rsidRPr="007820CB" w:rsidRDefault="00B06E86" w:rsidP="007820CB">
      <w:pPr>
        <w:pStyle w:val="ListParagraph"/>
        <w:numPr>
          <w:ilvl w:val="0"/>
          <w:numId w:val="34"/>
        </w:numPr>
        <w:spacing w:after="0" w:line="240" w:lineRule="auto"/>
        <w:ind w:left="1800"/>
        <w:jc w:val="both"/>
        <w:rPr>
          <w:rFonts w:ascii="Times New Roman" w:hAnsi="Times New Roman" w:cs="Times New Roman"/>
        </w:rPr>
      </w:pPr>
      <w:r w:rsidRPr="007820CB">
        <w:rPr>
          <w:rFonts w:ascii="Times New Roman" w:hAnsi="Times New Roman" w:cs="Times New Roman"/>
        </w:rPr>
        <w:t>Costs of suit on a Legal Practitioner-Client scale, as will more fully appear from Plaintiff’s Declaration attached hereto.”</w:t>
      </w:r>
    </w:p>
    <w:p w:rsidR="002B2529" w:rsidRPr="007820CB" w:rsidRDefault="002B2529" w:rsidP="007820CB">
      <w:pPr>
        <w:pStyle w:val="ListParagraph"/>
        <w:spacing w:after="0" w:line="240" w:lineRule="auto"/>
        <w:ind w:left="1800"/>
        <w:jc w:val="both"/>
        <w:rPr>
          <w:rFonts w:ascii="Times New Roman" w:hAnsi="Times New Roman" w:cs="Times New Roman"/>
        </w:rPr>
      </w:pPr>
    </w:p>
    <w:p w:rsidR="00B06E86" w:rsidRPr="007820CB" w:rsidRDefault="00B06E86" w:rsidP="007820CB">
      <w:pPr>
        <w:pStyle w:val="ListParagraph"/>
        <w:spacing w:after="0" w:line="240" w:lineRule="auto"/>
        <w:ind w:left="1080"/>
        <w:jc w:val="both"/>
        <w:rPr>
          <w:rFonts w:ascii="Times New Roman" w:hAnsi="Times New Roman" w:cs="Times New Roman"/>
        </w:rPr>
      </w:pPr>
      <w:r w:rsidRPr="007820CB">
        <w:rPr>
          <w:rFonts w:ascii="Times New Roman" w:hAnsi="Times New Roman" w:cs="Times New Roman"/>
        </w:rPr>
        <w:t>For its part, the declaration reads in the relevant paragraphs as follows:</w:t>
      </w:r>
    </w:p>
    <w:p w:rsidR="00B06E86" w:rsidRPr="007820CB" w:rsidRDefault="00B06E86" w:rsidP="007820CB">
      <w:pPr>
        <w:pStyle w:val="ListParagraph"/>
        <w:spacing w:after="0" w:line="240" w:lineRule="auto"/>
        <w:ind w:left="1080"/>
        <w:jc w:val="both"/>
        <w:rPr>
          <w:rFonts w:ascii="Times New Roman" w:hAnsi="Times New Roman" w:cs="Times New Roman"/>
        </w:rPr>
      </w:pPr>
    </w:p>
    <w:p w:rsidR="00EA46CD" w:rsidRPr="007820CB" w:rsidRDefault="00EA46CD" w:rsidP="007820CB">
      <w:pPr>
        <w:spacing w:after="0" w:line="240" w:lineRule="auto"/>
        <w:ind w:left="1080"/>
        <w:jc w:val="both"/>
        <w:rPr>
          <w:rFonts w:ascii="Times New Roman" w:hAnsi="Times New Roman" w:cs="Times New Roman"/>
        </w:rPr>
      </w:pPr>
      <w:r w:rsidRPr="007820CB">
        <w:rPr>
          <w:rFonts w:ascii="Times New Roman" w:hAnsi="Times New Roman" w:cs="Times New Roman"/>
        </w:rPr>
        <w:t>“3</w:t>
      </w:r>
      <w:r w:rsidR="000552B0" w:rsidRPr="007820CB">
        <w:rPr>
          <w:rFonts w:ascii="Times New Roman" w:hAnsi="Times New Roman" w:cs="Times New Roman"/>
        </w:rPr>
        <w:t xml:space="preserve">. </w:t>
      </w:r>
      <w:r w:rsidRPr="007820CB">
        <w:rPr>
          <w:rFonts w:ascii="Times New Roman" w:hAnsi="Times New Roman" w:cs="Times New Roman"/>
        </w:rPr>
        <w:t>On the 27</w:t>
      </w:r>
      <w:r w:rsidRPr="007820CB">
        <w:rPr>
          <w:rFonts w:ascii="Times New Roman" w:hAnsi="Times New Roman" w:cs="Times New Roman"/>
          <w:vertAlign w:val="superscript"/>
        </w:rPr>
        <w:t>th</w:t>
      </w:r>
      <w:r w:rsidRPr="007820CB">
        <w:rPr>
          <w:rFonts w:ascii="Times New Roman" w:hAnsi="Times New Roman" w:cs="Times New Roman"/>
        </w:rPr>
        <w:t xml:space="preserve"> day of December 2011, Plaintiff and Defendant executed a lease agreement in terms of which Plaintiff leased out to Defendant certain premises known as No. 222A Sally Mugabe Way, Glendale Township.</w:t>
      </w:r>
    </w:p>
    <w:p w:rsidR="00EA46CD" w:rsidRPr="007820CB" w:rsidRDefault="000552B0" w:rsidP="007820CB">
      <w:pPr>
        <w:spacing w:after="0" w:line="240" w:lineRule="auto"/>
        <w:ind w:left="1080"/>
        <w:jc w:val="both"/>
        <w:rPr>
          <w:rFonts w:ascii="Times New Roman" w:hAnsi="Times New Roman" w:cs="Times New Roman"/>
        </w:rPr>
      </w:pPr>
      <w:r w:rsidRPr="007820CB">
        <w:rPr>
          <w:rFonts w:ascii="Times New Roman" w:hAnsi="Times New Roman" w:cs="Times New Roman"/>
        </w:rPr>
        <w:t xml:space="preserve">4. </w:t>
      </w:r>
      <w:r w:rsidR="00EA46CD" w:rsidRPr="007820CB">
        <w:rPr>
          <w:rFonts w:ascii="Times New Roman" w:hAnsi="Times New Roman" w:cs="Times New Roman"/>
        </w:rPr>
        <w:t>The duration of the lease was five years commencing on the 1</w:t>
      </w:r>
      <w:r w:rsidR="00EA46CD" w:rsidRPr="007820CB">
        <w:rPr>
          <w:rFonts w:ascii="Times New Roman" w:hAnsi="Times New Roman" w:cs="Times New Roman"/>
          <w:vertAlign w:val="superscript"/>
        </w:rPr>
        <w:t>st</w:t>
      </w:r>
      <w:r w:rsidR="00EA46CD" w:rsidRPr="007820CB">
        <w:rPr>
          <w:rFonts w:ascii="Times New Roman" w:hAnsi="Times New Roman" w:cs="Times New Roman"/>
        </w:rPr>
        <w:t xml:space="preserve"> of January 2012 to the 31</w:t>
      </w:r>
      <w:r w:rsidR="00EA46CD" w:rsidRPr="007820CB">
        <w:rPr>
          <w:rFonts w:ascii="Times New Roman" w:hAnsi="Times New Roman" w:cs="Times New Roman"/>
          <w:vertAlign w:val="superscript"/>
        </w:rPr>
        <w:t>st</w:t>
      </w:r>
      <w:r w:rsidR="00EA46CD" w:rsidRPr="007820CB">
        <w:rPr>
          <w:rFonts w:ascii="Times New Roman" w:hAnsi="Times New Roman" w:cs="Times New Roman"/>
        </w:rPr>
        <w:t xml:space="preserve"> of December 2016.</w:t>
      </w:r>
    </w:p>
    <w:p w:rsidR="00EA46CD" w:rsidRPr="007820CB" w:rsidRDefault="00EA46CD" w:rsidP="007820CB">
      <w:pPr>
        <w:spacing w:after="0" w:line="240" w:lineRule="auto"/>
        <w:ind w:left="1080"/>
        <w:jc w:val="both"/>
        <w:rPr>
          <w:rFonts w:ascii="Times New Roman" w:hAnsi="Times New Roman" w:cs="Times New Roman"/>
        </w:rPr>
      </w:pPr>
      <w:r w:rsidRPr="007820CB">
        <w:rPr>
          <w:rFonts w:ascii="Times New Roman" w:hAnsi="Times New Roman" w:cs="Times New Roman"/>
        </w:rPr>
        <w:lastRenderedPageBreak/>
        <w:t>5. Upon expiration of the lease period</w:t>
      </w:r>
      <w:r w:rsidR="006D6D1E" w:rsidRPr="007820CB">
        <w:rPr>
          <w:rFonts w:ascii="Times New Roman" w:hAnsi="Times New Roman" w:cs="Times New Roman"/>
        </w:rPr>
        <w:t>.(</w:t>
      </w:r>
      <w:r w:rsidRPr="007820CB">
        <w:rPr>
          <w:rFonts w:ascii="Times New Roman" w:hAnsi="Times New Roman" w:cs="Times New Roman"/>
        </w:rPr>
        <w:t>sic) Defendant continued to perform its obligations in terms of the expired lease. Defendant had become a statutory tenant.</w:t>
      </w:r>
    </w:p>
    <w:p w:rsidR="00EA46CD" w:rsidRPr="007820CB" w:rsidRDefault="00EA46CD" w:rsidP="007820CB">
      <w:pPr>
        <w:spacing w:after="0" w:line="240" w:lineRule="auto"/>
        <w:ind w:left="1080"/>
        <w:jc w:val="both"/>
        <w:rPr>
          <w:rFonts w:ascii="Times New Roman" w:hAnsi="Times New Roman" w:cs="Times New Roman"/>
        </w:rPr>
      </w:pPr>
      <w:r w:rsidRPr="007820CB">
        <w:rPr>
          <w:rFonts w:ascii="Times New Roman" w:hAnsi="Times New Roman" w:cs="Times New Roman"/>
        </w:rPr>
        <w:t>6. On the 29</w:t>
      </w:r>
      <w:r w:rsidRPr="007820CB">
        <w:rPr>
          <w:rFonts w:ascii="Times New Roman" w:hAnsi="Times New Roman" w:cs="Times New Roman"/>
          <w:vertAlign w:val="superscript"/>
        </w:rPr>
        <w:t>th</w:t>
      </w:r>
      <w:r w:rsidRPr="007820CB">
        <w:rPr>
          <w:rFonts w:ascii="Times New Roman" w:hAnsi="Times New Roman" w:cs="Times New Roman"/>
        </w:rPr>
        <w:t xml:space="preserve"> of June 2017, Plaintiff through its Legal Practitioners of record, gave a three (3) months written notice to Defendant terminating the statutory tenancy on the 30</w:t>
      </w:r>
      <w:r w:rsidRPr="007820CB">
        <w:rPr>
          <w:rFonts w:ascii="Times New Roman" w:hAnsi="Times New Roman" w:cs="Times New Roman"/>
          <w:vertAlign w:val="superscript"/>
        </w:rPr>
        <w:t>th</w:t>
      </w:r>
      <w:r w:rsidRPr="007820CB">
        <w:rPr>
          <w:rFonts w:ascii="Times New Roman" w:hAnsi="Times New Roman" w:cs="Times New Roman"/>
        </w:rPr>
        <w:t xml:space="preserve"> of September 2017 and indicating that it wishes to use the premises for its own operations</w:t>
      </w:r>
      <w:r w:rsidR="000552B0" w:rsidRPr="007820CB">
        <w:rPr>
          <w:rFonts w:ascii="Times New Roman" w:hAnsi="Times New Roman" w:cs="Times New Roman"/>
        </w:rPr>
        <w:t xml:space="preserve"> upon the expiration of the notice period. Plaintiff attaches hereto a copy of said notice marked “A”. Defendant has known of Plaintiff’s long term plans to expand its business and use the leased premises.</w:t>
      </w:r>
    </w:p>
    <w:p w:rsidR="000552B0" w:rsidRPr="007820CB" w:rsidRDefault="000552B0" w:rsidP="007820CB">
      <w:pPr>
        <w:spacing w:after="0" w:line="240" w:lineRule="auto"/>
        <w:ind w:left="1080"/>
        <w:jc w:val="both"/>
        <w:rPr>
          <w:rFonts w:ascii="Times New Roman" w:hAnsi="Times New Roman" w:cs="Times New Roman"/>
        </w:rPr>
      </w:pPr>
      <w:r w:rsidRPr="007820CB">
        <w:rPr>
          <w:rFonts w:ascii="Times New Roman" w:hAnsi="Times New Roman" w:cs="Times New Roman"/>
        </w:rPr>
        <w:t>7. During the three (3) months notice (sic) period rentals were being paid at the rate of $7 873.97.</w:t>
      </w:r>
    </w:p>
    <w:p w:rsidR="000552B0" w:rsidRPr="007820CB" w:rsidRDefault="000552B0" w:rsidP="007820CB">
      <w:pPr>
        <w:spacing w:after="0" w:line="240" w:lineRule="auto"/>
        <w:ind w:left="1080"/>
        <w:jc w:val="both"/>
        <w:rPr>
          <w:rFonts w:ascii="Times New Roman" w:hAnsi="Times New Roman" w:cs="Times New Roman"/>
        </w:rPr>
      </w:pPr>
      <w:r w:rsidRPr="007820CB">
        <w:rPr>
          <w:rFonts w:ascii="Times New Roman" w:hAnsi="Times New Roman" w:cs="Times New Roman"/>
        </w:rPr>
        <w:t>8. The notice period having expired, Defendant has failed/refused to vacate the premises for no lawful grounds.</w:t>
      </w:r>
    </w:p>
    <w:p w:rsidR="000552B0" w:rsidRPr="007820CB" w:rsidRDefault="000552B0" w:rsidP="007820CB">
      <w:pPr>
        <w:spacing w:after="0" w:line="240" w:lineRule="auto"/>
        <w:ind w:left="1080"/>
        <w:jc w:val="both"/>
        <w:rPr>
          <w:rFonts w:ascii="Times New Roman" w:hAnsi="Times New Roman" w:cs="Times New Roman"/>
        </w:rPr>
      </w:pPr>
      <w:r w:rsidRPr="007820CB">
        <w:rPr>
          <w:rFonts w:ascii="Times New Roman" w:hAnsi="Times New Roman" w:cs="Times New Roman"/>
        </w:rPr>
        <w:t>9. Plaintiff as (sic) suffered and continues to suffer prejudice as its operations have been put in abeyance due to Defendant’s holding over of the premises.</w:t>
      </w:r>
    </w:p>
    <w:p w:rsidR="000552B0" w:rsidRPr="007820CB" w:rsidRDefault="000552B0" w:rsidP="007820CB">
      <w:pPr>
        <w:spacing w:after="0" w:line="240" w:lineRule="auto"/>
        <w:ind w:left="1080"/>
        <w:jc w:val="both"/>
        <w:rPr>
          <w:rFonts w:ascii="Times New Roman" w:hAnsi="Times New Roman" w:cs="Times New Roman"/>
        </w:rPr>
      </w:pPr>
      <w:r w:rsidRPr="007820CB">
        <w:rPr>
          <w:rFonts w:ascii="Times New Roman" w:hAnsi="Times New Roman" w:cs="Times New Roman"/>
          <w:b/>
          <w:u w:val="single"/>
        </w:rPr>
        <w:t>WHEREFORE</w:t>
      </w:r>
      <w:r w:rsidRPr="007820CB">
        <w:rPr>
          <w:rFonts w:ascii="Times New Roman" w:hAnsi="Times New Roman" w:cs="Times New Roman"/>
        </w:rPr>
        <w:t xml:space="preserve"> Plaintiff’s claim as against the Defendant is for:-</w:t>
      </w:r>
    </w:p>
    <w:p w:rsidR="000552B0" w:rsidRPr="007820CB" w:rsidRDefault="000552B0" w:rsidP="007820CB">
      <w:pPr>
        <w:pStyle w:val="ListParagraph"/>
        <w:numPr>
          <w:ilvl w:val="0"/>
          <w:numId w:val="36"/>
        </w:numPr>
        <w:spacing w:after="0" w:line="240" w:lineRule="auto"/>
        <w:ind w:left="1440"/>
        <w:jc w:val="both"/>
        <w:rPr>
          <w:rFonts w:ascii="Times New Roman" w:hAnsi="Times New Roman" w:cs="Times New Roman"/>
        </w:rPr>
      </w:pPr>
      <w:r w:rsidRPr="007820CB">
        <w:rPr>
          <w:rFonts w:ascii="Times New Roman" w:hAnsi="Times New Roman" w:cs="Times New Roman"/>
        </w:rPr>
        <w:t>An Order evicting the Defendant and all those claiming occupation through it from the leased premises.</w:t>
      </w:r>
    </w:p>
    <w:p w:rsidR="000552B0" w:rsidRPr="007820CB" w:rsidRDefault="00621903" w:rsidP="007820CB">
      <w:pPr>
        <w:pStyle w:val="ListParagraph"/>
        <w:numPr>
          <w:ilvl w:val="0"/>
          <w:numId w:val="36"/>
        </w:numPr>
        <w:spacing w:after="0" w:line="240" w:lineRule="auto"/>
        <w:ind w:left="1440"/>
        <w:jc w:val="both"/>
        <w:rPr>
          <w:rFonts w:ascii="Times New Roman" w:hAnsi="Times New Roman" w:cs="Times New Roman"/>
        </w:rPr>
      </w:pPr>
      <w:r w:rsidRPr="007820CB">
        <w:rPr>
          <w:rFonts w:ascii="Times New Roman" w:hAnsi="Times New Roman" w:cs="Times New Roman"/>
        </w:rPr>
        <w:t>Holding over damages at the rate of $7 873.97 per month calculated from 1</w:t>
      </w:r>
      <w:r w:rsidRPr="007820CB">
        <w:rPr>
          <w:rFonts w:ascii="Times New Roman" w:hAnsi="Times New Roman" w:cs="Times New Roman"/>
          <w:vertAlign w:val="superscript"/>
        </w:rPr>
        <w:t>st</w:t>
      </w:r>
      <w:r w:rsidRPr="007820CB">
        <w:rPr>
          <w:rFonts w:ascii="Times New Roman" w:hAnsi="Times New Roman" w:cs="Times New Roman"/>
        </w:rPr>
        <w:t xml:space="preserve"> October 2017 to the date of eviction.</w:t>
      </w:r>
    </w:p>
    <w:p w:rsidR="00621903" w:rsidRPr="007820CB" w:rsidRDefault="00621903" w:rsidP="007820CB">
      <w:pPr>
        <w:pStyle w:val="ListParagraph"/>
        <w:numPr>
          <w:ilvl w:val="0"/>
          <w:numId w:val="36"/>
        </w:numPr>
        <w:spacing w:after="0" w:line="240" w:lineRule="auto"/>
        <w:ind w:left="1440"/>
        <w:jc w:val="both"/>
        <w:rPr>
          <w:rFonts w:ascii="Times New Roman" w:hAnsi="Times New Roman" w:cs="Times New Roman"/>
        </w:rPr>
      </w:pPr>
      <w:r w:rsidRPr="007820CB">
        <w:rPr>
          <w:rFonts w:ascii="Times New Roman" w:hAnsi="Times New Roman" w:cs="Times New Roman"/>
        </w:rPr>
        <w:t>Costs of suit on a Legal Practitioner-client scale.”</w:t>
      </w:r>
    </w:p>
    <w:p w:rsidR="002B2529" w:rsidRPr="007820CB" w:rsidRDefault="002B2529" w:rsidP="007820CB">
      <w:pPr>
        <w:pStyle w:val="ListParagraph"/>
        <w:spacing w:after="0" w:line="240" w:lineRule="auto"/>
        <w:ind w:left="1440"/>
        <w:jc w:val="both"/>
        <w:rPr>
          <w:rFonts w:ascii="Times New Roman" w:hAnsi="Times New Roman" w:cs="Times New Roman"/>
        </w:rPr>
      </w:pPr>
    </w:p>
    <w:p w:rsidR="00621903" w:rsidRPr="00BE4142" w:rsidRDefault="00621903" w:rsidP="007820CB">
      <w:pPr>
        <w:spacing w:after="0" w:line="240" w:lineRule="auto"/>
        <w:ind w:firstLine="720"/>
        <w:jc w:val="both"/>
        <w:rPr>
          <w:rFonts w:ascii="Times New Roman" w:hAnsi="Times New Roman" w:cs="Times New Roman"/>
          <w:sz w:val="24"/>
          <w:szCs w:val="24"/>
        </w:rPr>
      </w:pPr>
      <w:r w:rsidRPr="00BE4142">
        <w:rPr>
          <w:rFonts w:ascii="Times New Roman" w:hAnsi="Times New Roman" w:cs="Times New Roman"/>
          <w:sz w:val="24"/>
          <w:szCs w:val="24"/>
        </w:rPr>
        <w:t>The intended amendments to the summons and declaration are as follows:</w:t>
      </w:r>
    </w:p>
    <w:p w:rsidR="002B2529" w:rsidRPr="007820CB" w:rsidRDefault="002B2529" w:rsidP="007820CB">
      <w:pPr>
        <w:spacing w:after="0" w:line="240" w:lineRule="auto"/>
        <w:ind w:firstLine="720"/>
        <w:jc w:val="both"/>
        <w:rPr>
          <w:rFonts w:ascii="Times New Roman" w:hAnsi="Times New Roman" w:cs="Times New Roman"/>
        </w:rPr>
      </w:pPr>
    </w:p>
    <w:p w:rsidR="00621903" w:rsidRPr="007820CB" w:rsidRDefault="0093750A" w:rsidP="007820CB">
      <w:pPr>
        <w:spacing w:after="0" w:line="240" w:lineRule="auto"/>
        <w:ind w:left="720" w:firstLine="720"/>
        <w:jc w:val="both"/>
        <w:rPr>
          <w:rFonts w:ascii="Times New Roman" w:hAnsi="Times New Roman" w:cs="Times New Roman"/>
          <w:b/>
          <w:u w:val="single"/>
        </w:rPr>
      </w:pPr>
      <w:r w:rsidRPr="007820CB">
        <w:rPr>
          <w:rFonts w:ascii="Times New Roman" w:hAnsi="Times New Roman" w:cs="Times New Roman"/>
        </w:rPr>
        <w:t>“</w:t>
      </w:r>
      <w:r w:rsidRPr="007820CB">
        <w:rPr>
          <w:rFonts w:ascii="Times New Roman" w:hAnsi="Times New Roman" w:cs="Times New Roman"/>
          <w:u w:val="single"/>
        </w:rPr>
        <w:t>Summons</w:t>
      </w:r>
    </w:p>
    <w:p w:rsidR="0093750A" w:rsidRPr="007820CB" w:rsidRDefault="0093750A" w:rsidP="007820CB">
      <w:pPr>
        <w:pStyle w:val="ListParagraph"/>
        <w:numPr>
          <w:ilvl w:val="0"/>
          <w:numId w:val="37"/>
        </w:numPr>
        <w:spacing w:after="0" w:line="240" w:lineRule="auto"/>
        <w:ind w:left="1800"/>
        <w:jc w:val="both"/>
        <w:rPr>
          <w:rFonts w:ascii="Times New Roman" w:hAnsi="Times New Roman" w:cs="Times New Roman"/>
        </w:rPr>
      </w:pPr>
      <w:r w:rsidRPr="007820CB">
        <w:rPr>
          <w:rFonts w:ascii="Times New Roman" w:hAnsi="Times New Roman" w:cs="Times New Roman"/>
        </w:rPr>
        <w:t>By deletion and substitution of paragraph (a) of Plaintiff’s claim to read “An order evicting the Defendant and all those claiming occupation through it from the leased premises 222A Sally Mugabe Way, Glendale Township, Glendale; Plaintiff and Defendant’s lease agreement having expired and Defendant’s statutory tenancy having been duly terminated on the 30</w:t>
      </w:r>
      <w:r w:rsidRPr="007820CB">
        <w:rPr>
          <w:rFonts w:ascii="Times New Roman" w:hAnsi="Times New Roman" w:cs="Times New Roman"/>
          <w:vertAlign w:val="superscript"/>
        </w:rPr>
        <w:t>th</w:t>
      </w:r>
      <w:r w:rsidRPr="007820CB">
        <w:rPr>
          <w:rFonts w:ascii="Times New Roman" w:hAnsi="Times New Roman" w:cs="Times New Roman"/>
        </w:rPr>
        <w:t xml:space="preserve"> of September 2017.”</w:t>
      </w:r>
    </w:p>
    <w:p w:rsidR="0093750A" w:rsidRPr="007820CB" w:rsidRDefault="0093750A" w:rsidP="007820CB">
      <w:pPr>
        <w:pStyle w:val="ListParagraph"/>
        <w:numPr>
          <w:ilvl w:val="0"/>
          <w:numId w:val="37"/>
        </w:numPr>
        <w:spacing w:after="0" w:line="240" w:lineRule="auto"/>
        <w:ind w:left="1800"/>
        <w:jc w:val="both"/>
        <w:rPr>
          <w:rFonts w:ascii="Times New Roman" w:hAnsi="Times New Roman" w:cs="Times New Roman"/>
        </w:rPr>
      </w:pPr>
      <w:r w:rsidRPr="007820CB">
        <w:rPr>
          <w:rFonts w:ascii="Times New Roman" w:hAnsi="Times New Roman" w:cs="Times New Roman"/>
        </w:rPr>
        <w:t>By the deletion and substitution of paragraph (b) of the Plaintiff’s claim to read “Holding over damages at the rate of $7 873.97 per month, being the rate at which rentals were being paid as at the date of termination of the tenancy, calculated from the 1</w:t>
      </w:r>
      <w:r w:rsidRPr="007820CB">
        <w:rPr>
          <w:rFonts w:ascii="Times New Roman" w:hAnsi="Times New Roman" w:cs="Times New Roman"/>
          <w:vertAlign w:val="superscript"/>
        </w:rPr>
        <w:t>st</w:t>
      </w:r>
      <w:r w:rsidRPr="007820CB">
        <w:rPr>
          <w:rFonts w:ascii="Times New Roman" w:hAnsi="Times New Roman" w:cs="Times New Roman"/>
        </w:rPr>
        <w:t xml:space="preserve"> of October 2017 to the date of eviction.”</w:t>
      </w:r>
    </w:p>
    <w:p w:rsidR="0093750A" w:rsidRPr="007820CB" w:rsidRDefault="0093750A" w:rsidP="007820CB">
      <w:pPr>
        <w:spacing w:after="0" w:line="240" w:lineRule="auto"/>
        <w:ind w:left="720" w:firstLine="720"/>
        <w:jc w:val="both"/>
        <w:rPr>
          <w:rFonts w:ascii="Times New Roman" w:hAnsi="Times New Roman" w:cs="Times New Roman"/>
          <w:u w:val="single"/>
        </w:rPr>
      </w:pPr>
      <w:r w:rsidRPr="007820CB">
        <w:rPr>
          <w:rFonts w:ascii="Times New Roman" w:hAnsi="Times New Roman" w:cs="Times New Roman"/>
          <w:u w:val="single"/>
        </w:rPr>
        <w:t>Declaration</w:t>
      </w:r>
    </w:p>
    <w:p w:rsidR="00B9419D" w:rsidRPr="007820CB" w:rsidRDefault="0093750A" w:rsidP="007820CB">
      <w:pPr>
        <w:pStyle w:val="ListParagraph"/>
        <w:numPr>
          <w:ilvl w:val="0"/>
          <w:numId w:val="38"/>
        </w:numPr>
        <w:spacing w:after="0" w:line="240" w:lineRule="auto"/>
        <w:ind w:left="1800"/>
        <w:jc w:val="both"/>
        <w:rPr>
          <w:rFonts w:ascii="Times New Roman" w:hAnsi="Times New Roman" w:cs="Times New Roman"/>
        </w:rPr>
      </w:pPr>
      <w:r w:rsidRPr="007820CB">
        <w:rPr>
          <w:rFonts w:ascii="Times New Roman" w:hAnsi="Times New Roman" w:cs="Times New Roman"/>
        </w:rPr>
        <w:t>By deletion and substitution of paragraph (a) of Plaintiff’s prayer to read “</w:t>
      </w:r>
      <w:r w:rsidR="00B9419D" w:rsidRPr="007820CB">
        <w:rPr>
          <w:rFonts w:ascii="Times New Roman" w:hAnsi="Times New Roman" w:cs="Times New Roman"/>
        </w:rPr>
        <w:t>An order evicting the Defendant and all those claiming occupation through it from the leased premises 222A Sally Mugabe Way, Glendale Township, Glendale; Plaintiff and Defendant’s lease agreement having expired and Defendant’s statutory tenancy having been duly terminated on the 30</w:t>
      </w:r>
      <w:r w:rsidR="00B9419D" w:rsidRPr="007820CB">
        <w:rPr>
          <w:rFonts w:ascii="Times New Roman" w:hAnsi="Times New Roman" w:cs="Times New Roman"/>
          <w:vertAlign w:val="superscript"/>
        </w:rPr>
        <w:t>th</w:t>
      </w:r>
      <w:r w:rsidR="00B9419D" w:rsidRPr="007820CB">
        <w:rPr>
          <w:rFonts w:ascii="Times New Roman" w:hAnsi="Times New Roman" w:cs="Times New Roman"/>
        </w:rPr>
        <w:t xml:space="preserve"> of September 2017.”</w:t>
      </w:r>
    </w:p>
    <w:p w:rsidR="00B9419D" w:rsidRPr="007820CB" w:rsidRDefault="00B9419D" w:rsidP="007820CB">
      <w:pPr>
        <w:pStyle w:val="ListParagraph"/>
        <w:numPr>
          <w:ilvl w:val="0"/>
          <w:numId w:val="38"/>
        </w:numPr>
        <w:spacing w:after="0" w:line="240" w:lineRule="auto"/>
        <w:ind w:left="1800"/>
        <w:jc w:val="both"/>
        <w:rPr>
          <w:rFonts w:ascii="Times New Roman" w:hAnsi="Times New Roman" w:cs="Times New Roman"/>
        </w:rPr>
      </w:pPr>
      <w:r w:rsidRPr="007820CB">
        <w:rPr>
          <w:rFonts w:ascii="Times New Roman" w:hAnsi="Times New Roman" w:cs="Times New Roman"/>
        </w:rPr>
        <w:t>By the deletion and substitution of paragraph (b) of the Plaintiff’s prayer to read “Holding over damages at the rate of $7 873.97 per month, being the rate at which rentals were being paid as at the date of termination of the tenancy, calculated from the 1</w:t>
      </w:r>
      <w:r w:rsidRPr="007820CB">
        <w:rPr>
          <w:rFonts w:ascii="Times New Roman" w:hAnsi="Times New Roman" w:cs="Times New Roman"/>
          <w:vertAlign w:val="superscript"/>
        </w:rPr>
        <w:t>st</w:t>
      </w:r>
      <w:r w:rsidRPr="007820CB">
        <w:rPr>
          <w:rFonts w:ascii="Times New Roman" w:hAnsi="Times New Roman" w:cs="Times New Roman"/>
        </w:rPr>
        <w:t xml:space="preserve"> of October 2017 to the date of eviction.”</w:t>
      </w:r>
    </w:p>
    <w:p w:rsidR="000E49CD" w:rsidRPr="007820CB" w:rsidRDefault="0093750A" w:rsidP="007820CB">
      <w:pPr>
        <w:pStyle w:val="ListParagraph"/>
        <w:numPr>
          <w:ilvl w:val="0"/>
          <w:numId w:val="38"/>
        </w:numPr>
        <w:spacing w:after="0" w:line="240" w:lineRule="auto"/>
        <w:ind w:left="1800"/>
        <w:jc w:val="both"/>
        <w:rPr>
          <w:rFonts w:ascii="Times New Roman" w:hAnsi="Times New Roman" w:cs="Times New Roman"/>
        </w:rPr>
      </w:pPr>
      <w:r w:rsidRPr="007820CB">
        <w:rPr>
          <w:rFonts w:ascii="Times New Roman" w:hAnsi="Times New Roman" w:cs="Times New Roman"/>
        </w:rPr>
        <w:t>An o</w:t>
      </w:r>
      <w:r w:rsidR="00A602B3" w:rsidRPr="007820CB">
        <w:rPr>
          <w:rFonts w:ascii="Times New Roman" w:hAnsi="Times New Roman" w:cs="Times New Roman"/>
        </w:rPr>
        <w:t xml:space="preserve">n the alternative, plaintiff claimed for “payment of the sum of $13 700 as damages to the plaintiff for the loss of said figure through negligence of defendant, which failed to act reasonably in its duty of care to </w:t>
      </w:r>
      <w:r w:rsidR="000E49CD" w:rsidRPr="007820CB">
        <w:rPr>
          <w:rFonts w:ascii="Times New Roman" w:hAnsi="Times New Roman" w:cs="Times New Roman"/>
        </w:rPr>
        <w:t>Plaintiff who is a client of defendant. In that the bank ought to have known that it was transferring stolen money.”</w:t>
      </w:r>
    </w:p>
    <w:p w:rsidR="002B2529" w:rsidRPr="002B2529" w:rsidRDefault="002B2529" w:rsidP="002B2529">
      <w:pPr>
        <w:pStyle w:val="ListParagraph"/>
        <w:spacing w:after="0" w:line="360" w:lineRule="auto"/>
        <w:ind w:left="1800"/>
        <w:jc w:val="both"/>
        <w:rPr>
          <w:rFonts w:ascii="Times New Roman" w:hAnsi="Times New Roman" w:cs="Times New Roman"/>
        </w:rPr>
      </w:pPr>
    </w:p>
    <w:p w:rsidR="00546EBD" w:rsidRPr="007820CB" w:rsidRDefault="00727119" w:rsidP="007820CB">
      <w:pPr>
        <w:spacing w:after="0" w:line="360" w:lineRule="auto"/>
        <w:jc w:val="both"/>
        <w:rPr>
          <w:rFonts w:ascii="Times New Roman" w:hAnsi="Times New Roman" w:cs="Times New Roman"/>
          <w:sz w:val="24"/>
          <w:szCs w:val="24"/>
          <w:u w:val="single"/>
        </w:rPr>
      </w:pPr>
      <w:r w:rsidRPr="007820CB">
        <w:rPr>
          <w:rFonts w:ascii="Times New Roman" w:hAnsi="Times New Roman" w:cs="Times New Roman"/>
          <w:sz w:val="24"/>
          <w:szCs w:val="24"/>
          <w:u w:val="single"/>
        </w:rPr>
        <w:t>Parties’</w:t>
      </w:r>
      <w:r w:rsidR="00546EBD" w:rsidRPr="007820CB">
        <w:rPr>
          <w:rFonts w:ascii="Times New Roman" w:hAnsi="Times New Roman" w:cs="Times New Roman"/>
          <w:sz w:val="24"/>
          <w:szCs w:val="24"/>
          <w:u w:val="single"/>
        </w:rPr>
        <w:t xml:space="preserve"> </w:t>
      </w:r>
      <w:r w:rsidR="00743EA4" w:rsidRPr="007820CB">
        <w:rPr>
          <w:rFonts w:ascii="Times New Roman" w:hAnsi="Times New Roman" w:cs="Times New Roman"/>
          <w:sz w:val="24"/>
          <w:szCs w:val="24"/>
          <w:u w:val="single"/>
        </w:rPr>
        <w:t>Submissions</w:t>
      </w:r>
    </w:p>
    <w:p w:rsidR="004B39DB" w:rsidRDefault="00B9419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w:t>
      </w:r>
      <w:r w:rsidR="003A2857">
        <w:rPr>
          <w:rFonts w:ascii="Times New Roman" w:hAnsi="Times New Roman" w:cs="Times New Roman"/>
          <w:sz w:val="24"/>
          <w:szCs w:val="24"/>
        </w:rPr>
        <w:t xml:space="preserve">main </w:t>
      </w:r>
      <w:r>
        <w:rPr>
          <w:rFonts w:ascii="Times New Roman" w:hAnsi="Times New Roman" w:cs="Times New Roman"/>
          <w:sz w:val="24"/>
          <w:szCs w:val="24"/>
        </w:rPr>
        <w:t xml:space="preserve">heads of argument, the defendant </w:t>
      </w:r>
      <w:r w:rsidR="00FA716C">
        <w:rPr>
          <w:rFonts w:ascii="Times New Roman" w:hAnsi="Times New Roman" w:cs="Times New Roman"/>
          <w:sz w:val="24"/>
          <w:szCs w:val="24"/>
        </w:rPr>
        <w:t>submits</w:t>
      </w:r>
      <w:r w:rsidR="00546EBD">
        <w:rPr>
          <w:rFonts w:ascii="Times New Roman" w:hAnsi="Times New Roman" w:cs="Times New Roman"/>
          <w:sz w:val="24"/>
          <w:szCs w:val="24"/>
        </w:rPr>
        <w:t xml:space="preserve"> that </w:t>
      </w:r>
      <w:r>
        <w:rPr>
          <w:rFonts w:ascii="Times New Roman" w:hAnsi="Times New Roman" w:cs="Times New Roman"/>
          <w:sz w:val="24"/>
          <w:szCs w:val="24"/>
        </w:rPr>
        <w:t>the summons is incurably bad as plaintiff has not stated clearly and concisely the facts that supports its right to judgment by the court as it merely contains a prayer.</w:t>
      </w:r>
      <w:r w:rsidR="003A2857">
        <w:rPr>
          <w:rFonts w:ascii="Times New Roman" w:hAnsi="Times New Roman" w:cs="Times New Roman"/>
          <w:sz w:val="24"/>
          <w:szCs w:val="24"/>
        </w:rPr>
        <w:t xml:space="preserve"> It is defendant’s further averment, in its supplementary heads that the plaintiff does not deny that its summons is bad at law as it discloses no cause of action.</w:t>
      </w:r>
      <w:r w:rsidR="004B39DB">
        <w:rPr>
          <w:rFonts w:ascii="Times New Roman" w:hAnsi="Times New Roman" w:cs="Times New Roman"/>
          <w:sz w:val="24"/>
          <w:szCs w:val="24"/>
        </w:rPr>
        <w:t xml:space="preserve"> This admission is manifested by the intended amendment.</w:t>
      </w:r>
    </w:p>
    <w:p w:rsidR="00B9419D" w:rsidRDefault="003A285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that regard, defendant submits that since the admission is made that the summons discloses no cause of action, it is therefore a nullity and hence cannot be amended as one cannot amend something which does not exist. Consequently, the intended amendment is also a non-event as there is no cause of action for the defendant to defend, since a nullity cannot be amended or cured</w:t>
      </w:r>
      <w:r w:rsidR="004B39DB">
        <w:rPr>
          <w:rFonts w:ascii="Times New Roman" w:hAnsi="Times New Roman" w:cs="Times New Roman"/>
          <w:sz w:val="24"/>
          <w:szCs w:val="24"/>
        </w:rPr>
        <w:t>.</w:t>
      </w:r>
    </w:p>
    <w:p w:rsidR="004B39DB" w:rsidRDefault="004B39D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defendant submits that the exception it took goes to the root of the matter and has the effect of destroying the plaintiff’s claim. </w:t>
      </w:r>
      <w:r w:rsidR="008441BA">
        <w:rPr>
          <w:rFonts w:ascii="Times New Roman" w:hAnsi="Times New Roman" w:cs="Times New Roman"/>
          <w:sz w:val="24"/>
          <w:szCs w:val="24"/>
        </w:rPr>
        <w:t>In that case there is nothing before the court that could be subject to amendment. Consequently, the proper course that plaintiff should have taken was to withdraw its claim.</w:t>
      </w:r>
    </w:p>
    <w:p w:rsidR="008441BA" w:rsidRDefault="008441B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2B2529">
        <w:rPr>
          <w:rFonts w:ascii="Times New Roman" w:hAnsi="Times New Roman" w:cs="Times New Roman"/>
          <w:sz w:val="24"/>
          <w:szCs w:val="24"/>
        </w:rPr>
        <w:t>inally</w:t>
      </w:r>
      <w:r>
        <w:rPr>
          <w:rFonts w:ascii="Times New Roman" w:hAnsi="Times New Roman" w:cs="Times New Roman"/>
          <w:sz w:val="24"/>
          <w:szCs w:val="24"/>
        </w:rPr>
        <w:t>, defendant argues that the intended amendment sought by plaintiff is a complete overhaul or substitution of what initially appeared on the summons. Such amendment cannot be allowed as it is contrary to the law.</w:t>
      </w:r>
    </w:p>
    <w:p w:rsidR="00A27C5A" w:rsidRDefault="00B9419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B2529">
        <w:rPr>
          <w:rFonts w:ascii="Times New Roman" w:hAnsi="Times New Roman" w:cs="Times New Roman"/>
          <w:sz w:val="24"/>
          <w:szCs w:val="24"/>
        </w:rPr>
        <w:t xml:space="preserve">defendant’s </w:t>
      </w:r>
      <w:r w:rsidR="003A2857">
        <w:rPr>
          <w:rFonts w:ascii="Times New Roman" w:hAnsi="Times New Roman" w:cs="Times New Roman"/>
          <w:sz w:val="24"/>
          <w:szCs w:val="24"/>
        </w:rPr>
        <w:t>heads</w:t>
      </w:r>
      <w:r w:rsidR="002B2529">
        <w:rPr>
          <w:rFonts w:ascii="Times New Roman" w:hAnsi="Times New Roman" w:cs="Times New Roman"/>
          <w:sz w:val="24"/>
          <w:szCs w:val="24"/>
        </w:rPr>
        <w:t xml:space="preserve"> of argument</w:t>
      </w:r>
      <w:r w:rsidR="003A2857">
        <w:rPr>
          <w:rFonts w:ascii="Times New Roman" w:hAnsi="Times New Roman" w:cs="Times New Roman"/>
          <w:sz w:val="24"/>
          <w:szCs w:val="24"/>
        </w:rPr>
        <w:t xml:space="preserve"> do not address what effect</w:t>
      </w:r>
      <w:r w:rsidR="002B2529">
        <w:rPr>
          <w:rFonts w:ascii="Times New Roman" w:hAnsi="Times New Roman" w:cs="Times New Roman"/>
          <w:sz w:val="24"/>
          <w:szCs w:val="24"/>
        </w:rPr>
        <w:t>,</w:t>
      </w:r>
      <w:r w:rsidR="003A2857">
        <w:rPr>
          <w:rFonts w:ascii="Times New Roman" w:hAnsi="Times New Roman" w:cs="Times New Roman"/>
          <w:sz w:val="24"/>
          <w:szCs w:val="24"/>
        </w:rPr>
        <w:t xml:space="preserve"> if any, the declaration and intended amendment</w:t>
      </w:r>
      <w:r w:rsidR="002B2529">
        <w:rPr>
          <w:rFonts w:ascii="Times New Roman" w:hAnsi="Times New Roman" w:cs="Times New Roman"/>
          <w:sz w:val="24"/>
          <w:szCs w:val="24"/>
        </w:rPr>
        <w:t>s thereto</w:t>
      </w:r>
      <w:r w:rsidR="003A2857">
        <w:rPr>
          <w:rFonts w:ascii="Times New Roman" w:hAnsi="Times New Roman" w:cs="Times New Roman"/>
          <w:sz w:val="24"/>
          <w:szCs w:val="24"/>
        </w:rPr>
        <w:t xml:space="preserve"> have.</w:t>
      </w:r>
    </w:p>
    <w:p w:rsidR="00B6321F" w:rsidRDefault="00A27C5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the plaintiff </w:t>
      </w:r>
      <w:r w:rsidR="00B6321F">
        <w:rPr>
          <w:rFonts w:ascii="Times New Roman" w:hAnsi="Times New Roman" w:cs="Times New Roman"/>
          <w:sz w:val="24"/>
          <w:szCs w:val="24"/>
        </w:rPr>
        <w:t>concedes that its summons was indeed deficient but contends that such submissions were sufficiently amplified by the declaration such that the defendant was adequately aware of the details of the claim, the basis thereof and the relief sought. In that regard, plaintiff submits that the summons is not incurably bad and can thus be cured by appropriate amendment and that the intended amendment does in fact cure the complaint.</w:t>
      </w:r>
    </w:p>
    <w:p w:rsidR="006A5E1C" w:rsidRDefault="004F2A0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plaintiff submits that since defendant has not alleged any prejudice should the amendment be ordered, since the amendment is already on the record, it should be allowed.</w:t>
      </w:r>
    </w:p>
    <w:p w:rsidR="007820CB" w:rsidRDefault="007820CB" w:rsidP="006A5E1C">
      <w:pPr>
        <w:spacing w:after="0" w:line="360" w:lineRule="auto"/>
        <w:jc w:val="both"/>
        <w:rPr>
          <w:rFonts w:ascii="Times New Roman" w:hAnsi="Times New Roman" w:cs="Times New Roman"/>
          <w:sz w:val="24"/>
          <w:szCs w:val="24"/>
          <w:u w:val="single"/>
        </w:rPr>
      </w:pPr>
    </w:p>
    <w:p w:rsidR="007820CB" w:rsidRDefault="007820CB" w:rsidP="006A5E1C">
      <w:pPr>
        <w:spacing w:after="0" w:line="360" w:lineRule="auto"/>
        <w:jc w:val="both"/>
        <w:rPr>
          <w:rFonts w:ascii="Times New Roman" w:hAnsi="Times New Roman" w:cs="Times New Roman"/>
          <w:sz w:val="24"/>
          <w:szCs w:val="24"/>
          <w:u w:val="single"/>
        </w:rPr>
      </w:pPr>
    </w:p>
    <w:p w:rsidR="007820CB" w:rsidRDefault="007820CB" w:rsidP="006A5E1C">
      <w:pPr>
        <w:spacing w:after="0" w:line="360" w:lineRule="auto"/>
        <w:jc w:val="both"/>
        <w:rPr>
          <w:rFonts w:ascii="Times New Roman" w:hAnsi="Times New Roman" w:cs="Times New Roman"/>
          <w:sz w:val="24"/>
          <w:szCs w:val="24"/>
          <w:u w:val="single"/>
        </w:rPr>
      </w:pPr>
    </w:p>
    <w:p w:rsidR="00D24793" w:rsidRPr="007820CB" w:rsidRDefault="00D24793" w:rsidP="006A5E1C">
      <w:pPr>
        <w:spacing w:after="0" w:line="360" w:lineRule="auto"/>
        <w:jc w:val="both"/>
        <w:rPr>
          <w:rFonts w:ascii="Times New Roman" w:hAnsi="Times New Roman" w:cs="Times New Roman"/>
          <w:sz w:val="24"/>
          <w:szCs w:val="24"/>
          <w:u w:val="single"/>
        </w:rPr>
      </w:pPr>
      <w:r w:rsidRPr="007820CB">
        <w:rPr>
          <w:rFonts w:ascii="Times New Roman" w:hAnsi="Times New Roman" w:cs="Times New Roman"/>
          <w:sz w:val="24"/>
          <w:szCs w:val="24"/>
          <w:u w:val="single"/>
        </w:rPr>
        <w:t xml:space="preserve">The </w:t>
      </w:r>
      <w:r w:rsidR="00743EA4" w:rsidRPr="007820CB">
        <w:rPr>
          <w:rFonts w:ascii="Times New Roman" w:hAnsi="Times New Roman" w:cs="Times New Roman"/>
          <w:sz w:val="24"/>
          <w:szCs w:val="24"/>
          <w:u w:val="single"/>
        </w:rPr>
        <w:t>Law</w:t>
      </w:r>
    </w:p>
    <w:p w:rsidR="005E2979" w:rsidRDefault="00B6321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trite that summons must disclose a cause of action otherwise it is</w:t>
      </w:r>
      <w:r w:rsidR="005D5302">
        <w:rPr>
          <w:rFonts w:ascii="Times New Roman" w:hAnsi="Times New Roman" w:cs="Times New Roman"/>
          <w:sz w:val="24"/>
          <w:szCs w:val="24"/>
        </w:rPr>
        <w:t xml:space="preserve"> so</w:t>
      </w:r>
      <w:r>
        <w:rPr>
          <w:rFonts w:ascii="Times New Roman" w:hAnsi="Times New Roman" w:cs="Times New Roman"/>
          <w:sz w:val="24"/>
          <w:szCs w:val="24"/>
        </w:rPr>
        <w:t xml:space="preserve"> bad in law </w:t>
      </w:r>
      <w:r w:rsidR="005D5302">
        <w:rPr>
          <w:rFonts w:ascii="Times New Roman" w:hAnsi="Times New Roman" w:cs="Times New Roman"/>
          <w:sz w:val="24"/>
          <w:szCs w:val="24"/>
        </w:rPr>
        <w:t>that it</w:t>
      </w:r>
      <w:r>
        <w:rPr>
          <w:rFonts w:ascii="Times New Roman" w:hAnsi="Times New Roman" w:cs="Times New Roman"/>
          <w:sz w:val="24"/>
          <w:szCs w:val="24"/>
        </w:rPr>
        <w:t xml:space="preserve"> </w:t>
      </w:r>
      <w:r w:rsidR="005D5302">
        <w:rPr>
          <w:rFonts w:ascii="Times New Roman" w:hAnsi="Times New Roman" w:cs="Times New Roman"/>
          <w:sz w:val="24"/>
          <w:szCs w:val="24"/>
        </w:rPr>
        <w:t xml:space="preserve">cannot be condoned and is thus </w:t>
      </w:r>
      <w:r>
        <w:rPr>
          <w:rFonts w:ascii="Times New Roman" w:hAnsi="Times New Roman" w:cs="Times New Roman"/>
          <w:sz w:val="24"/>
          <w:szCs w:val="24"/>
        </w:rPr>
        <w:t>expiable</w:t>
      </w:r>
      <w:r w:rsidR="005D5302">
        <w:rPr>
          <w:rStyle w:val="FootnoteReference"/>
          <w:rFonts w:ascii="Times New Roman" w:hAnsi="Times New Roman"/>
          <w:sz w:val="24"/>
          <w:szCs w:val="24"/>
        </w:rPr>
        <w:footnoteReference w:id="1"/>
      </w:r>
      <w:r>
        <w:rPr>
          <w:rFonts w:ascii="Times New Roman" w:hAnsi="Times New Roman" w:cs="Times New Roman"/>
          <w:sz w:val="24"/>
          <w:szCs w:val="24"/>
        </w:rPr>
        <w:t xml:space="preserve">. It is further trite that summons which does not disclose a cause of action </w:t>
      </w:r>
      <w:r w:rsidR="005D5302">
        <w:rPr>
          <w:rFonts w:ascii="Times New Roman" w:hAnsi="Times New Roman" w:cs="Times New Roman"/>
          <w:sz w:val="24"/>
          <w:szCs w:val="24"/>
        </w:rPr>
        <w:t>is a nullity and cannot be amended.</w:t>
      </w:r>
      <w:r w:rsidR="005D5302">
        <w:rPr>
          <w:rStyle w:val="FootnoteReference"/>
          <w:rFonts w:ascii="Times New Roman" w:hAnsi="Times New Roman"/>
          <w:sz w:val="24"/>
          <w:szCs w:val="24"/>
        </w:rPr>
        <w:footnoteReference w:id="2"/>
      </w:r>
      <w:r w:rsidR="005D5302">
        <w:rPr>
          <w:rFonts w:ascii="Times New Roman" w:hAnsi="Times New Roman" w:cs="Times New Roman"/>
          <w:sz w:val="24"/>
          <w:szCs w:val="24"/>
        </w:rPr>
        <w:t xml:space="preserve"> The only cure for such summons is to withdraw it and start afresh. </w:t>
      </w:r>
    </w:p>
    <w:p w:rsidR="005E2979" w:rsidRDefault="005E297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courts have also consistently held that the object of any pleading is to state in clear and concise terms the facts upon which a party relies in order for each party to come to trial well prepared to meet the case it must answer and to enable the court to adjudicate thereon. In </w:t>
      </w:r>
      <w:r w:rsidR="0035696B">
        <w:rPr>
          <w:rFonts w:ascii="Times New Roman" w:hAnsi="Times New Roman" w:cs="Times New Roman"/>
          <w:sz w:val="24"/>
          <w:szCs w:val="24"/>
        </w:rPr>
        <w:t>that regard</w:t>
      </w:r>
      <w:r>
        <w:rPr>
          <w:rFonts w:ascii="Times New Roman" w:hAnsi="Times New Roman" w:cs="Times New Roman"/>
          <w:sz w:val="24"/>
          <w:szCs w:val="24"/>
        </w:rPr>
        <w:t xml:space="preserve">, the courts invariably </w:t>
      </w:r>
      <w:r w:rsidR="002B2529">
        <w:rPr>
          <w:rFonts w:ascii="Times New Roman" w:hAnsi="Times New Roman" w:cs="Times New Roman"/>
          <w:sz w:val="24"/>
          <w:szCs w:val="24"/>
        </w:rPr>
        <w:t xml:space="preserve">address </w:t>
      </w:r>
      <w:r>
        <w:rPr>
          <w:rFonts w:ascii="Times New Roman" w:hAnsi="Times New Roman" w:cs="Times New Roman"/>
          <w:sz w:val="24"/>
          <w:szCs w:val="24"/>
        </w:rPr>
        <w:t>the questions which I may generally express as follows:</w:t>
      </w:r>
    </w:p>
    <w:p w:rsidR="005E2979" w:rsidRDefault="005E2979" w:rsidP="005E2979">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a litigant sufficiently aware of the details of the claim?</w:t>
      </w:r>
    </w:p>
    <w:p w:rsidR="0035696B" w:rsidRDefault="005E2979" w:rsidP="005E2979">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legal basis of such claim </w:t>
      </w:r>
      <w:r w:rsidR="0035696B">
        <w:rPr>
          <w:rFonts w:ascii="Times New Roman" w:hAnsi="Times New Roman" w:cs="Times New Roman"/>
          <w:sz w:val="24"/>
          <w:szCs w:val="24"/>
        </w:rPr>
        <w:t>adequately articulated?</w:t>
      </w:r>
    </w:p>
    <w:p w:rsidR="0035696B" w:rsidRDefault="0035696B" w:rsidP="0035696B">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relief clear?</w:t>
      </w:r>
    </w:p>
    <w:p w:rsidR="0035696B" w:rsidRPr="0035696B" w:rsidRDefault="0035696B" w:rsidP="00356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where the summons does not contain sufficient facts on the details of the claim, or where the relief sought is not sufficiently clear, the courts generally allow amendments, as this does not go to the root of the matter. Where however, the legal basis of the claim is completely absent, an exception is generally upheld as without a </w:t>
      </w:r>
      <w:r w:rsidRPr="002B2529">
        <w:rPr>
          <w:rFonts w:ascii="Times New Roman" w:hAnsi="Times New Roman" w:cs="Times New Roman"/>
          <w:i/>
          <w:sz w:val="24"/>
          <w:szCs w:val="24"/>
        </w:rPr>
        <w:t>causa</w:t>
      </w:r>
      <w:r>
        <w:rPr>
          <w:rFonts w:ascii="Times New Roman" w:hAnsi="Times New Roman" w:cs="Times New Roman"/>
          <w:sz w:val="24"/>
          <w:szCs w:val="24"/>
        </w:rPr>
        <w:t>, a claim is dead in the water</w:t>
      </w:r>
      <w:r w:rsidR="00C541E6">
        <w:rPr>
          <w:rStyle w:val="FootnoteReference"/>
          <w:rFonts w:ascii="Times New Roman" w:hAnsi="Times New Roman"/>
          <w:sz w:val="24"/>
          <w:szCs w:val="24"/>
        </w:rPr>
        <w:footnoteReference w:id="3"/>
      </w:r>
      <w:r>
        <w:rPr>
          <w:rFonts w:ascii="Times New Roman" w:hAnsi="Times New Roman" w:cs="Times New Roman"/>
          <w:sz w:val="24"/>
          <w:szCs w:val="24"/>
        </w:rPr>
        <w:t xml:space="preserve">. Exceptionally, where a reading of the summons together with the declaration discloses the </w:t>
      </w:r>
      <w:r w:rsidRPr="002B2529">
        <w:rPr>
          <w:rFonts w:ascii="Times New Roman" w:hAnsi="Times New Roman" w:cs="Times New Roman"/>
          <w:i/>
          <w:sz w:val="24"/>
          <w:szCs w:val="24"/>
        </w:rPr>
        <w:t>causa</w:t>
      </w:r>
      <w:r>
        <w:rPr>
          <w:rFonts w:ascii="Times New Roman" w:hAnsi="Times New Roman" w:cs="Times New Roman"/>
          <w:sz w:val="24"/>
          <w:szCs w:val="24"/>
        </w:rPr>
        <w:t xml:space="preserve"> sufficiently, </w:t>
      </w:r>
      <w:r w:rsidR="00C541E6">
        <w:rPr>
          <w:rFonts w:ascii="Times New Roman" w:hAnsi="Times New Roman" w:cs="Times New Roman"/>
          <w:sz w:val="24"/>
          <w:szCs w:val="24"/>
        </w:rPr>
        <w:t xml:space="preserve">particularly where the summons specifically </w:t>
      </w:r>
      <w:r w:rsidR="00876E95">
        <w:rPr>
          <w:rFonts w:ascii="Times New Roman" w:hAnsi="Times New Roman" w:cs="Times New Roman"/>
          <w:sz w:val="24"/>
          <w:szCs w:val="24"/>
        </w:rPr>
        <w:t xml:space="preserve">states that </w:t>
      </w:r>
      <w:r w:rsidR="00C541E6">
        <w:rPr>
          <w:rFonts w:ascii="Times New Roman" w:hAnsi="Times New Roman" w:cs="Times New Roman"/>
          <w:sz w:val="24"/>
          <w:szCs w:val="24"/>
        </w:rPr>
        <w:t xml:space="preserve">the claim is more fully amplified in the declaration, </w:t>
      </w:r>
      <w:r>
        <w:rPr>
          <w:rFonts w:ascii="Times New Roman" w:hAnsi="Times New Roman" w:cs="Times New Roman"/>
          <w:sz w:val="24"/>
          <w:szCs w:val="24"/>
        </w:rPr>
        <w:t>the courts have taken the robust approach to allow amendment of the cause of action.</w:t>
      </w:r>
    </w:p>
    <w:p w:rsidR="000D1CE9" w:rsidRPr="007820CB" w:rsidRDefault="000D1CE9" w:rsidP="006A5E1C">
      <w:pPr>
        <w:spacing w:after="0" w:line="360" w:lineRule="auto"/>
        <w:jc w:val="both"/>
        <w:rPr>
          <w:rFonts w:ascii="Times New Roman" w:hAnsi="Times New Roman" w:cs="Times New Roman"/>
          <w:sz w:val="24"/>
          <w:szCs w:val="24"/>
          <w:u w:val="single"/>
        </w:rPr>
      </w:pPr>
      <w:r w:rsidRPr="002B2529">
        <w:rPr>
          <w:rFonts w:ascii="Times New Roman" w:hAnsi="Times New Roman" w:cs="Times New Roman"/>
          <w:b/>
          <w:sz w:val="24"/>
          <w:szCs w:val="24"/>
        </w:rPr>
        <w:t xml:space="preserve"> </w:t>
      </w:r>
      <w:r w:rsidRPr="007820CB">
        <w:rPr>
          <w:rFonts w:ascii="Times New Roman" w:hAnsi="Times New Roman" w:cs="Times New Roman"/>
          <w:sz w:val="24"/>
          <w:szCs w:val="24"/>
          <w:u w:val="single"/>
        </w:rPr>
        <w:t>Analysis</w:t>
      </w:r>
    </w:p>
    <w:p w:rsidR="004F2A0A" w:rsidRDefault="00876E9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that the summons in this case discloses no cause of action as it merely contains a prayer, i.e. the relief sought. </w:t>
      </w:r>
      <w:r w:rsidR="00B72D20">
        <w:rPr>
          <w:rFonts w:ascii="Times New Roman" w:hAnsi="Times New Roman" w:cs="Times New Roman"/>
          <w:sz w:val="24"/>
          <w:szCs w:val="24"/>
        </w:rPr>
        <w:t>No particulars of the claim are given nor is the cause of action stated</w:t>
      </w:r>
      <w:r w:rsidR="00CE7810">
        <w:rPr>
          <w:rFonts w:ascii="Times New Roman" w:hAnsi="Times New Roman" w:cs="Times New Roman"/>
          <w:sz w:val="24"/>
          <w:szCs w:val="24"/>
        </w:rPr>
        <w:t xml:space="preserve"> at all</w:t>
      </w:r>
      <w:r w:rsidR="00B72D20">
        <w:rPr>
          <w:rFonts w:ascii="Times New Roman" w:hAnsi="Times New Roman" w:cs="Times New Roman"/>
          <w:sz w:val="24"/>
          <w:szCs w:val="24"/>
        </w:rPr>
        <w:t>.</w:t>
      </w:r>
      <w:r w:rsidR="00CE7810">
        <w:rPr>
          <w:rFonts w:ascii="Times New Roman" w:hAnsi="Times New Roman" w:cs="Times New Roman"/>
          <w:sz w:val="24"/>
          <w:szCs w:val="24"/>
        </w:rPr>
        <w:t xml:space="preserve"> Nor is there an invitation</w:t>
      </w:r>
      <w:r w:rsidR="00101B9B">
        <w:rPr>
          <w:rFonts w:ascii="Times New Roman" w:hAnsi="Times New Roman" w:cs="Times New Roman"/>
          <w:sz w:val="24"/>
          <w:szCs w:val="24"/>
        </w:rPr>
        <w:t>, on the face of it,</w:t>
      </w:r>
      <w:r w:rsidR="00CE7810">
        <w:rPr>
          <w:rFonts w:ascii="Times New Roman" w:hAnsi="Times New Roman" w:cs="Times New Roman"/>
          <w:sz w:val="24"/>
          <w:szCs w:val="24"/>
        </w:rPr>
        <w:t xml:space="preserve"> to read the summons in conjunction with the declaration.</w:t>
      </w:r>
      <w:r w:rsidR="00B72D20">
        <w:rPr>
          <w:rFonts w:ascii="Times New Roman" w:hAnsi="Times New Roman" w:cs="Times New Roman"/>
          <w:sz w:val="24"/>
          <w:szCs w:val="24"/>
        </w:rPr>
        <w:t xml:space="preserve"> </w:t>
      </w:r>
      <w:r w:rsidR="00EC2D79">
        <w:rPr>
          <w:rFonts w:ascii="Times New Roman" w:hAnsi="Times New Roman" w:cs="Times New Roman"/>
          <w:sz w:val="24"/>
          <w:szCs w:val="24"/>
        </w:rPr>
        <w:t xml:space="preserve">The summons is thus invalid as it does not contain a true and concise nature of the details of the claim and the legal basis thereof. </w:t>
      </w:r>
    </w:p>
    <w:p w:rsidR="00B72D20" w:rsidRDefault="004F2A0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w:t>
      </w:r>
      <w:r w:rsidR="00B72D20">
        <w:rPr>
          <w:rFonts w:ascii="Times New Roman" w:hAnsi="Times New Roman" w:cs="Times New Roman"/>
          <w:sz w:val="24"/>
          <w:szCs w:val="24"/>
        </w:rPr>
        <w:t>, while clause 6 of the declaration amplifies, quite inelegantly, the legal basis for seeking eviction, no case is made at all for a claim for holding over damages, apart from giving the general information</w:t>
      </w:r>
      <w:r w:rsidR="00CE7810">
        <w:rPr>
          <w:rFonts w:ascii="Times New Roman" w:hAnsi="Times New Roman" w:cs="Times New Roman"/>
          <w:sz w:val="24"/>
          <w:szCs w:val="24"/>
        </w:rPr>
        <w:t>,</w:t>
      </w:r>
      <w:r w:rsidR="00B72D20">
        <w:rPr>
          <w:rFonts w:ascii="Times New Roman" w:hAnsi="Times New Roman" w:cs="Times New Roman"/>
          <w:sz w:val="24"/>
          <w:szCs w:val="24"/>
        </w:rPr>
        <w:t xml:space="preserve"> in clause 7</w:t>
      </w:r>
      <w:r w:rsidR="00CE7810">
        <w:rPr>
          <w:rFonts w:ascii="Times New Roman" w:hAnsi="Times New Roman" w:cs="Times New Roman"/>
          <w:sz w:val="24"/>
          <w:szCs w:val="24"/>
        </w:rPr>
        <w:t>,</w:t>
      </w:r>
      <w:r w:rsidR="00B72D20">
        <w:rPr>
          <w:rFonts w:ascii="Times New Roman" w:hAnsi="Times New Roman" w:cs="Times New Roman"/>
          <w:sz w:val="24"/>
          <w:szCs w:val="24"/>
        </w:rPr>
        <w:t xml:space="preserve"> of the monthly rental that was payable.</w:t>
      </w:r>
      <w:r>
        <w:rPr>
          <w:rFonts w:ascii="Times New Roman" w:hAnsi="Times New Roman" w:cs="Times New Roman"/>
          <w:sz w:val="24"/>
          <w:szCs w:val="24"/>
        </w:rPr>
        <w:t xml:space="preserve"> </w:t>
      </w:r>
      <w:r>
        <w:rPr>
          <w:rFonts w:ascii="Times New Roman" w:hAnsi="Times New Roman" w:cs="Times New Roman"/>
          <w:sz w:val="24"/>
          <w:szCs w:val="24"/>
        </w:rPr>
        <w:lastRenderedPageBreak/>
        <w:t>Therefore, the declaration does not cure the deficiencies in the summons as submitted. And in any case, the plaintiff also seeks to amend the declaration as well to disclose a cause of action for holding over damages.</w:t>
      </w:r>
    </w:p>
    <w:p w:rsidR="00CE7810" w:rsidRDefault="00876E9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this case is sufficiently distinguishable from the case of </w:t>
      </w:r>
      <w:r w:rsidRPr="00876E95">
        <w:rPr>
          <w:rFonts w:ascii="Times New Roman" w:hAnsi="Times New Roman" w:cs="Times New Roman"/>
          <w:i/>
          <w:sz w:val="24"/>
          <w:szCs w:val="24"/>
        </w:rPr>
        <w:t>Sanctuary Insurance</w:t>
      </w:r>
      <w:r>
        <w:rPr>
          <w:rStyle w:val="FootnoteReference"/>
          <w:rFonts w:ascii="Times New Roman" w:hAnsi="Times New Roman"/>
          <w:sz w:val="24"/>
          <w:szCs w:val="24"/>
        </w:rPr>
        <w:footnoteReference w:id="4"/>
      </w:r>
      <w:r>
        <w:rPr>
          <w:rFonts w:ascii="Times New Roman" w:hAnsi="Times New Roman" w:cs="Times New Roman"/>
          <w:sz w:val="24"/>
          <w:szCs w:val="24"/>
        </w:rPr>
        <w:t xml:space="preserve"> </w:t>
      </w:r>
      <w:r w:rsidR="00986095">
        <w:rPr>
          <w:rFonts w:ascii="Times New Roman" w:hAnsi="Times New Roman" w:cs="Times New Roman"/>
          <w:sz w:val="24"/>
          <w:szCs w:val="24"/>
        </w:rPr>
        <w:t xml:space="preserve"> </w:t>
      </w:r>
      <w:r>
        <w:rPr>
          <w:rFonts w:ascii="Times New Roman" w:hAnsi="Times New Roman" w:cs="Times New Roman"/>
          <w:sz w:val="24"/>
          <w:szCs w:val="24"/>
        </w:rPr>
        <w:t xml:space="preserve">which plaintiff seeks to rely on. Therein, the prayer in the summons contained elements of the </w:t>
      </w:r>
      <w:r w:rsidRPr="00876E95">
        <w:rPr>
          <w:rFonts w:ascii="Times New Roman" w:hAnsi="Times New Roman" w:cs="Times New Roman"/>
          <w:i/>
          <w:sz w:val="24"/>
          <w:szCs w:val="24"/>
        </w:rPr>
        <w:t>causa</w:t>
      </w:r>
      <w:r>
        <w:rPr>
          <w:rFonts w:ascii="Times New Roman" w:hAnsi="Times New Roman" w:cs="Times New Roman"/>
          <w:sz w:val="24"/>
          <w:szCs w:val="24"/>
        </w:rPr>
        <w:t xml:space="preserve"> and further, the summons specifically invited the defendant and the </w:t>
      </w:r>
      <w:r w:rsidR="00CE7810">
        <w:rPr>
          <w:rFonts w:ascii="Times New Roman" w:hAnsi="Times New Roman" w:cs="Times New Roman"/>
          <w:sz w:val="24"/>
          <w:szCs w:val="24"/>
        </w:rPr>
        <w:t>court to</w:t>
      </w:r>
      <w:r>
        <w:rPr>
          <w:rFonts w:ascii="Times New Roman" w:hAnsi="Times New Roman" w:cs="Times New Roman"/>
          <w:sz w:val="24"/>
          <w:szCs w:val="24"/>
        </w:rPr>
        <w:t xml:space="preserve"> </w:t>
      </w:r>
      <w:r w:rsidR="00B72D20">
        <w:rPr>
          <w:rFonts w:ascii="Times New Roman" w:hAnsi="Times New Roman" w:cs="Times New Roman"/>
          <w:sz w:val="24"/>
          <w:szCs w:val="24"/>
        </w:rPr>
        <w:t xml:space="preserve">amplify those details by </w:t>
      </w:r>
      <w:r>
        <w:rPr>
          <w:rFonts w:ascii="Times New Roman" w:hAnsi="Times New Roman" w:cs="Times New Roman"/>
          <w:sz w:val="24"/>
          <w:szCs w:val="24"/>
        </w:rPr>
        <w:t>read</w:t>
      </w:r>
      <w:r w:rsidR="00B72D20">
        <w:rPr>
          <w:rFonts w:ascii="Times New Roman" w:hAnsi="Times New Roman" w:cs="Times New Roman"/>
          <w:sz w:val="24"/>
          <w:szCs w:val="24"/>
        </w:rPr>
        <w:t>ing</w:t>
      </w:r>
      <w:r>
        <w:rPr>
          <w:rFonts w:ascii="Times New Roman" w:hAnsi="Times New Roman" w:cs="Times New Roman"/>
          <w:sz w:val="24"/>
          <w:szCs w:val="24"/>
        </w:rPr>
        <w:t xml:space="preserve"> it in conjunction with the declaration</w:t>
      </w:r>
      <w:r w:rsidR="00CE7810">
        <w:rPr>
          <w:rFonts w:ascii="Times New Roman" w:hAnsi="Times New Roman" w:cs="Times New Roman"/>
          <w:sz w:val="24"/>
          <w:szCs w:val="24"/>
        </w:rPr>
        <w:t>, which</w:t>
      </w:r>
      <w:r>
        <w:rPr>
          <w:rFonts w:ascii="Times New Roman" w:hAnsi="Times New Roman" w:cs="Times New Roman"/>
          <w:sz w:val="24"/>
          <w:szCs w:val="24"/>
        </w:rPr>
        <w:t xml:space="preserve"> document was sufficiently detailed as to the cause of action.</w:t>
      </w:r>
      <w:r w:rsidR="004F2A0A">
        <w:rPr>
          <w:rFonts w:ascii="Times New Roman" w:hAnsi="Times New Roman" w:cs="Times New Roman"/>
          <w:sz w:val="24"/>
          <w:szCs w:val="24"/>
        </w:rPr>
        <w:t xml:space="preserve"> Nor is the case of </w:t>
      </w:r>
      <w:r w:rsidR="004F2A0A" w:rsidRPr="004F2A0A">
        <w:rPr>
          <w:rFonts w:ascii="Times New Roman" w:hAnsi="Times New Roman" w:cs="Times New Roman"/>
          <w:i/>
          <w:sz w:val="24"/>
          <w:szCs w:val="24"/>
        </w:rPr>
        <w:t>Nuvert Trading</w:t>
      </w:r>
      <w:r w:rsidR="004F2A0A">
        <w:rPr>
          <w:rStyle w:val="FootnoteReference"/>
          <w:rFonts w:ascii="Times New Roman" w:hAnsi="Times New Roman"/>
          <w:sz w:val="24"/>
          <w:szCs w:val="24"/>
        </w:rPr>
        <w:footnoteReference w:id="5"/>
      </w:r>
      <w:r w:rsidR="004F2A0A">
        <w:rPr>
          <w:rFonts w:ascii="Times New Roman" w:hAnsi="Times New Roman" w:cs="Times New Roman"/>
          <w:sz w:val="24"/>
          <w:szCs w:val="24"/>
        </w:rPr>
        <w:t xml:space="preserve"> apposite. Therein, the summons was not a nullity as it was curable by the declaration.</w:t>
      </w:r>
    </w:p>
    <w:p w:rsidR="00EC2D79" w:rsidRDefault="00EC2D79" w:rsidP="00EC2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agree with the defendant that the summons is fatally defective and is therefore a nullity. </w:t>
      </w:r>
      <w:r w:rsidR="00CE7810">
        <w:rPr>
          <w:rFonts w:ascii="Times New Roman" w:hAnsi="Times New Roman" w:cs="Times New Roman"/>
          <w:sz w:val="24"/>
          <w:szCs w:val="24"/>
        </w:rPr>
        <w:t>In my view, this is a case where the exception must be upheld, as clearly the summons is incurably defective and is not subject to amendment.</w:t>
      </w:r>
      <w:r>
        <w:rPr>
          <w:rFonts w:ascii="Times New Roman" w:hAnsi="Times New Roman" w:cs="Times New Roman"/>
          <w:sz w:val="24"/>
          <w:szCs w:val="24"/>
        </w:rPr>
        <w:t xml:space="preserve"> </w:t>
      </w:r>
    </w:p>
    <w:p w:rsidR="00EC2D79" w:rsidRDefault="004F2A0A" w:rsidP="00EC2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once I have found that the summons is a nullity, w</w:t>
      </w:r>
      <w:r w:rsidR="00EC2D79">
        <w:rPr>
          <w:rFonts w:ascii="Times New Roman" w:hAnsi="Times New Roman" w:cs="Times New Roman"/>
          <w:sz w:val="24"/>
          <w:szCs w:val="24"/>
        </w:rPr>
        <w:t xml:space="preserve">hether or not defendant has not alleged any prejudice should the </w:t>
      </w:r>
      <w:r>
        <w:rPr>
          <w:rFonts w:ascii="Times New Roman" w:hAnsi="Times New Roman" w:cs="Times New Roman"/>
          <w:sz w:val="24"/>
          <w:szCs w:val="24"/>
        </w:rPr>
        <w:t>amendment</w:t>
      </w:r>
      <w:r w:rsidR="00EC2D79">
        <w:rPr>
          <w:rFonts w:ascii="Times New Roman" w:hAnsi="Times New Roman" w:cs="Times New Roman"/>
          <w:sz w:val="24"/>
          <w:szCs w:val="24"/>
        </w:rPr>
        <w:t xml:space="preserve"> be allowed is irrelevant</w:t>
      </w:r>
      <w:r>
        <w:rPr>
          <w:rFonts w:ascii="Times New Roman" w:hAnsi="Times New Roman" w:cs="Times New Roman"/>
          <w:sz w:val="24"/>
          <w:szCs w:val="24"/>
        </w:rPr>
        <w:t>.</w:t>
      </w:r>
    </w:p>
    <w:p w:rsidR="00B36226" w:rsidRPr="007820CB" w:rsidRDefault="00B36226" w:rsidP="006A5E1C">
      <w:pPr>
        <w:spacing w:after="0" w:line="360" w:lineRule="auto"/>
        <w:jc w:val="both"/>
        <w:rPr>
          <w:rFonts w:ascii="Times New Roman" w:hAnsi="Times New Roman" w:cs="Times New Roman"/>
          <w:sz w:val="24"/>
          <w:szCs w:val="24"/>
          <w:u w:val="single"/>
        </w:rPr>
      </w:pPr>
      <w:r w:rsidRPr="007820CB">
        <w:rPr>
          <w:rFonts w:ascii="Times New Roman" w:hAnsi="Times New Roman" w:cs="Times New Roman"/>
          <w:sz w:val="24"/>
          <w:szCs w:val="24"/>
          <w:u w:val="single"/>
        </w:rPr>
        <w:t>Disposition</w:t>
      </w:r>
    </w:p>
    <w:p w:rsidR="00B36226" w:rsidRDefault="005832B0" w:rsidP="00755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755C60">
        <w:rPr>
          <w:rFonts w:ascii="Times New Roman" w:hAnsi="Times New Roman" w:cs="Times New Roman"/>
          <w:sz w:val="24"/>
          <w:szCs w:val="24"/>
        </w:rPr>
        <w:t>IT IS ORDERED THAT</w:t>
      </w:r>
    </w:p>
    <w:p w:rsidR="00192891" w:rsidRPr="00CE7810" w:rsidRDefault="005E1FC3" w:rsidP="00CE7810">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248F1">
        <w:rPr>
          <w:rFonts w:ascii="Times New Roman" w:hAnsi="Times New Roman" w:cs="Times New Roman"/>
          <w:sz w:val="24"/>
          <w:szCs w:val="24"/>
        </w:rPr>
        <w:t>exception is up</w:t>
      </w:r>
      <w:r w:rsidR="00CE7810">
        <w:rPr>
          <w:rFonts w:ascii="Times New Roman" w:hAnsi="Times New Roman" w:cs="Times New Roman"/>
          <w:sz w:val="24"/>
          <w:szCs w:val="24"/>
        </w:rPr>
        <w:t>held</w:t>
      </w:r>
      <w:r w:rsidR="007248F1" w:rsidRPr="00CE7810">
        <w:rPr>
          <w:rFonts w:ascii="Times New Roman" w:hAnsi="Times New Roman" w:cs="Times New Roman"/>
          <w:sz w:val="24"/>
          <w:szCs w:val="24"/>
        </w:rPr>
        <w:t xml:space="preserve"> with costs. </w:t>
      </w:r>
    </w:p>
    <w:p w:rsidR="00342680" w:rsidRDefault="00342680" w:rsidP="00192891">
      <w:pPr>
        <w:spacing w:after="0" w:line="240" w:lineRule="auto"/>
        <w:jc w:val="both"/>
        <w:rPr>
          <w:rFonts w:ascii="Times New Roman" w:hAnsi="Times New Roman" w:cs="Times New Roman"/>
          <w:i/>
          <w:sz w:val="24"/>
          <w:szCs w:val="24"/>
        </w:rPr>
      </w:pPr>
    </w:p>
    <w:p w:rsidR="006A5E1C" w:rsidRDefault="006A5E1C" w:rsidP="00192891">
      <w:pPr>
        <w:spacing w:after="0" w:line="240" w:lineRule="auto"/>
        <w:jc w:val="both"/>
        <w:rPr>
          <w:rFonts w:ascii="Times New Roman" w:hAnsi="Times New Roman" w:cs="Times New Roman"/>
          <w:i/>
          <w:sz w:val="24"/>
          <w:szCs w:val="24"/>
        </w:rPr>
      </w:pPr>
    </w:p>
    <w:p w:rsidR="006A5E1C" w:rsidRDefault="006A5E1C" w:rsidP="00192891">
      <w:pPr>
        <w:spacing w:after="0" w:line="240" w:lineRule="auto"/>
        <w:jc w:val="both"/>
        <w:rPr>
          <w:rFonts w:ascii="Times New Roman" w:hAnsi="Times New Roman" w:cs="Times New Roman"/>
          <w:i/>
          <w:sz w:val="24"/>
          <w:szCs w:val="24"/>
        </w:rPr>
      </w:pPr>
    </w:p>
    <w:p w:rsidR="006A5E1C" w:rsidRDefault="006A5E1C" w:rsidP="00192891">
      <w:pPr>
        <w:spacing w:after="0" w:line="240" w:lineRule="auto"/>
        <w:jc w:val="both"/>
        <w:rPr>
          <w:rFonts w:ascii="Times New Roman" w:hAnsi="Times New Roman" w:cs="Times New Roman"/>
          <w:i/>
          <w:sz w:val="24"/>
          <w:szCs w:val="24"/>
        </w:rPr>
      </w:pPr>
    </w:p>
    <w:p w:rsidR="006A5E1C" w:rsidRDefault="006A5E1C" w:rsidP="00192891">
      <w:pPr>
        <w:spacing w:after="0" w:line="240" w:lineRule="auto"/>
        <w:jc w:val="both"/>
        <w:rPr>
          <w:rFonts w:ascii="Times New Roman" w:hAnsi="Times New Roman" w:cs="Times New Roman"/>
          <w:i/>
          <w:sz w:val="24"/>
          <w:szCs w:val="24"/>
        </w:rPr>
      </w:pPr>
    </w:p>
    <w:p w:rsidR="00D611EB" w:rsidRPr="00D611EB" w:rsidRDefault="00B641C1"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Sawyer and Mkushi</w:t>
      </w:r>
      <w:r w:rsidR="00D611EB" w:rsidRPr="00D611EB">
        <w:rPr>
          <w:rFonts w:ascii="Times New Roman" w:hAnsi="Times New Roman" w:cs="Times New Roman"/>
          <w:sz w:val="24"/>
          <w:szCs w:val="24"/>
        </w:rPr>
        <w:t xml:space="preserve">, </w:t>
      </w:r>
      <w:r w:rsidR="007248F1">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B641C1"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Atherstone &amp; Cook</w:t>
      </w:r>
      <w:r w:rsidR="001916DB">
        <w:rPr>
          <w:rFonts w:ascii="Times New Roman" w:hAnsi="Times New Roman" w:cs="Times New Roman"/>
          <w:i/>
          <w:sz w:val="24"/>
          <w:szCs w:val="24"/>
        </w:rPr>
        <w:t>,</w:t>
      </w:r>
      <w:r w:rsidR="001916DB" w:rsidRPr="00B36226">
        <w:rPr>
          <w:rFonts w:ascii="Times New Roman" w:hAnsi="Times New Roman" w:cs="Times New Roman"/>
          <w:sz w:val="24"/>
          <w:szCs w:val="24"/>
        </w:rPr>
        <w:t xml:space="preserve"> </w:t>
      </w:r>
      <w:r w:rsidR="007248F1">
        <w:rPr>
          <w:rFonts w:ascii="Times New Roman" w:hAnsi="Times New Roman" w:cs="Times New Roman"/>
          <w:sz w:val="24"/>
          <w:szCs w:val="24"/>
        </w:rPr>
        <w:t>defenda</w:t>
      </w:r>
      <w:r w:rsidR="00646BB1">
        <w:rPr>
          <w:rFonts w:ascii="Times New Roman" w:hAnsi="Times New Roman" w:cs="Times New Roman"/>
          <w:sz w:val="24"/>
          <w:szCs w:val="24"/>
        </w:rPr>
        <w:t>nt</w:t>
      </w:r>
      <w:r w:rsidR="001916DB" w:rsidRPr="00B36226">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F75" w:rsidRDefault="00116F75" w:rsidP="00A5344D">
      <w:pPr>
        <w:spacing w:after="0" w:line="240" w:lineRule="auto"/>
      </w:pPr>
      <w:r>
        <w:separator/>
      </w:r>
    </w:p>
  </w:endnote>
  <w:endnote w:type="continuationSeparator" w:id="0">
    <w:p w:rsidR="00116F75" w:rsidRDefault="00116F7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F75" w:rsidRDefault="00116F75" w:rsidP="00A5344D">
      <w:pPr>
        <w:spacing w:after="0" w:line="240" w:lineRule="auto"/>
      </w:pPr>
      <w:r>
        <w:separator/>
      </w:r>
    </w:p>
  </w:footnote>
  <w:footnote w:type="continuationSeparator" w:id="0">
    <w:p w:rsidR="00116F75" w:rsidRDefault="00116F75" w:rsidP="00A5344D">
      <w:pPr>
        <w:spacing w:after="0" w:line="240" w:lineRule="auto"/>
      </w:pPr>
      <w:r>
        <w:continuationSeparator/>
      </w:r>
    </w:p>
  </w:footnote>
  <w:footnote w:id="1">
    <w:p w:rsidR="005D5302" w:rsidRPr="005D5302" w:rsidRDefault="005D5302">
      <w:pPr>
        <w:pStyle w:val="FootnoteText"/>
      </w:pPr>
      <w:r>
        <w:rPr>
          <w:rStyle w:val="FootnoteReference"/>
        </w:rPr>
        <w:footnoteRef/>
      </w:r>
      <w:r>
        <w:t xml:space="preserve"> </w:t>
      </w:r>
      <w:r w:rsidRPr="00CE7810">
        <w:rPr>
          <w:i/>
        </w:rPr>
        <w:t>Matanhire v BP &amp; Shell Marketing Services (Pvt) Ltd</w:t>
      </w:r>
      <w:r>
        <w:t xml:space="preserve"> 2004 (2) ZLR 147 (S)</w:t>
      </w:r>
    </w:p>
  </w:footnote>
  <w:footnote w:id="2">
    <w:p w:rsidR="005D5302" w:rsidRPr="005D5302" w:rsidRDefault="005D5302">
      <w:pPr>
        <w:pStyle w:val="FootnoteText"/>
      </w:pPr>
      <w:r>
        <w:rPr>
          <w:rStyle w:val="FootnoteReference"/>
        </w:rPr>
        <w:footnoteRef/>
      </w:r>
      <w:r>
        <w:t xml:space="preserve"> See also</w:t>
      </w:r>
      <w:r w:rsidRPr="00CE7810">
        <w:rPr>
          <w:i/>
        </w:rPr>
        <w:t xml:space="preserve"> Business Equipment Corp v Baines Imaging Group</w:t>
      </w:r>
      <w:r>
        <w:t xml:space="preserve"> 2002 (2) ZLR 354 (S).</w:t>
      </w:r>
    </w:p>
  </w:footnote>
  <w:footnote w:id="3">
    <w:p w:rsidR="00C541E6" w:rsidRPr="00C541E6" w:rsidRDefault="00C541E6">
      <w:pPr>
        <w:pStyle w:val="FootnoteText"/>
      </w:pPr>
      <w:r>
        <w:rPr>
          <w:rStyle w:val="FootnoteReference"/>
        </w:rPr>
        <w:footnoteRef/>
      </w:r>
      <w:r>
        <w:t xml:space="preserve"> See </w:t>
      </w:r>
      <w:r w:rsidRPr="00CE7810">
        <w:rPr>
          <w:i/>
        </w:rPr>
        <w:t>Muchakata v Netherburn Mine</w:t>
      </w:r>
      <w:r>
        <w:t xml:space="preserve"> 1996 (1) ZLR 153(S). See also </w:t>
      </w:r>
      <w:r w:rsidRPr="00CE7810">
        <w:rPr>
          <w:i/>
        </w:rPr>
        <w:t>Taruona v Zvarevadza &amp; Ors</w:t>
      </w:r>
      <w:r>
        <w:t xml:space="preserve"> HH-87-12 and </w:t>
      </w:r>
      <w:r w:rsidRPr="00CE7810">
        <w:rPr>
          <w:i/>
        </w:rPr>
        <w:t>Tobacco Processors (Pvt) Ltd v Bak Storage (Pvt) Ltd &amp; Ors</w:t>
      </w:r>
      <w:r>
        <w:t xml:space="preserve"> HH-49-12</w:t>
      </w:r>
    </w:p>
  </w:footnote>
  <w:footnote w:id="4">
    <w:p w:rsidR="00876E95" w:rsidRPr="00876E95" w:rsidRDefault="00876E95">
      <w:pPr>
        <w:pStyle w:val="FootnoteText"/>
      </w:pPr>
      <w:r>
        <w:rPr>
          <w:rStyle w:val="FootnoteReference"/>
        </w:rPr>
        <w:footnoteRef/>
      </w:r>
      <w:r>
        <w:t xml:space="preserve"> </w:t>
      </w:r>
      <w:r w:rsidRPr="00CE7810">
        <w:rPr>
          <w:i/>
        </w:rPr>
        <w:t xml:space="preserve">Sanctuary Insurance </w:t>
      </w:r>
      <w:r w:rsidR="00CE7810" w:rsidRPr="00CE7810">
        <w:rPr>
          <w:i/>
        </w:rPr>
        <w:t>Company</w:t>
      </w:r>
      <w:r w:rsidRPr="00CE7810">
        <w:rPr>
          <w:i/>
        </w:rPr>
        <w:t xml:space="preserve"> (Pvt) Ltd v BG Insurance (Pvt) Ltd t/a BGI Financial Services</w:t>
      </w:r>
      <w:r>
        <w:t xml:space="preserve"> HH821-16</w:t>
      </w:r>
    </w:p>
  </w:footnote>
  <w:footnote w:id="5">
    <w:p w:rsidR="004F2A0A" w:rsidRPr="004F2A0A" w:rsidRDefault="004F2A0A">
      <w:pPr>
        <w:pStyle w:val="FootnoteText"/>
        <w:rPr>
          <w:lang w:val="en-ZW"/>
        </w:rPr>
      </w:pPr>
      <w:r>
        <w:rPr>
          <w:rStyle w:val="FootnoteReference"/>
        </w:rPr>
        <w:footnoteRef/>
      </w:r>
      <w:r>
        <w:t xml:space="preserve"> </w:t>
      </w:r>
      <w:r w:rsidRPr="004F2A0A">
        <w:rPr>
          <w:i/>
          <w:lang w:val="en-ZW"/>
        </w:rPr>
        <w:t>Nuvert Trading (Pvt) Ltd t/a Tripple Tee Footwear v Hwange Colliery Company</w:t>
      </w:r>
      <w:r>
        <w:rPr>
          <w:lang w:val="en-ZW"/>
        </w:rPr>
        <w:t xml:space="preserve"> HH 791/15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5E2B6F" w:rsidRDefault="005E2B6F">
        <w:pPr>
          <w:pStyle w:val="Header"/>
          <w:jc w:val="right"/>
          <w:rPr>
            <w:noProof/>
          </w:rPr>
        </w:pPr>
        <w:r>
          <w:fldChar w:fldCharType="begin"/>
        </w:r>
        <w:r>
          <w:instrText xml:space="preserve"> PAGE   \* MERGEFORMAT </w:instrText>
        </w:r>
        <w:r>
          <w:fldChar w:fldCharType="separate"/>
        </w:r>
        <w:r w:rsidR="0035407D">
          <w:rPr>
            <w:noProof/>
          </w:rPr>
          <w:t>1</w:t>
        </w:r>
        <w:r>
          <w:rPr>
            <w:noProof/>
          </w:rPr>
          <w:fldChar w:fldCharType="end"/>
        </w:r>
      </w:p>
      <w:p w:rsidR="005E2B6F" w:rsidRDefault="005E2B6F">
        <w:pPr>
          <w:pStyle w:val="Header"/>
          <w:jc w:val="right"/>
          <w:rPr>
            <w:noProof/>
          </w:rPr>
        </w:pPr>
        <w:r>
          <w:rPr>
            <w:noProof/>
          </w:rPr>
          <w:t>HH</w:t>
        </w:r>
        <w:r w:rsidR="009C1488">
          <w:rPr>
            <w:noProof/>
          </w:rPr>
          <w:t xml:space="preserve"> 199-18</w:t>
        </w:r>
      </w:p>
      <w:p w:rsidR="005E2B6F" w:rsidRDefault="005E2B6F">
        <w:pPr>
          <w:pStyle w:val="Header"/>
          <w:jc w:val="right"/>
          <w:rPr>
            <w:noProof/>
          </w:rPr>
        </w:pPr>
        <w:r>
          <w:rPr>
            <w:noProof/>
          </w:rPr>
          <w:t xml:space="preserve">HC </w:t>
        </w:r>
        <w:r w:rsidR="00B641C1">
          <w:rPr>
            <w:noProof/>
          </w:rPr>
          <w:t>10815</w:t>
        </w:r>
        <w:r>
          <w:rPr>
            <w:noProof/>
          </w:rPr>
          <w:t>/1</w:t>
        </w:r>
        <w:r w:rsidR="009F4F85">
          <w:rPr>
            <w:noProof/>
          </w:rPr>
          <w:t>7</w:t>
        </w:r>
      </w:p>
      <w:p w:rsidR="005E2B6F" w:rsidRDefault="00116F75">
        <w:pPr>
          <w:pStyle w:val="Header"/>
          <w:jc w:val="right"/>
        </w:pPr>
      </w:p>
    </w:sdtContent>
  </w:sdt>
  <w:p w:rsidR="005E2B6F" w:rsidRDefault="005E2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E6480E"/>
    <w:multiLevelType w:val="hybridMultilevel"/>
    <w:tmpl w:val="37B44CD2"/>
    <w:lvl w:ilvl="0" w:tplc="345879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C004D"/>
    <w:multiLevelType w:val="hybridMultilevel"/>
    <w:tmpl w:val="C95690E6"/>
    <w:lvl w:ilvl="0" w:tplc="DE8C27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AEC3E9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C374598"/>
    <w:multiLevelType w:val="hybridMultilevel"/>
    <w:tmpl w:val="46A69B42"/>
    <w:lvl w:ilvl="0" w:tplc="99527C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AF214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3F5268C9"/>
    <w:multiLevelType w:val="hybridMultilevel"/>
    <w:tmpl w:val="85D22CB8"/>
    <w:lvl w:ilvl="0" w:tplc="834464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1424CCC"/>
    <w:multiLevelType w:val="hybridMultilevel"/>
    <w:tmpl w:val="A15CB85E"/>
    <w:lvl w:ilvl="0" w:tplc="0B7CDE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8CF6CA1"/>
    <w:multiLevelType w:val="hybridMultilevel"/>
    <w:tmpl w:val="F238D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94B1111"/>
    <w:multiLevelType w:val="hybridMultilevel"/>
    <w:tmpl w:val="8CA290B8"/>
    <w:lvl w:ilvl="0" w:tplc="300A4A9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AE2C11"/>
    <w:multiLevelType w:val="hybridMultilevel"/>
    <w:tmpl w:val="DDB87948"/>
    <w:lvl w:ilvl="0" w:tplc="A1966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EE01AA1"/>
    <w:multiLevelType w:val="hybridMultilevel"/>
    <w:tmpl w:val="3476047E"/>
    <w:lvl w:ilvl="0" w:tplc="926841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144773E"/>
    <w:multiLevelType w:val="hybridMultilevel"/>
    <w:tmpl w:val="179ABA52"/>
    <w:lvl w:ilvl="0" w:tplc="B3BE1F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B517559"/>
    <w:multiLevelType w:val="hybridMultilevel"/>
    <w:tmpl w:val="23CCB0DC"/>
    <w:lvl w:ilvl="0" w:tplc="7D34ABEC">
      <w:start w:val="1"/>
      <w:numFmt w:val="lowerLetter"/>
      <w:lvlText w:val="%1)"/>
      <w:lvlJc w:val="left"/>
      <w:pPr>
        <w:ind w:left="1080" w:hanging="360"/>
      </w:pPr>
      <w:rPr>
        <w:rFonts w:hint="default"/>
        <w:b/>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28A1F5F"/>
    <w:multiLevelType w:val="hybridMultilevel"/>
    <w:tmpl w:val="6666BCCC"/>
    <w:lvl w:ilvl="0" w:tplc="D340B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2A22538"/>
    <w:multiLevelType w:val="hybridMultilevel"/>
    <w:tmpl w:val="FEB624F6"/>
    <w:lvl w:ilvl="0" w:tplc="8952AA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9D840CB"/>
    <w:multiLevelType w:val="hybridMultilevel"/>
    <w:tmpl w:val="DAAA4E22"/>
    <w:lvl w:ilvl="0" w:tplc="2592D2A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FCE7B47"/>
    <w:multiLevelType w:val="hybridMultilevel"/>
    <w:tmpl w:val="7ED07A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7530A2A"/>
    <w:multiLevelType w:val="hybridMultilevel"/>
    <w:tmpl w:val="54CC6C66"/>
    <w:lvl w:ilvl="0" w:tplc="A38E10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9323398"/>
    <w:multiLevelType w:val="hybridMultilevel"/>
    <w:tmpl w:val="F02A014C"/>
    <w:lvl w:ilvl="0" w:tplc="D15418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C633E10"/>
    <w:multiLevelType w:val="hybridMultilevel"/>
    <w:tmpl w:val="7B1C6A46"/>
    <w:lvl w:ilvl="0" w:tplc="1CA08B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3"/>
  </w:num>
  <w:num w:numId="2">
    <w:abstractNumId w:val="5"/>
  </w:num>
  <w:num w:numId="3">
    <w:abstractNumId w:val="1"/>
  </w:num>
  <w:num w:numId="4">
    <w:abstractNumId w:val="32"/>
  </w:num>
  <w:num w:numId="5">
    <w:abstractNumId w:val="36"/>
  </w:num>
  <w:num w:numId="6">
    <w:abstractNumId w:val="38"/>
  </w:num>
  <w:num w:numId="7">
    <w:abstractNumId w:val="12"/>
  </w:num>
  <w:num w:numId="8">
    <w:abstractNumId w:val="21"/>
  </w:num>
  <w:num w:numId="9">
    <w:abstractNumId w:val="31"/>
  </w:num>
  <w:num w:numId="10">
    <w:abstractNumId w:val="6"/>
  </w:num>
  <w:num w:numId="11">
    <w:abstractNumId w:val="25"/>
  </w:num>
  <w:num w:numId="12">
    <w:abstractNumId w:val="7"/>
  </w:num>
  <w:num w:numId="13">
    <w:abstractNumId w:val="18"/>
  </w:num>
  <w:num w:numId="14">
    <w:abstractNumId w:val="29"/>
  </w:num>
  <w:num w:numId="15">
    <w:abstractNumId w:val="37"/>
  </w:num>
  <w:num w:numId="16">
    <w:abstractNumId w:val="17"/>
  </w:num>
  <w:num w:numId="17">
    <w:abstractNumId w:val="2"/>
  </w:num>
  <w:num w:numId="18">
    <w:abstractNumId w:val="0"/>
  </w:num>
  <w:num w:numId="19">
    <w:abstractNumId w:val="16"/>
  </w:num>
  <w:num w:numId="20">
    <w:abstractNumId w:val="35"/>
  </w:num>
  <w:num w:numId="21">
    <w:abstractNumId w:val="4"/>
  </w:num>
  <w:num w:numId="22">
    <w:abstractNumId w:val="3"/>
  </w:num>
  <w:num w:numId="23">
    <w:abstractNumId w:val="26"/>
  </w:num>
  <w:num w:numId="24">
    <w:abstractNumId w:val="14"/>
  </w:num>
  <w:num w:numId="25">
    <w:abstractNumId w:val="11"/>
  </w:num>
  <w:num w:numId="26">
    <w:abstractNumId w:val="20"/>
  </w:num>
  <w:num w:numId="27">
    <w:abstractNumId w:val="15"/>
  </w:num>
  <w:num w:numId="28">
    <w:abstractNumId w:val="8"/>
  </w:num>
  <w:num w:numId="29">
    <w:abstractNumId w:val="10"/>
  </w:num>
  <w:num w:numId="30">
    <w:abstractNumId w:val="9"/>
  </w:num>
  <w:num w:numId="31">
    <w:abstractNumId w:val="30"/>
  </w:num>
  <w:num w:numId="32">
    <w:abstractNumId w:val="33"/>
  </w:num>
  <w:num w:numId="33">
    <w:abstractNumId w:val="27"/>
  </w:num>
  <w:num w:numId="34">
    <w:abstractNumId w:val="19"/>
  </w:num>
  <w:num w:numId="35">
    <w:abstractNumId w:val="24"/>
  </w:num>
  <w:num w:numId="36">
    <w:abstractNumId w:val="34"/>
  </w:num>
  <w:num w:numId="37">
    <w:abstractNumId w:val="13"/>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2D36"/>
    <w:rsid w:val="000147B5"/>
    <w:rsid w:val="00020429"/>
    <w:rsid w:val="00036056"/>
    <w:rsid w:val="0004510C"/>
    <w:rsid w:val="00047385"/>
    <w:rsid w:val="00051357"/>
    <w:rsid w:val="000552B0"/>
    <w:rsid w:val="0005786B"/>
    <w:rsid w:val="00064985"/>
    <w:rsid w:val="00065992"/>
    <w:rsid w:val="00071FDB"/>
    <w:rsid w:val="00072CCD"/>
    <w:rsid w:val="000807CC"/>
    <w:rsid w:val="00080C6C"/>
    <w:rsid w:val="0008185F"/>
    <w:rsid w:val="00083CFF"/>
    <w:rsid w:val="00087F5D"/>
    <w:rsid w:val="00090BBF"/>
    <w:rsid w:val="000B46C2"/>
    <w:rsid w:val="000C1585"/>
    <w:rsid w:val="000C47AD"/>
    <w:rsid w:val="000C65B2"/>
    <w:rsid w:val="000C692B"/>
    <w:rsid w:val="000D1CE9"/>
    <w:rsid w:val="000D73F9"/>
    <w:rsid w:val="000E49CD"/>
    <w:rsid w:val="000E4F4E"/>
    <w:rsid w:val="000F3541"/>
    <w:rsid w:val="000F6C31"/>
    <w:rsid w:val="001015A9"/>
    <w:rsid w:val="00101B9B"/>
    <w:rsid w:val="001079DA"/>
    <w:rsid w:val="00116F75"/>
    <w:rsid w:val="001172EC"/>
    <w:rsid w:val="00122EC5"/>
    <w:rsid w:val="00123797"/>
    <w:rsid w:val="00123FD7"/>
    <w:rsid w:val="0013647D"/>
    <w:rsid w:val="0014648F"/>
    <w:rsid w:val="0016137A"/>
    <w:rsid w:val="00165726"/>
    <w:rsid w:val="00183134"/>
    <w:rsid w:val="00183D71"/>
    <w:rsid w:val="00190755"/>
    <w:rsid w:val="00191489"/>
    <w:rsid w:val="001916DB"/>
    <w:rsid w:val="00192891"/>
    <w:rsid w:val="001A562F"/>
    <w:rsid w:val="001A7735"/>
    <w:rsid w:val="001C0EEB"/>
    <w:rsid w:val="001C5AA9"/>
    <w:rsid w:val="001D4EED"/>
    <w:rsid w:val="001D77EA"/>
    <w:rsid w:val="001E0BDC"/>
    <w:rsid w:val="001E416C"/>
    <w:rsid w:val="001F0CCD"/>
    <w:rsid w:val="001F2230"/>
    <w:rsid w:val="001F7BE4"/>
    <w:rsid w:val="002020BF"/>
    <w:rsid w:val="00202A27"/>
    <w:rsid w:val="002119AE"/>
    <w:rsid w:val="002167CA"/>
    <w:rsid w:val="00216B3D"/>
    <w:rsid w:val="00221530"/>
    <w:rsid w:val="00226660"/>
    <w:rsid w:val="002275B7"/>
    <w:rsid w:val="00227EFD"/>
    <w:rsid w:val="002319D6"/>
    <w:rsid w:val="002405FA"/>
    <w:rsid w:val="0024192D"/>
    <w:rsid w:val="00242E6F"/>
    <w:rsid w:val="0025507C"/>
    <w:rsid w:val="0025531A"/>
    <w:rsid w:val="002564A8"/>
    <w:rsid w:val="00264214"/>
    <w:rsid w:val="00266F53"/>
    <w:rsid w:val="00273F92"/>
    <w:rsid w:val="00276789"/>
    <w:rsid w:val="00293728"/>
    <w:rsid w:val="002A6D8A"/>
    <w:rsid w:val="002B2529"/>
    <w:rsid w:val="002B7E9A"/>
    <w:rsid w:val="002D49BC"/>
    <w:rsid w:val="002D5354"/>
    <w:rsid w:val="002D62E1"/>
    <w:rsid w:val="002D6A85"/>
    <w:rsid w:val="002E545F"/>
    <w:rsid w:val="002E5B08"/>
    <w:rsid w:val="002E7C2E"/>
    <w:rsid w:val="002F16E9"/>
    <w:rsid w:val="002F3DB8"/>
    <w:rsid w:val="002F64BA"/>
    <w:rsid w:val="003006A8"/>
    <w:rsid w:val="003075F7"/>
    <w:rsid w:val="00317C31"/>
    <w:rsid w:val="00320282"/>
    <w:rsid w:val="0032298B"/>
    <w:rsid w:val="00342680"/>
    <w:rsid w:val="0034675B"/>
    <w:rsid w:val="0035407D"/>
    <w:rsid w:val="00355C36"/>
    <w:rsid w:val="0035696B"/>
    <w:rsid w:val="003602D7"/>
    <w:rsid w:val="00365764"/>
    <w:rsid w:val="00390E7B"/>
    <w:rsid w:val="00397B6F"/>
    <w:rsid w:val="003A2857"/>
    <w:rsid w:val="003B20BF"/>
    <w:rsid w:val="003C2681"/>
    <w:rsid w:val="003C5EE9"/>
    <w:rsid w:val="003C5FCA"/>
    <w:rsid w:val="003D21A3"/>
    <w:rsid w:val="003D3193"/>
    <w:rsid w:val="003D3E83"/>
    <w:rsid w:val="003D670B"/>
    <w:rsid w:val="003F2824"/>
    <w:rsid w:val="003F2FDC"/>
    <w:rsid w:val="003F3A45"/>
    <w:rsid w:val="0040093B"/>
    <w:rsid w:val="004047C1"/>
    <w:rsid w:val="00404E61"/>
    <w:rsid w:val="004126BC"/>
    <w:rsid w:val="00415F53"/>
    <w:rsid w:val="00417A6C"/>
    <w:rsid w:val="004203A1"/>
    <w:rsid w:val="00435CB9"/>
    <w:rsid w:val="00440BB7"/>
    <w:rsid w:val="004445DA"/>
    <w:rsid w:val="004475E6"/>
    <w:rsid w:val="004500CB"/>
    <w:rsid w:val="004503DE"/>
    <w:rsid w:val="00451135"/>
    <w:rsid w:val="00453BC6"/>
    <w:rsid w:val="00460F6B"/>
    <w:rsid w:val="004639FA"/>
    <w:rsid w:val="004728D2"/>
    <w:rsid w:val="00472D5B"/>
    <w:rsid w:val="004735E9"/>
    <w:rsid w:val="00474008"/>
    <w:rsid w:val="00482DE2"/>
    <w:rsid w:val="00483ECA"/>
    <w:rsid w:val="00485DC3"/>
    <w:rsid w:val="004924B4"/>
    <w:rsid w:val="004A06CC"/>
    <w:rsid w:val="004B355F"/>
    <w:rsid w:val="004B39DB"/>
    <w:rsid w:val="004C78B7"/>
    <w:rsid w:val="004C7B4C"/>
    <w:rsid w:val="004D4139"/>
    <w:rsid w:val="004D6946"/>
    <w:rsid w:val="004E4BA6"/>
    <w:rsid w:val="004F2A0A"/>
    <w:rsid w:val="004F76F8"/>
    <w:rsid w:val="005023C5"/>
    <w:rsid w:val="00503A3D"/>
    <w:rsid w:val="005066B5"/>
    <w:rsid w:val="0051094F"/>
    <w:rsid w:val="00515EC9"/>
    <w:rsid w:val="005213E9"/>
    <w:rsid w:val="00521501"/>
    <w:rsid w:val="0053181F"/>
    <w:rsid w:val="00532124"/>
    <w:rsid w:val="00542B0B"/>
    <w:rsid w:val="005432BC"/>
    <w:rsid w:val="00543335"/>
    <w:rsid w:val="00546EBD"/>
    <w:rsid w:val="00553215"/>
    <w:rsid w:val="00553418"/>
    <w:rsid w:val="00557E46"/>
    <w:rsid w:val="00566A1F"/>
    <w:rsid w:val="00570252"/>
    <w:rsid w:val="0057413E"/>
    <w:rsid w:val="005832B0"/>
    <w:rsid w:val="00587660"/>
    <w:rsid w:val="00592B58"/>
    <w:rsid w:val="00595F6A"/>
    <w:rsid w:val="005A3486"/>
    <w:rsid w:val="005A6410"/>
    <w:rsid w:val="005C3F5C"/>
    <w:rsid w:val="005D2DFA"/>
    <w:rsid w:val="005D41DC"/>
    <w:rsid w:val="005D5302"/>
    <w:rsid w:val="005E0AE7"/>
    <w:rsid w:val="005E1FC3"/>
    <w:rsid w:val="005E2979"/>
    <w:rsid w:val="005E2B6F"/>
    <w:rsid w:val="005E4856"/>
    <w:rsid w:val="005F5D5C"/>
    <w:rsid w:val="005F63AD"/>
    <w:rsid w:val="006029EF"/>
    <w:rsid w:val="00607132"/>
    <w:rsid w:val="00610D6E"/>
    <w:rsid w:val="006129CF"/>
    <w:rsid w:val="00617093"/>
    <w:rsid w:val="00621903"/>
    <w:rsid w:val="006250C6"/>
    <w:rsid w:val="0062597B"/>
    <w:rsid w:val="006302DD"/>
    <w:rsid w:val="00630C22"/>
    <w:rsid w:val="006343F5"/>
    <w:rsid w:val="006346AC"/>
    <w:rsid w:val="00634C81"/>
    <w:rsid w:val="0064067B"/>
    <w:rsid w:val="00640901"/>
    <w:rsid w:val="00646BB1"/>
    <w:rsid w:val="00651153"/>
    <w:rsid w:val="00654C9B"/>
    <w:rsid w:val="00655C62"/>
    <w:rsid w:val="00662823"/>
    <w:rsid w:val="00662919"/>
    <w:rsid w:val="006651EB"/>
    <w:rsid w:val="00674EB9"/>
    <w:rsid w:val="00676928"/>
    <w:rsid w:val="006802A1"/>
    <w:rsid w:val="00681C3D"/>
    <w:rsid w:val="00697D53"/>
    <w:rsid w:val="006A02F3"/>
    <w:rsid w:val="006A05B9"/>
    <w:rsid w:val="006A2509"/>
    <w:rsid w:val="006A5E1C"/>
    <w:rsid w:val="006A65B3"/>
    <w:rsid w:val="006B3F67"/>
    <w:rsid w:val="006B7F5C"/>
    <w:rsid w:val="006D415C"/>
    <w:rsid w:val="006D6D1E"/>
    <w:rsid w:val="006D7AEF"/>
    <w:rsid w:val="00700560"/>
    <w:rsid w:val="00705117"/>
    <w:rsid w:val="007204EB"/>
    <w:rsid w:val="00720544"/>
    <w:rsid w:val="0072318E"/>
    <w:rsid w:val="0072321F"/>
    <w:rsid w:val="007248F1"/>
    <w:rsid w:val="00726115"/>
    <w:rsid w:val="00727119"/>
    <w:rsid w:val="007275F2"/>
    <w:rsid w:val="00743EA4"/>
    <w:rsid w:val="007455BE"/>
    <w:rsid w:val="007529FD"/>
    <w:rsid w:val="0075353C"/>
    <w:rsid w:val="00753C5C"/>
    <w:rsid w:val="00755C60"/>
    <w:rsid w:val="00757930"/>
    <w:rsid w:val="0076341D"/>
    <w:rsid w:val="00764BB7"/>
    <w:rsid w:val="00766DB1"/>
    <w:rsid w:val="00771D97"/>
    <w:rsid w:val="00774C0E"/>
    <w:rsid w:val="00775EC9"/>
    <w:rsid w:val="007820CB"/>
    <w:rsid w:val="00783C63"/>
    <w:rsid w:val="00791418"/>
    <w:rsid w:val="007950B6"/>
    <w:rsid w:val="00795857"/>
    <w:rsid w:val="007A13DA"/>
    <w:rsid w:val="007A2882"/>
    <w:rsid w:val="007A3773"/>
    <w:rsid w:val="007B4B62"/>
    <w:rsid w:val="007B4B9D"/>
    <w:rsid w:val="007B6BCE"/>
    <w:rsid w:val="007B7D1C"/>
    <w:rsid w:val="007C2219"/>
    <w:rsid w:val="007C289A"/>
    <w:rsid w:val="007C3261"/>
    <w:rsid w:val="007D7A7A"/>
    <w:rsid w:val="007D7E4B"/>
    <w:rsid w:val="007E4F65"/>
    <w:rsid w:val="007E50C7"/>
    <w:rsid w:val="007F513D"/>
    <w:rsid w:val="0080069A"/>
    <w:rsid w:val="00800D9E"/>
    <w:rsid w:val="00804275"/>
    <w:rsid w:val="008055E1"/>
    <w:rsid w:val="00826BF0"/>
    <w:rsid w:val="00831025"/>
    <w:rsid w:val="00843C2C"/>
    <w:rsid w:val="008441BA"/>
    <w:rsid w:val="00862C84"/>
    <w:rsid w:val="0086329F"/>
    <w:rsid w:val="00864B89"/>
    <w:rsid w:val="00864E52"/>
    <w:rsid w:val="0086651B"/>
    <w:rsid w:val="00867938"/>
    <w:rsid w:val="00875101"/>
    <w:rsid w:val="00876E95"/>
    <w:rsid w:val="008943D7"/>
    <w:rsid w:val="008A4970"/>
    <w:rsid w:val="008A7603"/>
    <w:rsid w:val="008B04F7"/>
    <w:rsid w:val="008B0512"/>
    <w:rsid w:val="008C4B4F"/>
    <w:rsid w:val="008D5B14"/>
    <w:rsid w:val="008E6003"/>
    <w:rsid w:val="009049A6"/>
    <w:rsid w:val="00904EDE"/>
    <w:rsid w:val="009160A2"/>
    <w:rsid w:val="00916377"/>
    <w:rsid w:val="00921972"/>
    <w:rsid w:val="00924F5C"/>
    <w:rsid w:val="00930208"/>
    <w:rsid w:val="00935391"/>
    <w:rsid w:val="00936404"/>
    <w:rsid w:val="0093750A"/>
    <w:rsid w:val="00937929"/>
    <w:rsid w:val="00940045"/>
    <w:rsid w:val="00943046"/>
    <w:rsid w:val="00944AE6"/>
    <w:rsid w:val="00954F68"/>
    <w:rsid w:val="009616C9"/>
    <w:rsid w:val="00964A1D"/>
    <w:rsid w:val="00986095"/>
    <w:rsid w:val="00996296"/>
    <w:rsid w:val="00997725"/>
    <w:rsid w:val="009A1665"/>
    <w:rsid w:val="009B0106"/>
    <w:rsid w:val="009B4D9E"/>
    <w:rsid w:val="009B618B"/>
    <w:rsid w:val="009B6C41"/>
    <w:rsid w:val="009C0C94"/>
    <w:rsid w:val="009C1488"/>
    <w:rsid w:val="009C27B3"/>
    <w:rsid w:val="009D2794"/>
    <w:rsid w:val="009E199C"/>
    <w:rsid w:val="009E3F68"/>
    <w:rsid w:val="009F0E93"/>
    <w:rsid w:val="009F23D6"/>
    <w:rsid w:val="009F36BA"/>
    <w:rsid w:val="009F4F85"/>
    <w:rsid w:val="00A14CD6"/>
    <w:rsid w:val="00A224BE"/>
    <w:rsid w:val="00A2642B"/>
    <w:rsid w:val="00A27C5A"/>
    <w:rsid w:val="00A32902"/>
    <w:rsid w:val="00A33497"/>
    <w:rsid w:val="00A42911"/>
    <w:rsid w:val="00A465F8"/>
    <w:rsid w:val="00A46FB7"/>
    <w:rsid w:val="00A5344D"/>
    <w:rsid w:val="00A602B3"/>
    <w:rsid w:val="00A620DB"/>
    <w:rsid w:val="00A63DCC"/>
    <w:rsid w:val="00A66595"/>
    <w:rsid w:val="00A70274"/>
    <w:rsid w:val="00A71BC1"/>
    <w:rsid w:val="00A72477"/>
    <w:rsid w:val="00A74CDA"/>
    <w:rsid w:val="00A820E4"/>
    <w:rsid w:val="00A91397"/>
    <w:rsid w:val="00A92198"/>
    <w:rsid w:val="00A96F81"/>
    <w:rsid w:val="00AA75D1"/>
    <w:rsid w:val="00AB6264"/>
    <w:rsid w:val="00AC368F"/>
    <w:rsid w:val="00AC5598"/>
    <w:rsid w:val="00AD09A0"/>
    <w:rsid w:val="00AD30D7"/>
    <w:rsid w:val="00AE0173"/>
    <w:rsid w:val="00B00361"/>
    <w:rsid w:val="00B06E86"/>
    <w:rsid w:val="00B13657"/>
    <w:rsid w:val="00B2441C"/>
    <w:rsid w:val="00B33194"/>
    <w:rsid w:val="00B3468F"/>
    <w:rsid w:val="00B36226"/>
    <w:rsid w:val="00B37BD6"/>
    <w:rsid w:val="00B50A7E"/>
    <w:rsid w:val="00B56EE9"/>
    <w:rsid w:val="00B6195C"/>
    <w:rsid w:val="00B61EB9"/>
    <w:rsid w:val="00B6321F"/>
    <w:rsid w:val="00B641C1"/>
    <w:rsid w:val="00B72D20"/>
    <w:rsid w:val="00B8105E"/>
    <w:rsid w:val="00B85223"/>
    <w:rsid w:val="00B92437"/>
    <w:rsid w:val="00B9419D"/>
    <w:rsid w:val="00BA7CEB"/>
    <w:rsid w:val="00BB1D1B"/>
    <w:rsid w:val="00BB24DC"/>
    <w:rsid w:val="00BC5EBB"/>
    <w:rsid w:val="00BD1826"/>
    <w:rsid w:val="00BE25F4"/>
    <w:rsid w:val="00BE4142"/>
    <w:rsid w:val="00BF3061"/>
    <w:rsid w:val="00BF6A37"/>
    <w:rsid w:val="00C04F46"/>
    <w:rsid w:val="00C104A1"/>
    <w:rsid w:val="00C15AF0"/>
    <w:rsid w:val="00C210AF"/>
    <w:rsid w:val="00C347AB"/>
    <w:rsid w:val="00C36767"/>
    <w:rsid w:val="00C53B3F"/>
    <w:rsid w:val="00C541E6"/>
    <w:rsid w:val="00C63838"/>
    <w:rsid w:val="00C65A52"/>
    <w:rsid w:val="00C66194"/>
    <w:rsid w:val="00C7396F"/>
    <w:rsid w:val="00C773D1"/>
    <w:rsid w:val="00C81348"/>
    <w:rsid w:val="00C84DF1"/>
    <w:rsid w:val="00CA3902"/>
    <w:rsid w:val="00CB429F"/>
    <w:rsid w:val="00CB5D70"/>
    <w:rsid w:val="00CC0F35"/>
    <w:rsid w:val="00CC3E85"/>
    <w:rsid w:val="00CD1665"/>
    <w:rsid w:val="00CD3F8F"/>
    <w:rsid w:val="00CE7810"/>
    <w:rsid w:val="00CF106B"/>
    <w:rsid w:val="00CF6279"/>
    <w:rsid w:val="00D12F8B"/>
    <w:rsid w:val="00D1525D"/>
    <w:rsid w:val="00D15D7D"/>
    <w:rsid w:val="00D24793"/>
    <w:rsid w:val="00D27CEF"/>
    <w:rsid w:val="00D307B9"/>
    <w:rsid w:val="00D3143A"/>
    <w:rsid w:val="00D37968"/>
    <w:rsid w:val="00D40A47"/>
    <w:rsid w:val="00D43339"/>
    <w:rsid w:val="00D44ED3"/>
    <w:rsid w:val="00D51414"/>
    <w:rsid w:val="00D54499"/>
    <w:rsid w:val="00D55DD3"/>
    <w:rsid w:val="00D611EB"/>
    <w:rsid w:val="00D714B4"/>
    <w:rsid w:val="00D71A82"/>
    <w:rsid w:val="00D7717B"/>
    <w:rsid w:val="00D828DE"/>
    <w:rsid w:val="00D87187"/>
    <w:rsid w:val="00D91046"/>
    <w:rsid w:val="00D91478"/>
    <w:rsid w:val="00D96EF2"/>
    <w:rsid w:val="00D97910"/>
    <w:rsid w:val="00DB5BB1"/>
    <w:rsid w:val="00DC77DA"/>
    <w:rsid w:val="00DD4DCF"/>
    <w:rsid w:val="00DD77FF"/>
    <w:rsid w:val="00DE793E"/>
    <w:rsid w:val="00DF7AE0"/>
    <w:rsid w:val="00E00203"/>
    <w:rsid w:val="00E04C72"/>
    <w:rsid w:val="00E15006"/>
    <w:rsid w:val="00E15273"/>
    <w:rsid w:val="00E35E50"/>
    <w:rsid w:val="00E45D31"/>
    <w:rsid w:val="00E5163E"/>
    <w:rsid w:val="00E66010"/>
    <w:rsid w:val="00E81672"/>
    <w:rsid w:val="00E81695"/>
    <w:rsid w:val="00E84641"/>
    <w:rsid w:val="00E85705"/>
    <w:rsid w:val="00E90BDA"/>
    <w:rsid w:val="00E90CDA"/>
    <w:rsid w:val="00EA46CD"/>
    <w:rsid w:val="00EA560F"/>
    <w:rsid w:val="00EB605A"/>
    <w:rsid w:val="00EC2D79"/>
    <w:rsid w:val="00ED5A6F"/>
    <w:rsid w:val="00EE22C4"/>
    <w:rsid w:val="00EE763C"/>
    <w:rsid w:val="00EF3939"/>
    <w:rsid w:val="00EF3A9B"/>
    <w:rsid w:val="00F00E80"/>
    <w:rsid w:val="00F12A2E"/>
    <w:rsid w:val="00F22907"/>
    <w:rsid w:val="00F41839"/>
    <w:rsid w:val="00F44250"/>
    <w:rsid w:val="00F634F8"/>
    <w:rsid w:val="00F7027B"/>
    <w:rsid w:val="00F77078"/>
    <w:rsid w:val="00F93DC2"/>
    <w:rsid w:val="00F95C6D"/>
    <w:rsid w:val="00FA5BAB"/>
    <w:rsid w:val="00FA6187"/>
    <w:rsid w:val="00FA716C"/>
    <w:rsid w:val="00FC233A"/>
    <w:rsid w:val="00FD7503"/>
    <w:rsid w:val="00FE34F2"/>
    <w:rsid w:val="00FE561C"/>
    <w:rsid w:val="00FE6B64"/>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2F6C1-069F-414F-A8E6-F8BF016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022D-0AAD-45DD-8441-BB6F8952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2018-04-10T15:30:00Z</cp:lastPrinted>
  <dcterms:created xsi:type="dcterms:W3CDTF">2018-05-02T14:44:00Z</dcterms:created>
  <dcterms:modified xsi:type="dcterms:W3CDTF">2018-05-02T14:44:00Z</dcterms:modified>
</cp:coreProperties>
</file>