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392" w:rsidRDefault="00E235C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CHHAGANBHAI VITHAL RAMA                                                                                                   </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LOCAL GOVERNMENT, </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PUBLIC WORKS &amp; NATIONAL HOUSING N.O.</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GLORYBOOST INVESTMENTS (PVT) LTD</w:t>
      </w:r>
    </w:p>
    <w:p w:rsidR="00A33392" w:rsidRDefault="00A33392">
      <w:pPr>
        <w:spacing w:line="240" w:lineRule="auto"/>
        <w:rPr>
          <w:rFonts w:ascii="Times New Roman" w:hAnsi="Times New Roman" w:cs="Times New Roman"/>
          <w:sz w:val="24"/>
          <w:szCs w:val="24"/>
        </w:rPr>
      </w:pP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w:t>
      </w:r>
      <w:r>
        <w:rPr>
          <w:rFonts w:ascii="Times New Roman" w:hAnsi="Times New Roman" w:cs="Times New Roman"/>
          <w:sz w:val="24"/>
          <w:szCs w:val="24"/>
        </w:rPr>
        <w:t>ZIMBABWE</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MANYANGADZE J</w:t>
      </w:r>
    </w:p>
    <w:p w:rsidR="00A33392" w:rsidRDefault="00E235CD">
      <w:pPr>
        <w:spacing w:after="0" w:line="240" w:lineRule="auto"/>
        <w:rPr>
          <w:rFonts w:ascii="Times New Roman" w:hAnsi="Times New Roman" w:cs="Times New Roman"/>
          <w:sz w:val="24"/>
          <w:szCs w:val="24"/>
        </w:rPr>
      </w:pPr>
      <w:r>
        <w:rPr>
          <w:rFonts w:ascii="Times New Roman" w:hAnsi="Times New Roman" w:cs="Times New Roman"/>
          <w:sz w:val="24"/>
          <w:szCs w:val="24"/>
        </w:rPr>
        <w:t>HARARE,  20 July 2022 &amp; 27 July 2023</w:t>
      </w:r>
    </w:p>
    <w:p w:rsidR="00A33392" w:rsidRDefault="00A33392">
      <w:pPr>
        <w:spacing w:after="0" w:line="240" w:lineRule="auto"/>
        <w:rPr>
          <w:rFonts w:ascii="Times New Roman" w:hAnsi="Times New Roman" w:cs="Times New Roman"/>
          <w:b/>
          <w:sz w:val="24"/>
          <w:szCs w:val="24"/>
        </w:rPr>
      </w:pPr>
    </w:p>
    <w:p w:rsidR="00A33392" w:rsidRDefault="00A33392">
      <w:pPr>
        <w:spacing w:after="0" w:line="240" w:lineRule="auto"/>
        <w:rPr>
          <w:rFonts w:ascii="Times New Roman" w:hAnsi="Times New Roman" w:cs="Times New Roman"/>
          <w:b/>
          <w:sz w:val="24"/>
          <w:szCs w:val="24"/>
        </w:rPr>
      </w:pPr>
    </w:p>
    <w:p w:rsidR="00A33392" w:rsidRDefault="00E235CD">
      <w:pPr>
        <w:rPr>
          <w:rFonts w:ascii="Times New Roman" w:hAnsi="Times New Roman" w:cs="Times New Roman"/>
          <w:b/>
          <w:sz w:val="24"/>
          <w:szCs w:val="24"/>
        </w:rPr>
      </w:pPr>
      <w:r>
        <w:rPr>
          <w:rFonts w:ascii="Times New Roman" w:hAnsi="Times New Roman" w:cs="Times New Roman"/>
          <w:b/>
          <w:sz w:val="24"/>
          <w:szCs w:val="24"/>
        </w:rPr>
        <w:t>Opposed application</w:t>
      </w:r>
    </w:p>
    <w:p w:rsidR="00A33392" w:rsidRDefault="00A33392">
      <w:pPr>
        <w:rPr>
          <w:i/>
        </w:rPr>
      </w:pPr>
    </w:p>
    <w:p w:rsidR="00A33392" w:rsidRDefault="00E235CD">
      <w:pPr>
        <w:spacing w:after="0"/>
        <w:rPr>
          <w:rFonts w:ascii="Times New Roman" w:hAnsi="Times New Roman" w:cs="Times New Roman"/>
          <w:sz w:val="24"/>
          <w:szCs w:val="24"/>
        </w:rPr>
      </w:pPr>
      <w:r>
        <w:rPr>
          <w:rFonts w:ascii="Times New Roman" w:hAnsi="Times New Roman" w:cs="Times New Roman"/>
          <w:i/>
          <w:sz w:val="24"/>
          <w:szCs w:val="24"/>
        </w:rPr>
        <w:t>E</w:t>
      </w:r>
      <w:r>
        <w:rPr>
          <w:rFonts w:ascii="Times New Roman" w:hAnsi="Times New Roman" w:cs="Times New Roman"/>
          <w:sz w:val="24"/>
          <w:szCs w:val="24"/>
        </w:rPr>
        <w:t xml:space="preserve"> </w:t>
      </w:r>
      <w:r>
        <w:rPr>
          <w:rFonts w:ascii="Times New Roman" w:hAnsi="Times New Roman" w:cs="Times New Roman"/>
          <w:i/>
          <w:sz w:val="24"/>
          <w:szCs w:val="24"/>
        </w:rPr>
        <w:t>Mubaiwa</w:t>
      </w:r>
      <w:r>
        <w:rPr>
          <w:rFonts w:ascii="Times New Roman" w:hAnsi="Times New Roman" w:cs="Times New Roman"/>
          <w:sz w:val="24"/>
          <w:szCs w:val="24"/>
        </w:rPr>
        <w:t>, for the applicant</w:t>
      </w:r>
    </w:p>
    <w:p w:rsidR="00A33392" w:rsidRDefault="00E235CD">
      <w:pPr>
        <w:spacing w:after="0"/>
        <w:rPr>
          <w:rFonts w:ascii="Times New Roman" w:hAnsi="Times New Roman" w:cs="Times New Roman"/>
          <w:sz w:val="24"/>
          <w:szCs w:val="24"/>
        </w:rPr>
      </w:pPr>
      <w:r>
        <w:rPr>
          <w:rFonts w:ascii="Times New Roman" w:hAnsi="Times New Roman" w:cs="Times New Roman"/>
          <w:i/>
          <w:sz w:val="24"/>
          <w:szCs w:val="24"/>
        </w:rPr>
        <w:t>L T Muradzikwa</w:t>
      </w:r>
      <w:r>
        <w:rPr>
          <w:rFonts w:ascii="Times New Roman" w:hAnsi="Times New Roman" w:cs="Times New Roman"/>
          <w:sz w:val="24"/>
          <w:szCs w:val="24"/>
        </w:rPr>
        <w:t>, for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33392" w:rsidRDefault="00E235CD">
      <w:pPr>
        <w:spacing w:after="0"/>
        <w:rPr>
          <w:rFonts w:ascii="Times New Roman" w:hAnsi="Times New Roman" w:cs="Times New Roman"/>
          <w:sz w:val="24"/>
          <w:szCs w:val="24"/>
        </w:rPr>
      </w:pPr>
      <w:r>
        <w:rPr>
          <w:rFonts w:ascii="Times New Roman" w:hAnsi="Times New Roman" w:cs="Times New Roman"/>
          <w:i/>
          <w:sz w:val="24"/>
          <w:szCs w:val="24"/>
        </w:rPr>
        <w:t>TC Masawi</w:t>
      </w:r>
      <w:r>
        <w:rPr>
          <w:rFonts w:ascii="Times New Roman" w:hAnsi="Times New Roman" w:cs="Times New Roman"/>
          <w:sz w:val="24"/>
          <w:szCs w:val="24"/>
        </w:rPr>
        <w:t>, for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A33392" w:rsidRDefault="00A33392"/>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MANYANGADZE J</w:t>
      </w:r>
      <w:r>
        <w:rPr>
          <w:b/>
        </w:rPr>
        <w:t>:</w:t>
      </w:r>
      <w:r>
        <w:t xml:space="preserve"> </w:t>
      </w:r>
      <w:r>
        <w:rPr>
          <w:rFonts w:ascii="Times New Roman" w:hAnsi="Times New Roman" w:cs="Times New Roman"/>
          <w:sz w:val="24"/>
          <w:szCs w:val="24"/>
        </w:rPr>
        <w:t>This is an application for condonation of the late fili</w:t>
      </w:r>
      <w:r>
        <w:rPr>
          <w:rFonts w:ascii="Times New Roman" w:hAnsi="Times New Roman" w:cs="Times New Roman"/>
          <w:sz w:val="24"/>
          <w:szCs w:val="24"/>
        </w:rPr>
        <w:t>ng of an application for review. The application is peculiar in that it was filed nearly five (5) years after the decision sought to be reviewed was made. It arises out of a decision made by the first respondent to cancel a lease agreement he had entered i</w:t>
      </w:r>
      <w:r>
        <w:rPr>
          <w:rFonts w:ascii="Times New Roman" w:hAnsi="Times New Roman" w:cs="Times New Roman"/>
          <w:sz w:val="24"/>
          <w:szCs w:val="24"/>
        </w:rPr>
        <w:t>nto with the applicant in respect of a certain piece of agricultural land, way back in October 2016.</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forming the background to the matter are largely common cause. The applicant and the first respondent were at the material time parties to a long</w:t>
      </w:r>
      <w:r>
        <w:rPr>
          <w:rFonts w:ascii="Times New Roman" w:hAnsi="Times New Roman" w:cs="Times New Roman"/>
          <w:sz w:val="24"/>
          <w:szCs w:val="24"/>
        </w:rPr>
        <w:t xml:space="preserve"> lease agreement. The applicant leased a plot known as Stand 554 Chirundu Township, measuring 198.5 hectares (“the property”) from the first respondent, for the purpose of carrying out the business of fish farming. The lease was set to lapse in 2054.</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w:t>
      </w:r>
      <w:r>
        <w:rPr>
          <w:rFonts w:ascii="Times New Roman" w:hAnsi="Times New Roman" w:cs="Times New Roman"/>
          <w:sz w:val="24"/>
          <w:szCs w:val="24"/>
        </w:rPr>
        <w:t>irst respondent cancelled the lease in October 2016, alleging gross underutilisation of the property.</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advised by some legal practitioners he had engaged in connection with the cancellation that it was of no force and effect, as it had not</w:t>
      </w:r>
      <w:r>
        <w:rPr>
          <w:rFonts w:ascii="Times New Roman" w:hAnsi="Times New Roman" w:cs="Times New Roman"/>
          <w:sz w:val="24"/>
          <w:szCs w:val="24"/>
        </w:rPr>
        <w:t xml:space="preserve"> been confirmed by a court of law. He was further advised that it was not necessary to challenge the cancellation but must simply wait for the first respondent to obtain a court order confirming the cancellation. </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years later, in October 2018, the appl</w:t>
      </w:r>
      <w:r>
        <w:rPr>
          <w:rFonts w:ascii="Times New Roman" w:hAnsi="Times New Roman" w:cs="Times New Roman"/>
          <w:sz w:val="24"/>
          <w:szCs w:val="24"/>
        </w:rPr>
        <w:t xml:space="preserve">icant engaged different legal practitioners for purposes of planning his estate. He included the property on his inventory of assets. His new </w:t>
      </w:r>
      <w:r>
        <w:rPr>
          <w:rFonts w:ascii="Times New Roman" w:hAnsi="Times New Roman" w:cs="Times New Roman"/>
          <w:sz w:val="24"/>
          <w:szCs w:val="24"/>
        </w:rPr>
        <w:lastRenderedPageBreak/>
        <w:t>legal practitioners expressed concern over the legal status of the property, in view of the cancellation letter fr</w:t>
      </w:r>
      <w:r>
        <w:rPr>
          <w:rFonts w:ascii="Times New Roman" w:hAnsi="Times New Roman" w:cs="Times New Roman"/>
          <w:sz w:val="24"/>
          <w:szCs w:val="24"/>
        </w:rPr>
        <w:t>om the first respondent.  The legal practitioners pointed out that the advice from the applicant’s erstwhile legal practitioners was incorrect. The correct position was that the first respondent’s cancellation took immediate effect. The property was theref</w:t>
      </w:r>
      <w:r>
        <w:rPr>
          <w:rFonts w:ascii="Times New Roman" w:hAnsi="Times New Roman" w:cs="Times New Roman"/>
          <w:sz w:val="24"/>
          <w:szCs w:val="24"/>
        </w:rPr>
        <w:t>ore not part of the applicant’s estate for as long as that cancelation was extant. It was incumbent upon the applicant to challenge that cancellation.  The lawyers further advised the applicant to file an application for a declaratory order to the effect t</w:t>
      </w:r>
      <w:r>
        <w:rPr>
          <w:rFonts w:ascii="Times New Roman" w:hAnsi="Times New Roman" w:cs="Times New Roman"/>
          <w:sz w:val="24"/>
          <w:szCs w:val="24"/>
        </w:rPr>
        <w:t xml:space="preserve">hat the first respondent’s cancellation was invalid. </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proceeded to file an application for a declaratory order, under Case No. HC 9163/18. That application was dismissed by </w:t>
      </w:r>
      <w:r>
        <w:rPr>
          <w:rFonts w:ascii="Times New Roman" w:hAnsi="Times New Roman" w:cs="Times New Roman"/>
          <w:smallCaps/>
          <w:sz w:val="24"/>
          <w:szCs w:val="24"/>
        </w:rPr>
        <w:t>mushore</w:t>
      </w:r>
      <w:r>
        <w:rPr>
          <w:rFonts w:ascii="Times New Roman" w:hAnsi="Times New Roman" w:cs="Times New Roman"/>
          <w:sz w:val="24"/>
          <w:szCs w:val="24"/>
        </w:rPr>
        <w:t xml:space="preserve"> J in an order handed down on 16 January 2020. The papers file</w:t>
      </w:r>
      <w:r>
        <w:rPr>
          <w:rFonts w:ascii="Times New Roman" w:hAnsi="Times New Roman" w:cs="Times New Roman"/>
          <w:sz w:val="24"/>
          <w:szCs w:val="24"/>
        </w:rPr>
        <w:t>d in connection thereto show that the judge upheld a preliminary point raised by the first respondent, to the effect that the application was improperly before the court. The applicant ought to have filed an application for a review of the first respondent</w:t>
      </w:r>
      <w:r>
        <w:rPr>
          <w:rFonts w:ascii="Times New Roman" w:hAnsi="Times New Roman" w:cs="Times New Roman"/>
          <w:sz w:val="24"/>
          <w:szCs w:val="24"/>
        </w:rPr>
        <w:t>’s decision to cancel the lease agreement, instead of filing an application for a</w:t>
      </w:r>
      <w:r>
        <w:rPr>
          <w:rFonts w:ascii="Times New Roman" w:hAnsi="Times New Roman" w:cs="Times New Roman"/>
          <w:i/>
          <w:sz w:val="24"/>
          <w:szCs w:val="24"/>
        </w:rPr>
        <w:t xml:space="preserve"> declaratur</w:t>
      </w:r>
      <w:r>
        <w:rPr>
          <w:rFonts w:ascii="Times New Roman" w:hAnsi="Times New Roman" w:cs="Times New Roman"/>
          <w:sz w:val="24"/>
          <w:szCs w:val="24"/>
        </w:rPr>
        <w:t xml:space="preserve">. </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High Court order, the applicant noted an appeal with the Supreme Court.  In an order handed down on 30 September 2021, the Supreme Court upheld </w:t>
      </w:r>
      <w:r>
        <w:rPr>
          <w:rFonts w:ascii="Times New Roman" w:hAnsi="Times New Roman" w:cs="Times New Roman"/>
          <w:sz w:val="24"/>
          <w:szCs w:val="24"/>
        </w:rPr>
        <w:t xml:space="preserve">the appeal. The Supreme Court substituted the High Court order of dismissal with one striking the application off the roll i.e. application for a declaratory order. It is thus significant to note that in essence, the Supreme Court agreed with the court </w:t>
      </w:r>
      <w:r>
        <w:rPr>
          <w:rFonts w:ascii="Times New Roman" w:hAnsi="Times New Roman" w:cs="Times New Roman"/>
          <w:i/>
          <w:sz w:val="24"/>
          <w:szCs w:val="24"/>
        </w:rPr>
        <w:t>a q</w:t>
      </w:r>
      <w:r>
        <w:rPr>
          <w:rFonts w:ascii="Times New Roman" w:hAnsi="Times New Roman" w:cs="Times New Roman"/>
          <w:i/>
          <w:sz w:val="24"/>
          <w:szCs w:val="24"/>
        </w:rPr>
        <w:t>uo</w:t>
      </w:r>
      <w:r>
        <w:rPr>
          <w:rFonts w:ascii="Times New Roman" w:hAnsi="Times New Roman" w:cs="Times New Roman"/>
          <w:sz w:val="24"/>
          <w:szCs w:val="24"/>
        </w:rPr>
        <w:t xml:space="preserve">’s decision that the application for a declaratory order was improperly brought before that court. However, the court </w:t>
      </w:r>
      <w:r>
        <w:rPr>
          <w:rFonts w:ascii="Times New Roman" w:hAnsi="Times New Roman" w:cs="Times New Roman"/>
          <w:i/>
          <w:sz w:val="24"/>
          <w:szCs w:val="24"/>
        </w:rPr>
        <w:t>a quo</w:t>
      </w:r>
      <w:r>
        <w:rPr>
          <w:rFonts w:ascii="Times New Roman" w:hAnsi="Times New Roman" w:cs="Times New Roman"/>
          <w:sz w:val="24"/>
          <w:szCs w:val="24"/>
        </w:rPr>
        <w:t>’s order of dismissal was incorrect. Having found that the application was improperly before it, the High Court should have ordered</w:t>
      </w:r>
      <w:r>
        <w:rPr>
          <w:rFonts w:ascii="Times New Roman" w:hAnsi="Times New Roman" w:cs="Times New Roman"/>
          <w:sz w:val="24"/>
          <w:szCs w:val="24"/>
        </w:rPr>
        <w:t xml:space="preserve"> that the application be struck off the roll.</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following the cancellation of the lease agreement with the applicant, the first respondent entered into a lease agreement with the second respondent. The papers filed of record indicate that that </w:t>
      </w:r>
      <w:r>
        <w:rPr>
          <w:rFonts w:ascii="Times New Roman" w:hAnsi="Times New Roman" w:cs="Times New Roman"/>
          <w:sz w:val="24"/>
          <w:szCs w:val="24"/>
        </w:rPr>
        <w:t xml:space="preserve">lease agreement has since been upgraded into an agreement of sale between the first respondent and the second respondent, and the full purchase price has been paid. Effectively, the property has since been disposed of by sale to the second respondent, who </w:t>
      </w:r>
      <w:r>
        <w:rPr>
          <w:rFonts w:ascii="Times New Roman" w:hAnsi="Times New Roman" w:cs="Times New Roman"/>
          <w:sz w:val="24"/>
          <w:szCs w:val="24"/>
        </w:rPr>
        <w:t>is now the owner thereof.</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these developments, the applicant persisted with his bid to have the cancellation of his lease set aside. Again, he suffered the consequences of wrong advice from his new legal practitioners. Whilst this time around they had properly advise</w:t>
      </w:r>
      <w:r>
        <w:rPr>
          <w:rFonts w:ascii="Times New Roman" w:hAnsi="Times New Roman" w:cs="Times New Roman"/>
          <w:sz w:val="24"/>
          <w:szCs w:val="24"/>
        </w:rPr>
        <w:t xml:space="preserve">d him to challenge the cancellation of the lease, they adopted the wrong procedure. The consequence was a </w:t>
      </w:r>
      <w:r>
        <w:rPr>
          <w:rFonts w:ascii="Times New Roman" w:hAnsi="Times New Roman" w:cs="Times New Roman"/>
          <w:sz w:val="24"/>
          <w:szCs w:val="24"/>
        </w:rPr>
        <w:lastRenderedPageBreak/>
        <w:t>dismissal of his application for a declaratory order by the High Court, which was subsequently corrected to an order striking off the improper applica</w:t>
      </w:r>
      <w:r>
        <w:rPr>
          <w:rFonts w:ascii="Times New Roman" w:hAnsi="Times New Roman" w:cs="Times New Roman"/>
          <w:sz w:val="24"/>
          <w:szCs w:val="24"/>
        </w:rPr>
        <w:t xml:space="preserve">tion. </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Realising he was way out of time to file the correct application, being an application for review, the applicant then filed the instant application, wherein he seeks  condonation for the delay. By the time he filed the application for condonation, h</w:t>
      </w:r>
      <w:r>
        <w:rPr>
          <w:rFonts w:ascii="Times New Roman" w:hAnsi="Times New Roman" w:cs="Times New Roman"/>
          <w:sz w:val="24"/>
          <w:szCs w:val="24"/>
        </w:rPr>
        <w:t xml:space="preserve">e had exceeded the </w:t>
      </w:r>
      <w:r>
        <w:rPr>
          <w:rFonts w:ascii="Times New Roman" w:hAnsi="Times New Roman" w:cs="Times New Roman"/>
          <w:i/>
          <w:sz w:val="24"/>
          <w:szCs w:val="24"/>
        </w:rPr>
        <w:t>dies induciae</w:t>
      </w:r>
      <w:r>
        <w:rPr>
          <w:rFonts w:ascii="Times New Roman" w:hAnsi="Times New Roman" w:cs="Times New Roman"/>
          <w:sz w:val="24"/>
          <w:szCs w:val="24"/>
        </w:rPr>
        <w:t xml:space="preserve"> by a staggering 58 months. That is 2 months shy of 5 years. That is almost half a decade.   </w:t>
      </w:r>
    </w:p>
    <w:p w:rsidR="00A33392" w:rsidRDefault="00E235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factors taken into account in an application of this nature are well set out in the cases. They include:</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degree of non-com</w:t>
      </w:r>
      <w:r>
        <w:rPr>
          <w:rFonts w:ascii="Times New Roman" w:hAnsi="Times New Roman" w:cs="Times New Roman"/>
          <w:sz w:val="24"/>
          <w:szCs w:val="24"/>
        </w:rPr>
        <w:t>pliance or length of the delay.</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delay.</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on the merits</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importance of the case to the parties</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convenience of the court</w:t>
      </w:r>
    </w:p>
    <w:p w:rsidR="00A33392" w:rsidRDefault="00E235C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avoidance of unnecessary delays in the administration of justice</w:t>
      </w:r>
    </w:p>
    <w:p w:rsidR="00A33392" w:rsidRDefault="00E235CD">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 Kodzwa </w:t>
      </w:r>
      <w:r>
        <w:rPr>
          <w:rFonts w:ascii="Times New Roman" w:hAnsi="Times New Roman" w:cs="Times New Roman"/>
          <w:sz w:val="24"/>
          <w:szCs w:val="24"/>
        </w:rPr>
        <w:t>v</w:t>
      </w:r>
      <w:r>
        <w:rPr>
          <w:rFonts w:ascii="Times New Roman" w:hAnsi="Times New Roman" w:cs="Times New Roman"/>
          <w:i/>
          <w:sz w:val="24"/>
          <w:szCs w:val="24"/>
        </w:rPr>
        <w:t xml:space="preserve"> Secretar</w:t>
      </w:r>
      <w:r>
        <w:rPr>
          <w:rFonts w:ascii="Times New Roman" w:hAnsi="Times New Roman" w:cs="Times New Roman"/>
          <w:i/>
          <w:sz w:val="24"/>
          <w:szCs w:val="24"/>
        </w:rPr>
        <w:t>y for Health</w:t>
      </w:r>
      <w:r>
        <w:rPr>
          <w:rFonts w:ascii="Times New Roman" w:hAnsi="Times New Roman" w:cs="Times New Roman"/>
          <w:sz w:val="24"/>
          <w:szCs w:val="24"/>
        </w:rPr>
        <w:t xml:space="preserve"> 1999 (1) ZLR 313 (S) , </w:t>
      </w:r>
      <w:r>
        <w:rPr>
          <w:rFonts w:ascii="Times New Roman" w:hAnsi="Times New Roman" w:cs="Times New Roman"/>
          <w:i/>
          <w:sz w:val="24"/>
          <w:szCs w:val="24"/>
        </w:rPr>
        <w:t xml:space="preserve">Bishi </w:t>
      </w:r>
      <w:r>
        <w:rPr>
          <w:rFonts w:ascii="Times New Roman" w:hAnsi="Times New Roman" w:cs="Times New Roman"/>
          <w:sz w:val="24"/>
          <w:szCs w:val="24"/>
        </w:rPr>
        <w:t>v</w:t>
      </w:r>
      <w:r>
        <w:rPr>
          <w:rFonts w:ascii="Times New Roman" w:hAnsi="Times New Roman" w:cs="Times New Roman"/>
          <w:i/>
          <w:sz w:val="24"/>
          <w:szCs w:val="24"/>
        </w:rPr>
        <w:t xml:space="preserve">  Secretary for Education</w:t>
      </w:r>
      <w:r>
        <w:rPr>
          <w:rFonts w:ascii="Times New Roman" w:hAnsi="Times New Roman" w:cs="Times New Roman"/>
          <w:sz w:val="24"/>
          <w:szCs w:val="24"/>
        </w:rPr>
        <w:t xml:space="preserve"> 1989 (2) ZLR 240 (H),</w:t>
      </w:r>
      <w:r>
        <w:rPr>
          <w:rFonts w:ascii="Times New Roman" w:hAnsi="Times New Roman" w:cs="Times New Roman"/>
          <w:i/>
          <w:sz w:val="24"/>
          <w:szCs w:val="24"/>
        </w:rPr>
        <w:t xml:space="preserve"> Tshova Mubaiwa Transport Co-operative Ltd &amp;Ors </w:t>
      </w:r>
      <w:r>
        <w:rPr>
          <w:rFonts w:ascii="Times New Roman" w:hAnsi="Times New Roman" w:cs="Times New Roman"/>
          <w:sz w:val="24"/>
          <w:szCs w:val="24"/>
        </w:rPr>
        <w:t>v</w:t>
      </w:r>
      <w:r>
        <w:rPr>
          <w:rFonts w:ascii="Times New Roman" w:hAnsi="Times New Roman" w:cs="Times New Roman"/>
          <w:i/>
          <w:sz w:val="24"/>
          <w:szCs w:val="24"/>
        </w:rPr>
        <w:t xml:space="preserve"> Mpofu &amp; Ors</w:t>
      </w:r>
      <w:r>
        <w:rPr>
          <w:rFonts w:ascii="Times New Roman" w:hAnsi="Times New Roman" w:cs="Times New Roman"/>
          <w:sz w:val="24"/>
          <w:szCs w:val="24"/>
        </w:rPr>
        <w:t xml:space="preserve"> HB 167/04,</w:t>
      </w:r>
      <w:r>
        <w:rPr>
          <w:rFonts w:ascii="Times New Roman" w:hAnsi="Times New Roman" w:cs="Times New Roman"/>
          <w:i/>
          <w:sz w:val="24"/>
          <w:szCs w:val="24"/>
        </w:rPr>
        <w:t xml:space="preserve"> United Plant Hire (Pty) Ltd </w:t>
      </w:r>
      <w:r>
        <w:rPr>
          <w:rFonts w:ascii="Times New Roman" w:hAnsi="Times New Roman" w:cs="Times New Roman"/>
          <w:sz w:val="24"/>
          <w:szCs w:val="24"/>
        </w:rPr>
        <w:t>v</w:t>
      </w:r>
      <w:r>
        <w:rPr>
          <w:rFonts w:ascii="Times New Roman" w:hAnsi="Times New Roman" w:cs="Times New Roman"/>
          <w:i/>
          <w:sz w:val="24"/>
          <w:szCs w:val="24"/>
        </w:rPr>
        <w:t xml:space="preserve"> Hills &amp; Ors</w:t>
      </w:r>
      <w:r>
        <w:rPr>
          <w:rFonts w:ascii="Times New Roman" w:hAnsi="Times New Roman" w:cs="Times New Roman"/>
          <w:sz w:val="24"/>
          <w:szCs w:val="24"/>
        </w:rPr>
        <w:t xml:space="preserve"> 1976 (1)SA 717,</w:t>
      </w:r>
      <w:r>
        <w:rPr>
          <w:rFonts w:ascii="Times New Roman" w:hAnsi="Times New Roman" w:cs="Times New Roman"/>
          <w:i/>
          <w:sz w:val="24"/>
          <w:szCs w:val="24"/>
        </w:rPr>
        <w:t xml:space="preserve">Ndebele </w:t>
      </w:r>
      <w:r>
        <w:rPr>
          <w:rFonts w:ascii="Times New Roman" w:hAnsi="Times New Roman" w:cs="Times New Roman"/>
          <w:sz w:val="24"/>
          <w:szCs w:val="24"/>
        </w:rPr>
        <w:t>v</w:t>
      </w:r>
      <w:r>
        <w:rPr>
          <w:rFonts w:ascii="Times New Roman" w:hAnsi="Times New Roman" w:cs="Times New Roman"/>
          <w:i/>
          <w:sz w:val="24"/>
          <w:szCs w:val="24"/>
        </w:rPr>
        <w:t xml:space="preserve"> Ncube</w:t>
      </w:r>
      <w:r>
        <w:rPr>
          <w:rFonts w:ascii="Times New Roman" w:hAnsi="Times New Roman" w:cs="Times New Roman"/>
          <w:sz w:val="24"/>
          <w:szCs w:val="24"/>
        </w:rPr>
        <w:t xml:space="preserve"> 1992 (1) ZLR 288 (S)</w:t>
      </w:r>
      <w:r>
        <w:rPr>
          <w:rFonts w:ascii="Times New Roman" w:hAnsi="Times New Roman" w:cs="Times New Roman"/>
          <w:sz w:val="24"/>
          <w:szCs w:val="24"/>
        </w:rPr>
        <w:t>.</w:t>
      </w:r>
    </w:p>
    <w:p w:rsidR="00A33392" w:rsidRDefault="00E235C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as already indicated, the delay amounts to almost 5 years. That is no doubt an inordinate delay. It is not clear why Mr</w:t>
      </w:r>
      <w:r>
        <w:rPr>
          <w:rFonts w:ascii="Times New Roman" w:hAnsi="Times New Roman" w:cs="Times New Roman"/>
          <w:i/>
          <w:sz w:val="24"/>
          <w:szCs w:val="24"/>
        </w:rPr>
        <w:t xml:space="preserve"> Mubaiwa</w:t>
      </w:r>
      <w:r>
        <w:rPr>
          <w:rFonts w:ascii="Times New Roman" w:hAnsi="Times New Roman" w:cs="Times New Roman"/>
          <w:sz w:val="24"/>
          <w:szCs w:val="24"/>
        </w:rPr>
        <w:t>, on behalf of the applicant, kept on averring that the delay was not an issue.  Neither was the explanation therefor.</w:t>
      </w:r>
      <w:r>
        <w:rPr>
          <w:rFonts w:ascii="Times New Roman" w:hAnsi="Times New Roman" w:cs="Times New Roman"/>
          <w:sz w:val="24"/>
          <w:szCs w:val="24"/>
        </w:rPr>
        <w:t xml:space="preserve"> Yet these are the issues at the very heart of this application.</w:t>
      </w:r>
    </w:p>
    <w:p w:rsidR="00A33392" w:rsidRDefault="00E235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countering these submissions, Mr</w:t>
      </w:r>
      <w:r>
        <w:rPr>
          <w:rFonts w:ascii="Times New Roman" w:hAnsi="Times New Roman" w:cs="Times New Roman"/>
          <w:i/>
          <w:sz w:val="24"/>
          <w:szCs w:val="24"/>
        </w:rPr>
        <w:t xml:space="preserve"> Muradzikwa</w:t>
      </w:r>
      <w:r>
        <w:rPr>
          <w:rFonts w:ascii="Times New Roman" w:hAnsi="Times New Roman" w:cs="Times New Roman"/>
          <w:sz w:val="24"/>
          <w:szCs w:val="24"/>
        </w:rPr>
        <w:t>, on behalf of the first respondent, remarked during oral argument:</w:t>
      </w:r>
    </w:p>
    <w:p w:rsidR="00A33392" w:rsidRDefault="00E235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It is not correct that the issue of delay is by consent. We totally disagree</w:t>
      </w:r>
      <w:r>
        <w:rPr>
          <w:rFonts w:ascii="Times New Roman" w:hAnsi="Times New Roman" w:cs="Times New Roman"/>
        </w:rPr>
        <w:t>.  We submitted that the delay was unreasonable as applicant was not a self-actor. He had the opinion of two legal practitioners......Applicant is the author of his own predicament.  The court ought to withhold the grant of condonation.”</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the</w:t>
      </w:r>
      <w:r>
        <w:rPr>
          <w:rFonts w:ascii="Times New Roman" w:hAnsi="Times New Roman" w:cs="Times New Roman"/>
          <w:sz w:val="24"/>
          <w:szCs w:val="24"/>
        </w:rPr>
        <w:t xml:space="preserve"> applicant was intent on downplaying the issue of the delay in this matter, which was gross by any stretch of the imagination.  He appeared to impute to the first respondent concessions he did not make. The applicant pushed his arguments more on the prospe</w:t>
      </w:r>
      <w:r>
        <w:rPr>
          <w:rFonts w:ascii="Times New Roman" w:hAnsi="Times New Roman" w:cs="Times New Roman"/>
          <w:sz w:val="24"/>
          <w:szCs w:val="24"/>
        </w:rPr>
        <w:t>cts of success, leaving him exposed and vulnerable on the question of the inordinate delay and the explanation for it.</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my view, this case turns largely on the question of whether the sins of a legal practitioner ought to be visited upon the client.  Gen</w:t>
      </w:r>
      <w:r>
        <w:rPr>
          <w:rFonts w:ascii="Times New Roman" w:hAnsi="Times New Roman" w:cs="Times New Roman"/>
          <w:sz w:val="24"/>
          <w:szCs w:val="24"/>
        </w:rPr>
        <w:t xml:space="preserve">erally, the courts are reluctant to punish litigants for the omissions of their legal practitioners. However, there is  a limit beyond which they will not excuse such omissions, or commissions for that matter.  The </w:t>
      </w:r>
      <w:r>
        <w:rPr>
          <w:rFonts w:ascii="Times New Roman" w:hAnsi="Times New Roman" w:cs="Times New Roman"/>
          <w:i/>
          <w:sz w:val="24"/>
          <w:szCs w:val="24"/>
        </w:rPr>
        <w:t>locus classicus</w:t>
      </w:r>
      <w:r>
        <w:rPr>
          <w:rFonts w:ascii="Times New Roman" w:hAnsi="Times New Roman" w:cs="Times New Roman"/>
          <w:sz w:val="24"/>
          <w:szCs w:val="24"/>
        </w:rPr>
        <w:t xml:space="preserve"> on this issue is the Sout</w:t>
      </w:r>
      <w:r>
        <w:rPr>
          <w:rFonts w:ascii="Times New Roman" w:hAnsi="Times New Roman" w:cs="Times New Roman"/>
          <w:sz w:val="24"/>
          <w:szCs w:val="24"/>
        </w:rPr>
        <w:t>h Arican case of</w:t>
      </w:r>
      <w:r>
        <w:rPr>
          <w:rFonts w:ascii="Times New Roman" w:hAnsi="Times New Roman" w:cs="Times New Roman"/>
          <w:i/>
          <w:sz w:val="24"/>
          <w:szCs w:val="24"/>
        </w:rPr>
        <w:t xml:space="preserve"> Salojee &amp;  Anor </w:t>
      </w:r>
      <w:r>
        <w:rPr>
          <w:rFonts w:ascii="Times New Roman" w:hAnsi="Times New Roman" w:cs="Times New Roman"/>
          <w:sz w:val="24"/>
          <w:szCs w:val="24"/>
        </w:rPr>
        <w:t>v</w:t>
      </w:r>
      <w:r>
        <w:rPr>
          <w:rFonts w:ascii="Times New Roman" w:hAnsi="Times New Roman" w:cs="Times New Roman"/>
          <w:i/>
          <w:sz w:val="24"/>
          <w:szCs w:val="24"/>
        </w:rPr>
        <w:t xml:space="preserve"> Minister of Community </w:t>
      </w:r>
      <w:r>
        <w:rPr>
          <w:rFonts w:ascii="Times New Roman" w:hAnsi="Times New Roman" w:cs="Times New Roman"/>
          <w:sz w:val="24"/>
          <w:szCs w:val="24"/>
        </w:rPr>
        <w:t xml:space="preserve">Development 1965 (2)SA 135 (A).  The often quoted remarks of </w:t>
      </w:r>
      <w:r>
        <w:rPr>
          <w:rFonts w:ascii="Times New Roman" w:hAnsi="Times New Roman" w:cs="Times New Roman"/>
          <w:smallCaps/>
          <w:sz w:val="24"/>
          <w:szCs w:val="24"/>
        </w:rPr>
        <w:t>steyn</w:t>
      </w:r>
      <w:r>
        <w:rPr>
          <w:rFonts w:ascii="Times New Roman" w:hAnsi="Times New Roman" w:cs="Times New Roman"/>
          <w:sz w:val="24"/>
          <w:szCs w:val="24"/>
        </w:rPr>
        <w:t xml:space="preserve"> CJ are instructive. The learned Chief Justice remarked, at p141 C-E:</w:t>
      </w:r>
    </w:p>
    <w:p w:rsidR="00A33392" w:rsidRDefault="00E235C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There is a limit beyond which a litigant cannot escape the res</w:t>
      </w:r>
      <w:r>
        <w:rPr>
          <w:rFonts w:ascii="Times New Roman" w:hAnsi="Times New Roman" w:cs="Times New Roman"/>
        </w:rPr>
        <w:t>ult of his attorney’s lack of diligence or the insufficiency of the explanation tendered. To hold otherwise might have the disastrous effect upon the observance of the Rules of this Court. Consideration</w:t>
      </w:r>
      <w:r>
        <w:rPr>
          <w:rFonts w:ascii="Times New Roman" w:hAnsi="Times New Roman" w:cs="Times New Roman"/>
          <w:i/>
        </w:rPr>
        <w:t xml:space="preserve"> ad misericordiam</w:t>
      </w:r>
      <w:r>
        <w:rPr>
          <w:rFonts w:ascii="Times New Roman" w:hAnsi="Times New Roman" w:cs="Times New Roman"/>
        </w:rPr>
        <w:t xml:space="preserve"> should not be allowed to become an i</w:t>
      </w:r>
      <w:r>
        <w:rPr>
          <w:rFonts w:ascii="Times New Roman" w:hAnsi="Times New Roman" w:cs="Times New Roman"/>
        </w:rPr>
        <w:t>nvitation to laxity. In fact, this Court has lately been burdened  with an undue and increasing number of applications for condonation in which the failure to comply with the Rules of this Court  was due to neglect on the part of the attorney. The attorney</w:t>
      </w:r>
      <w:r>
        <w:rPr>
          <w:rFonts w:ascii="Times New Roman" w:hAnsi="Times New Roman" w:cs="Times New Roman"/>
        </w:rPr>
        <w:t xml:space="preserve"> is after all the representative whom the litigant has chosen for himself and there is little reason why in regard to condonation of a failure to comply with a Rule of court, the litigant should be absolved from  the normal consequence of such a relationsh</w:t>
      </w:r>
      <w:r>
        <w:rPr>
          <w:rFonts w:ascii="Times New Roman" w:hAnsi="Times New Roman" w:cs="Times New Roman"/>
        </w:rPr>
        <w:t>ip no matter what the circumstances of the failure are.”</w:t>
      </w:r>
    </w:p>
    <w:p w:rsidR="00A33392" w:rsidRDefault="00E235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approach has been followed in our courts.  In the matter of</w:t>
      </w:r>
      <w:r>
        <w:rPr>
          <w:rFonts w:ascii="Times New Roman" w:hAnsi="Times New Roman" w:cs="Times New Roman"/>
          <w:i/>
          <w:sz w:val="24"/>
          <w:szCs w:val="24"/>
        </w:rPr>
        <w:t xml:space="preserve"> Bishi </w:t>
      </w:r>
      <w:r>
        <w:rPr>
          <w:rFonts w:ascii="Times New Roman" w:hAnsi="Times New Roman" w:cs="Times New Roman"/>
          <w:sz w:val="24"/>
          <w:szCs w:val="24"/>
        </w:rPr>
        <w:t>v</w:t>
      </w:r>
      <w:r>
        <w:rPr>
          <w:rFonts w:ascii="Times New Roman" w:hAnsi="Times New Roman" w:cs="Times New Roman"/>
          <w:i/>
          <w:sz w:val="24"/>
          <w:szCs w:val="24"/>
        </w:rPr>
        <w:t xml:space="preserve"> Secretary for Education</w:t>
      </w:r>
      <w:r>
        <w:rPr>
          <w:rFonts w:ascii="Times New Roman" w:hAnsi="Times New Roman" w:cs="Times New Roman"/>
          <w:sz w:val="24"/>
          <w:szCs w:val="24"/>
        </w:rPr>
        <w:t>, supra</w:t>
      </w:r>
      <w:r>
        <w:rPr>
          <w:rFonts w:ascii="Times New Roman" w:hAnsi="Times New Roman" w:cs="Times New Roman"/>
          <w:i/>
          <w:sz w:val="24"/>
          <w:szCs w:val="24"/>
        </w:rPr>
        <w:t xml:space="preserve">, </w:t>
      </w:r>
      <w:r>
        <w:rPr>
          <w:rFonts w:ascii="Times New Roman" w:hAnsi="Times New Roman" w:cs="Times New Roman"/>
          <w:smallCaps/>
          <w:sz w:val="24"/>
          <w:szCs w:val="24"/>
        </w:rPr>
        <w:t>chidyausiku</w:t>
      </w:r>
      <w:r>
        <w:rPr>
          <w:rFonts w:ascii="Times New Roman" w:hAnsi="Times New Roman" w:cs="Times New Roman"/>
          <w:sz w:val="24"/>
          <w:szCs w:val="24"/>
        </w:rPr>
        <w:t xml:space="preserve"> J (as he then was) referred to the case of S v Mc Nab 1986 (2) ZLR 280 (S) in which the above remarks by </w:t>
      </w:r>
      <w:r>
        <w:rPr>
          <w:rFonts w:ascii="Times New Roman" w:hAnsi="Times New Roman" w:cs="Times New Roman"/>
          <w:smallCaps/>
          <w:sz w:val="24"/>
          <w:szCs w:val="24"/>
        </w:rPr>
        <w:t>steyn</w:t>
      </w:r>
      <w:r>
        <w:rPr>
          <w:rFonts w:ascii="Times New Roman" w:hAnsi="Times New Roman" w:cs="Times New Roman"/>
          <w:sz w:val="24"/>
          <w:szCs w:val="24"/>
        </w:rPr>
        <w:t xml:space="preserve"> CJ were cited with approval..  In that case ( </w:t>
      </w:r>
      <w:r>
        <w:rPr>
          <w:rFonts w:ascii="Times New Roman" w:hAnsi="Times New Roman" w:cs="Times New Roman"/>
          <w:i/>
          <w:sz w:val="24"/>
          <w:szCs w:val="24"/>
        </w:rPr>
        <w:t xml:space="preserve">Bshi </w:t>
      </w:r>
      <w:r>
        <w:rPr>
          <w:rFonts w:ascii="Times New Roman" w:hAnsi="Times New Roman" w:cs="Times New Roman"/>
          <w:sz w:val="24"/>
          <w:szCs w:val="24"/>
        </w:rPr>
        <w:t xml:space="preserve">v </w:t>
      </w:r>
      <w:r>
        <w:rPr>
          <w:rFonts w:ascii="Times New Roman" w:hAnsi="Times New Roman" w:cs="Times New Roman"/>
          <w:i/>
          <w:sz w:val="24"/>
          <w:szCs w:val="24"/>
        </w:rPr>
        <w:t>Secretary for Education</w:t>
      </w:r>
      <w:r>
        <w:rPr>
          <w:rFonts w:ascii="Times New Roman" w:hAnsi="Times New Roman" w:cs="Times New Roman"/>
          <w:sz w:val="24"/>
          <w:szCs w:val="24"/>
        </w:rPr>
        <w:t xml:space="preserve">), a delay of 18 months, largely caused by the lawyers’ negligence, </w:t>
      </w:r>
      <w:r>
        <w:rPr>
          <w:rFonts w:ascii="Times New Roman" w:hAnsi="Times New Roman" w:cs="Times New Roman"/>
          <w:sz w:val="24"/>
          <w:szCs w:val="24"/>
        </w:rPr>
        <w:t>was considered inordinate. The learned judge stated, at p243 C-D and G-H:</w:t>
      </w:r>
    </w:p>
    <w:p w:rsidR="00A33392" w:rsidRDefault="00E235C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degree of non-compliance with the requirements of the rule in his case is considerable. A review has to be commenced within 8 weeks. In the present case about 18 months elapsed </w:t>
      </w:r>
      <w:r>
        <w:rPr>
          <w:rFonts w:ascii="Times New Roman" w:hAnsi="Times New Roman" w:cs="Times New Roman"/>
        </w:rPr>
        <w:t>after the review should have been launched. A delay of 18 months is clearly inordinate.......</w:t>
      </w:r>
    </w:p>
    <w:p w:rsidR="00A33392" w:rsidRDefault="00E235CD">
      <w:pPr>
        <w:spacing w:after="0" w:line="240" w:lineRule="auto"/>
        <w:ind w:left="720"/>
        <w:jc w:val="both"/>
        <w:rPr>
          <w:rFonts w:ascii="Times New Roman" w:hAnsi="Times New Roman" w:cs="Times New Roman"/>
        </w:rPr>
      </w:pPr>
      <w:r>
        <w:rPr>
          <w:rFonts w:ascii="Times New Roman" w:hAnsi="Times New Roman" w:cs="Times New Roman"/>
        </w:rPr>
        <w:t xml:space="preserve">The delay was almost entirely caused by the applicant’s legal practitioner. Courts are very reluctant to visit the client with the sins of his legal practitioner </w:t>
      </w:r>
      <w:r>
        <w:rPr>
          <w:rFonts w:ascii="Times New Roman" w:hAnsi="Times New Roman" w:cs="Times New Roman"/>
        </w:rPr>
        <w:t xml:space="preserve">but there has to be a limit beyond which the court will not go. This was the view expressed by no less authority than our Supreme Court in the not so recent case of </w:t>
      </w:r>
      <w:r>
        <w:rPr>
          <w:rFonts w:ascii="Times New Roman" w:hAnsi="Times New Roman" w:cs="Times New Roman"/>
          <w:i/>
        </w:rPr>
        <w:t xml:space="preserve">S </w:t>
      </w:r>
      <w:r>
        <w:rPr>
          <w:rFonts w:ascii="Times New Roman" w:hAnsi="Times New Roman" w:cs="Times New Roman"/>
        </w:rPr>
        <w:t>v</w:t>
      </w:r>
      <w:r>
        <w:rPr>
          <w:rFonts w:ascii="Times New Roman" w:hAnsi="Times New Roman" w:cs="Times New Roman"/>
          <w:i/>
        </w:rPr>
        <w:t xml:space="preserve"> McNab</w:t>
      </w:r>
      <w:r>
        <w:rPr>
          <w:rFonts w:ascii="Times New Roman" w:hAnsi="Times New Roman" w:cs="Times New Roman"/>
        </w:rPr>
        <w:t xml:space="preserve"> 1986(2) ZLR 280.” </w:t>
      </w:r>
    </w:p>
    <w:p w:rsidR="00A33392" w:rsidRDefault="00A33392">
      <w:pPr>
        <w:spacing w:after="0" w:line="240" w:lineRule="auto"/>
        <w:ind w:left="720"/>
        <w:jc w:val="both"/>
        <w:rPr>
          <w:rFonts w:ascii="Times New Roman" w:hAnsi="Times New Roman" w:cs="Times New Roman"/>
        </w:rPr>
      </w:pPr>
    </w:p>
    <w:p w:rsidR="00A33392" w:rsidRDefault="00E235C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the applicant received the letter cancelling his lea</w:t>
      </w:r>
      <w:r>
        <w:rPr>
          <w:rFonts w:ascii="Times New Roman" w:hAnsi="Times New Roman" w:cs="Times New Roman"/>
          <w:sz w:val="24"/>
          <w:szCs w:val="24"/>
        </w:rPr>
        <w:t xml:space="preserve">se in October 2016. Needless to say, it was clearly bad news. He had up to December 2016 to file an application for review challenging that cancellation. In para 1.5 of his founding affidavit, the applicant recognises the predicament he placed himself. He </w:t>
      </w:r>
      <w:r>
        <w:rPr>
          <w:rFonts w:ascii="Times New Roman" w:hAnsi="Times New Roman" w:cs="Times New Roman"/>
          <w:sz w:val="24"/>
          <w:szCs w:val="24"/>
        </w:rPr>
        <w:t>states:</w:t>
      </w:r>
    </w:p>
    <w:p w:rsidR="00A33392" w:rsidRDefault="00E235C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First respondent cancelled the lease sometime in October 2016. As I shall soon show, this is a position he accepts on record. The eight weeks within which I was entitled to seek a review of the decision expired in December 2016. I am accordingly out of tim</w:t>
      </w:r>
      <w:r>
        <w:rPr>
          <w:rFonts w:ascii="Times New Roman" w:hAnsi="Times New Roman" w:cs="Times New Roman"/>
        </w:rPr>
        <w:t xml:space="preserve">e by some 58 months.” </w:t>
      </w:r>
    </w:p>
    <w:p w:rsidR="00A33392" w:rsidRDefault="00A33392">
      <w:pPr>
        <w:spacing w:after="0" w:line="240" w:lineRule="auto"/>
        <w:ind w:left="720"/>
        <w:jc w:val="both"/>
        <w:rPr>
          <w:rFonts w:ascii="Times New Roman" w:hAnsi="Times New Roman" w:cs="Times New Roman"/>
        </w:rPr>
      </w:pP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 1.6, the applicant describes the delay as “</w:t>
      </w:r>
      <w:r>
        <w:rPr>
          <w:rFonts w:ascii="Times New Roman" w:hAnsi="Times New Roman" w:cs="Times New Roman"/>
          <w:i/>
          <w:sz w:val="24"/>
          <w:szCs w:val="24"/>
        </w:rPr>
        <w:t>considerable</w:t>
      </w:r>
      <w:r>
        <w:rPr>
          <w:rFonts w:ascii="Times New Roman" w:hAnsi="Times New Roman" w:cs="Times New Roman"/>
          <w:sz w:val="24"/>
          <w:szCs w:val="24"/>
        </w:rPr>
        <w:t xml:space="preserve">”. This is an understatement. The delay is beyond considerable. This description would perhaps suit a delay </w:t>
      </w:r>
      <w:r>
        <w:rPr>
          <w:rFonts w:ascii="Times New Roman" w:hAnsi="Times New Roman" w:cs="Times New Roman"/>
          <w:sz w:val="24"/>
          <w:szCs w:val="24"/>
        </w:rPr>
        <w:lastRenderedPageBreak/>
        <w:t>of about 12 months. There have been some exceptional cases wh</w:t>
      </w:r>
      <w:r>
        <w:rPr>
          <w:rFonts w:ascii="Times New Roman" w:hAnsi="Times New Roman" w:cs="Times New Roman"/>
          <w:sz w:val="24"/>
          <w:szCs w:val="24"/>
        </w:rPr>
        <w:t>ere 12 to 18 months delays have been condoned.  Going beyond that would be really overstretching the court’s indulgence. It would be in the most compelling and exceptional circumstances that such indulgence will be granted. In my view, the circumstances of</w:t>
      </w:r>
      <w:r>
        <w:rPr>
          <w:rFonts w:ascii="Times New Roman" w:hAnsi="Times New Roman" w:cs="Times New Roman"/>
          <w:sz w:val="24"/>
          <w:szCs w:val="24"/>
        </w:rPr>
        <w:t xml:space="preserve"> this matter do not fall under this category. </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lawyers for the applicant took the wrong course of action, on both occasions as already indicated.  The applicant, on his part, adopted a disturbingly naive and lackadaisical approach. I say so especially </w:t>
      </w:r>
      <w:r>
        <w:rPr>
          <w:rFonts w:ascii="Times New Roman" w:hAnsi="Times New Roman" w:cs="Times New Roman"/>
          <w:sz w:val="24"/>
          <w:szCs w:val="24"/>
        </w:rPr>
        <w:t>with regard to the first instance, after he received the letter of cancellation of the lease agreement.  That was the genesis of all his woes. Notwithstanding the advice he got from the lawyers, it was the height of naivety to sit on such a letter and trea</w:t>
      </w:r>
      <w:r>
        <w:rPr>
          <w:rFonts w:ascii="Times New Roman" w:hAnsi="Times New Roman" w:cs="Times New Roman"/>
          <w:sz w:val="24"/>
          <w:szCs w:val="24"/>
        </w:rPr>
        <w:t>t it as something of no consequence. The letter was clearly and effectively ending his relationship with his landlord.  His behaviour is akin to that of a person who continues to stay at home in unbearable pain, simply because a medical practitioner has to</w:t>
      </w:r>
      <w:r>
        <w:rPr>
          <w:rFonts w:ascii="Times New Roman" w:hAnsi="Times New Roman" w:cs="Times New Roman"/>
          <w:sz w:val="24"/>
          <w:szCs w:val="24"/>
        </w:rPr>
        <w:t>ld him there is nothing wrong with his condition. It will not take long for a reasonable person, placed in a similar situation, to recognise that there is something seriously wrong with the advice he has been given. The applicant is not a simple and unsoph</w:t>
      </w:r>
      <w:r>
        <w:rPr>
          <w:rFonts w:ascii="Times New Roman" w:hAnsi="Times New Roman" w:cs="Times New Roman"/>
          <w:sz w:val="24"/>
          <w:szCs w:val="24"/>
        </w:rPr>
        <w:t>isticated farm worker. He is a businessman supposedly used to making massive investments, going by what he claims he wanted to do on the property in question.</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Kodzwa</w:t>
      </w:r>
      <w:r>
        <w:rPr>
          <w:rFonts w:ascii="Times New Roman" w:hAnsi="Times New Roman" w:cs="Times New Roman"/>
          <w:sz w:val="24"/>
          <w:szCs w:val="24"/>
        </w:rPr>
        <w:t xml:space="preserve"> v</w:t>
      </w:r>
      <w:r>
        <w:rPr>
          <w:rFonts w:ascii="Times New Roman" w:hAnsi="Times New Roman" w:cs="Times New Roman"/>
          <w:i/>
          <w:sz w:val="24"/>
          <w:szCs w:val="24"/>
        </w:rPr>
        <w:t xml:space="preserve"> Secretary for Health</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xml:space="preserve"> </w:t>
      </w:r>
      <w:r>
        <w:rPr>
          <w:rFonts w:ascii="Times New Roman" w:hAnsi="Times New Roman" w:cs="Times New Roman"/>
          <w:smallCaps/>
          <w:sz w:val="24"/>
          <w:szCs w:val="24"/>
        </w:rPr>
        <w:t>sandura</w:t>
      </w:r>
      <w:r>
        <w:rPr>
          <w:rFonts w:ascii="Times New Roman" w:hAnsi="Times New Roman" w:cs="Times New Roman"/>
          <w:sz w:val="24"/>
          <w:szCs w:val="24"/>
        </w:rPr>
        <w:t xml:space="preserve"> JA stated that if the delay is inordinate and the</w:t>
      </w:r>
      <w:r>
        <w:rPr>
          <w:rFonts w:ascii="Times New Roman" w:hAnsi="Times New Roman" w:cs="Times New Roman"/>
          <w:sz w:val="24"/>
          <w:szCs w:val="24"/>
        </w:rPr>
        <w:t xml:space="preserve"> explanation for it poor, condonation may be refused irrespective of the merits of the main matter. The learned judge of appeal stated, at p315:</w:t>
      </w:r>
    </w:p>
    <w:p w:rsidR="00A33392" w:rsidRDefault="00E235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therefore, well established that the court has a discrerin to grant condonation when the principles of </w:t>
      </w:r>
      <w:r>
        <w:rPr>
          <w:rFonts w:ascii="Times New Roman" w:hAnsi="Times New Roman" w:cs="Times New Roman"/>
          <w:sz w:val="24"/>
          <w:szCs w:val="24"/>
        </w:rPr>
        <w:t xml:space="preserve">justice and fair play demand it, and when the reasons for non-compliance with the rules have been explained by the applicant/appellant to the satisfaction of the court. The principles applicable are the same, whether one is dealing with an application for </w:t>
      </w:r>
      <w:r>
        <w:rPr>
          <w:rFonts w:ascii="Times New Roman" w:hAnsi="Times New Roman" w:cs="Times New Roman"/>
          <w:sz w:val="24"/>
          <w:szCs w:val="24"/>
        </w:rPr>
        <w:t>condonation of failure to file an application for review timeously or to note an appeal timeously.</w:t>
      </w:r>
    </w:p>
    <w:p w:rsidR="00A33392" w:rsidRDefault="00E235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Whilst the presence of reasonable prospects of success on appeal is an important consideration which is relevant to the granting of condonation, it is not ne</w:t>
      </w:r>
      <w:r>
        <w:rPr>
          <w:rFonts w:ascii="Times New Roman" w:hAnsi="Times New Roman" w:cs="Times New Roman"/>
          <w:sz w:val="24"/>
          <w:szCs w:val="24"/>
        </w:rPr>
        <w:t>cessarily decisive. Thus in the case of a flagrant breach of the rules, particularly where there is no acceptable explanation for it, the indulgence of condonation may be refused, whatever the merits of the appeal may be. This was made clear by Muller JA i</w:t>
      </w:r>
      <w:r>
        <w:rPr>
          <w:rFonts w:ascii="Times New Roman" w:hAnsi="Times New Roman" w:cs="Times New Roman"/>
          <w:sz w:val="24"/>
          <w:szCs w:val="24"/>
        </w:rPr>
        <w:t xml:space="preserve">n </w:t>
      </w:r>
      <w:r>
        <w:rPr>
          <w:rFonts w:ascii="Times New Roman" w:hAnsi="Times New Roman" w:cs="Times New Roman"/>
          <w:i/>
          <w:sz w:val="24"/>
          <w:szCs w:val="24"/>
        </w:rPr>
        <w:t xml:space="preserve">P E Bosman Transport Works Committee &amp; Ors </w:t>
      </w:r>
      <w:r>
        <w:rPr>
          <w:rFonts w:ascii="Times New Roman" w:hAnsi="Times New Roman" w:cs="Times New Roman"/>
          <w:sz w:val="24"/>
          <w:szCs w:val="24"/>
        </w:rPr>
        <w:t>v</w:t>
      </w:r>
      <w:r>
        <w:rPr>
          <w:rFonts w:ascii="Times New Roman" w:hAnsi="Times New Roman" w:cs="Times New Roman"/>
          <w:i/>
          <w:sz w:val="24"/>
          <w:szCs w:val="24"/>
        </w:rPr>
        <w:t xml:space="preserve"> Piet Bosman Transport (Pty) Ltd</w:t>
      </w:r>
      <w:r>
        <w:rPr>
          <w:rFonts w:ascii="Times New Roman" w:hAnsi="Times New Roman" w:cs="Times New Roman"/>
          <w:sz w:val="24"/>
          <w:szCs w:val="24"/>
        </w:rPr>
        <w:t xml:space="preserve"> 1980 (4) SA 794 (A) at 799 D-E, where the learned Judge of Appeal said:</w:t>
      </w:r>
    </w:p>
    <w:p w:rsidR="00A33392" w:rsidRDefault="00E235CD">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 a case such as the present, where there has been a flagrant breach of the rules of this court in more</w:t>
      </w:r>
      <w:r>
        <w:rPr>
          <w:rFonts w:ascii="Times New Roman" w:hAnsi="Times New Roman" w:cs="Times New Roman"/>
          <w:sz w:val="24"/>
          <w:szCs w:val="24"/>
        </w:rPr>
        <w:t xml:space="preserve"> than one respect, and where in addition there is no acceptable explanation for some periods of delay and, indeed, in respect of other periods of delay, no explanation at all, the application should, in my opinion, not be granted whatever the prospects of </w:t>
      </w:r>
      <w:r>
        <w:rPr>
          <w:rFonts w:ascii="Times New Roman" w:hAnsi="Times New Roman" w:cs="Times New Roman"/>
          <w:sz w:val="24"/>
          <w:szCs w:val="24"/>
        </w:rPr>
        <w:t>success may be.”</w:t>
      </w:r>
    </w:p>
    <w:p w:rsidR="00A33392" w:rsidRDefault="00A33392">
      <w:pPr>
        <w:spacing w:after="0" w:line="240" w:lineRule="auto"/>
        <w:ind w:left="1440"/>
        <w:jc w:val="both"/>
        <w:rPr>
          <w:rFonts w:ascii="Times New Roman" w:hAnsi="Times New Roman" w:cs="Times New Roman"/>
          <w:sz w:val="24"/>
          <w:szCs w:val="24"/>
        </w:rPr>
      </w:pP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present case is similarly afflicted. It fails on the first two hurdles, being the length of the delay and the explanation proffered. It must take the most compelling reasons to turn back the hand of time to a degree desired by the app</w:t>
      </w:r>
      <w:r>
        <w:rPr>
          <w:rFonts w:ascii="Times New Roman" w:hAnsi="Times New Roman" w:cs="Times New Roman"/>
          <w:sz w:val="24"/>
          <w:szCs w:val="24"/>
        </w:rPr>
        <w:t>licant. The merits must be overwhelmingly in his favour. That is not so in the circumstances. The papers filed of record show that as far back as 2009, there was a site visit by officials from the Chirundu Local Board and first respondent’s Department of P</w:t>
      </w:r>
      <w:r>
        <w:rPr>
          <w:rFonts w:ascii="Times New Roman" w:hAnsi="Times New Roman" w:cs="Times New Roman"/>
          <w:sz w:val="24"/>
          <w:szCs w:val="24"/>
        </w:rPr>
        <w:t>hysical Planning, being the responsible authorities. The authorities noted that the land was neglected and their findings were communicated to the applicant. So the cancellation that eventually followed was not a sudden and surprise move.</w:t>
      </w:r>
    </w:p>
    <w:p w:rsidR="00A33392" w:rsidRDefault="00E235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has to be a</w:t>
      </w:r>
      <w:r>
        <w:rPr>
          <w:rFonts w:ascii="Times New Roman" w:hAnsi="Times New Roman" w:cs="Times New Roman"/>
          <w:sz w:val="24"/>
          <w:szCs w:val="24"/>
        </w:rPr>
        <w:t xml:space="preserve"> point where litigation ends and parties thereto be allowed to move on with their respective lives. The applicant cannot seek to reverse the clock to half a decade ago. He was  the architect of his own demise. Apart from the ineptitude  of his attorneys, h</w:t>
      </w:r>
      <w:r>
        <w:rPr>
          <w:rFonts w:ascii="Times New Roman" w:hAnsi="Times New Roman" w:cs="Times New Roman"/>
          <w:sz w:val="24"/>
          <w:szCs w:val="24"/>
        </w:rPr>
        <w:t xml:space="preserve">is  conduct was far from diligent. He cannot expect the law to come to his aid well after sunset. In this regard, Mc </w:t>
      </w:r>
      <w:r>
        <w:rPr>
          <w:rFonts w:ascii="Times New Roman" w:hAnsi="Times New Roman" w:cs="Times New Roman"/>
          <w:smallCaps/>
          <w:sz w:val="24"/>
          <w:szCs w:val="24"/>
        </w:rPr>
        <w:t>nally</w:t>
      </w:r>
      <w:r>
        <w:rPr>
          <w:rFonts w:ascii="Times New Roman" w:hAnsi="Times New Roman" w:cs="Times New Roman"/>
          <w:sz w:val="24"/>
          <w:szCs w:val="24"/>
        </w:rPr>
        <w:t xml:space="preserve"> JA stated in </w:t>
      </w:r>
      <w:r>
        <w:rPr>
          <w:rFonts w:ascii="Times New Roman" w:hAnsi="Times New Roman" w:cs="Times New Roman"/>
          <w:i/>
          <w:sz w:val="24"/>
          <w:szCs w:val="24"/>
        </w:rPr>
        <w:t xml:space="preserve">Ndebele </w:t>
      </w:r>
      <w:r>
        <w:rPr>
          <w:rFonts w:ascii="Times New Roman" w:hAnsi="Times New Roman" w:cs="Times New Roman"/>
          <w:sz w:val="24"/>
          <w:szCs w:val="24"/>
        </w:rPr>
        <w:t>v</w:t>
      </w:r>
      <w:r>
        <w:rPr>
          <w:rFonts w:ascii="Times New Roman" w:hAnsi="Times New Roman" w:cs="Times New Roman"/>
          <w:i/>
          <w:sz w:val="24"/>
          <w:szCs w:val="24"/>
        </w:rPr>
        <w:t xml:space="preserve"> Ncube</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at p290 C-D:</w:t>
      </w:r>
    </w:p>
    <w:p w:rsidR="00A33392" w:rsidRDefault="00E235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It is the policy of law that there should be finality in litigation. On the other hand, one does not want to do injustice to litigants. But it must be observed that in recent years applications for rescission, for condonation, for leave to apply or appea</w:t>
      </w:r>
      <w:r>
        <w:rPr>
          <w:rFonts w:ascii="Times New Roman" w:hAnsi="Times New Roman" w:cs="Times New Roman"/>
          <w:sz w:val="24"/>
          <w:szCs w:val="24"/>
        </w:rPr>
        <w:t>l out of time and for other relief arising out of delays either by the individual or his lawyers have rocked in numbers. We are bombarded with excuses for failure to act. We are beginning to hear more appeals for charity than for justice. Incompetence is b</w:t>
      </w:r>
      <w:r>
        <w:rPr>
          <w:rFonts w:ascii="Times New Roman" w:hAnsi="Times New Roman" w:cs="Times New Roman"/>
          <w:sz w:val="24"/>
          <w:szCs w:val="24"/>
        </w:rPr>
        <w:t xml:space="preserve">ecoming a growth industry. Petty disputes are argued and then re- argued until the costs far exceed the capital amount in dispute. The time has come to remind the legal profession of the old adage, </w:t>
      </w:r>
      <w:r>
        <w:rPr>
          <w:rFonts w:ascii="Times New Roman" w:hAnsi="Times New Roman" w:cs="Times New Roman"/>
          <w:i/>
          <w:sz w:val="24"/>
          <w:szCs w:val="24"/>
        </w:rPr>
        <w:t>vigilantibus non dormientbus jura subveniunt</w:t>
      </w:r>
      <w:r>
        <w:rPr>
          <w:rFonts w:ascii="Times New Roman" w:hAnsi="Times New Roman" w:cs="Times New Roman"/>
          <w:sz w:val="24"/>
          <w:szCs w:val="24"/>
        </w:rPr>
        <w:t xml:space="preserve"> – roughly tra</w:t>
      </w:r>
      <w:r>
        <w:rPr>
          <w:rFonts w:ascii="Times New Roman" w:hAnsi="Times New Roman" w:cs="Times New Roman"/>
          <w:sz w:val="24"/>
          <w:szCs w:val="24"/>
        </w:rPr>
        <w:t xml:space="preserve">nslated; the law will help the vigilant but not the sluggard.” </w:t>
      </w:r>
    </w:p>
    <w:p w:rsidR="00A33392" w:rsidRDefault="00A33392">
      <w:pPr>
        <w:spacing w:after="0" w:line="240" w:lineRule="auto"/>
        <w:ind w:left="720"/>
        <w:jc w:val="both"/>
        <w:rPr>
          <w:rFonts w:ascii="Times New Roman" w:hAnsi="Times New Roman" w:cs="Times New Roman"/>
          <w:sz w:val="24"/>
          <w:szCs w:val="24"/>
        </w:rPr>
      </w:pPr>
    </w:p>
    <w:p w:rsidR="00A33392" w:rsidRDefault="00E235C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Turning to the instant case, it is my considered view that the application for condonation is hopelessly out of time. There is nothing that may be regarded as so exceptional and compelling to</w:t>
      </w:r>
      <w:r>
        <w:rPr>
          <w:rFonts w:ascii="Times New Roman" w:hAnsi="Times New Roman" w:cs="Times New Roman"/>
          <w:sz w:val="24"/>
          <w:szCs w:val="24"/>
        </w:rPr>
        <w:t xml:space="preserve"> warrant institution of an application for review that should have been filed five (5) years ago.  The indulgence of condonation cannot be granted in the circumstances. Both respondents have asked for costs on the higher scale of legal practitioner and cli</w:t>
      </w:r>
      <w:r>
        <w:rPr>
          <w:rFonts w:ascii="Times New Roman" w:hAnsi="Times New Roman" w:cs="Times New Roman"/>
          <w:sz w:val="24"/>
          <w:szCs w:val="24"/>
        </w:rPr>
        <w:t>ent. I do not think that is warranted. Whilst the application indeed stood on very shaky ground, it cannot be said that the applicant recklessly conducted litigation to call for the punitive scale of costs. It was a vehemently contested application. The ap</w:t>
      </w:r>
      <w:r>
        <w:rPr>
          <w:rFonts w:ascii="Times New Roman" w:hAnsi="Times New Roman" w:cs="Times New Roman"/>
          <w:sz w:val="24"/>
          <w:szCs w:val="24"/>
        </w:rPr>
        <w:t xml:space="preserve">plicant argued his case and lost. Costs should therefore be on the ordinary scale. </w:t>
      </w:r>
    </w:p>
    <w:p w:rsidR="00A33392" w:rsidRDefault="00E235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 the result, it is ordered that:</w:t>
      </w:r>
    </w:p>
    <w:p w:rsidR="00A33392" w:rsidRDefault="00E235C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condonation be and is hereby dismissed. </w:t>
      </w:r>
    </w:p>
    <w:p w:rsidR="00A33392" w:rsidRDefault="00E235C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applicant bears the respondent’s costs.</w:t>
      </w:r>
    </w:p>
    <w:p w:rsidR="00A33392" w:rsidRDefault="00A33392">
      <w:pPr>
        <w:jc w:val="both"/>
        <w:rPr>
          <w:rFonts w:ascii="Times New Roman" w:hAnsi="Times New Roman" w:cs="Times New Roman"/>
          <w:sz w:val="24"/>
          <w:szCs w:val="24"/>
        </w:rPr>
      </w:pPr>
    </w:p>
    <w:p w:rsidR="00A33392" w:rsidRDefault="00A33392"/>
    <w:p w:rsidR="00A33392" w:rsidRDefault="00A33392"/>
    <w:p w:rsidR="00A33392" w:rsidRDefault="00A33392">
      <w:pPr>
        <w:spacing w:after="0" w:line="240" w:lineRule="auto"/>
        <w:rPr>
          <w:rFonts w:ascii="Times New Roman" w:hAnsi="Times New Roman" w:cs="Times New Roman"/>
        </w:rPr>
      </w:pPr>
    </w:p>
    <w:p w:rsidR="00A33392" w:rsidRDefault="00E235CD">
      <w:pPr>
        <w:spacing w:after="0" w:line="240" w:lineRule="auto"/>
        <w:rPr>
          <w:rFonts w:ascii="Times New Roman" w:hAnsi="Times New Roman" w:cs="Times New Roman"/>
          <w:i/>
        </w:rPr>
      </w:pPr>
      <w:r>
        <w:rPr>
          <w:rFonts w:ascii="Times New Roman" w:hAnsi="Times New Roman" w:cs="Times New Roman"/>
          <w:i/>
        </w:rPr>
        <w:t>Zimudzi &amp; Associates</w:t>
      </w:r>
      <w:r>
        <w:rPr>
          <w:rFonts w:ascii="Times New Roman" w:hAnsi="Times New Roman" w:cs="Times New Roman"/>
        </w:rPr>
        <w:t xml:space="preserve">, </w:t>
      </w:r>
      <w:r>
        <w:rPr>
          <w:rFonts w:ascii="Times New Roman" w:hAnsi="Times New Roman" w:cs="Times New Roman"/>
        </w:rPr>
        <w:t>applicant’s legal practitioners</w:t>
      </w:r>
    </w:p>
    <w:p w:rsidR="00A33392" w:rsidRDefault="00E235CD">
      <w:pPr>
        <w:spacing w:after="0" w:line="240" w:lineRule="auto"/>
        <w:rPr>
          <w:rFonts w:ascii="Times New Roman" w:hAnsi="Times New Roman" w:cs="Times New Roman"/>
          <w:i/>
        </w:rPr>
      </w:pPr>
      <w:r>
        <w:rPr>
          <w:rFonts w:ascii="Times New Roman" w:hAnsi="Times New Roman" w:cs="Times New Roman"/>
          <w:i/>
        </w:rPr>
        <w:t>Civil Division of the Attorney General’s Office</w:t>
      </w:r>
      <w:r>
        <w:rPr>
          <w:rFonts w:ascii="Times New Roman" w:hAnsi="Times New Roman" w:cs="Times New Roman"/>
        </w:rPr>
        <w:t xml:space="preserve">, </w:t>
      </w:r>
      <w:r>
        <w:rPr>
          <w:rFonts w:ascii="Times New Roman" w:hAnsi="Times New Roman" w:cs="Times New Roman"/>
          <w:lang w:val="en-US"/>
        </w:rPr>
        <w:t xml:space="preserve">first </w:t>
      </w:r>
      <w:r>
        <w:rPr>
          <w:rFonts w:ascii="Times New Roman" w:hAnsi="Times New Roman" w:cs="Times New Roman"/>
        </w:rPr>
        <w:t xml:space="preserve"> respondent’s legal practitioners</w:t>
      </w:r>
    </w:p>
    <w:p w:rsidR="00A33392" w:rsidRDefault="00E235CD">
      <w:pPr>
        <w:spacing w:after="0" w:line="240" w:lineRule="auto"/>
        <w:rPr>
          <w:rFonts w:ascii="Times New Roman" w:hAnsi="Times New Roman" w:cs="Times New Roman"/>
        </w:rPr>
      </w:pPr>
      <w:r>
        <w:rPr>
          <w:rFonts w:ascii="Times New Roman" w:hAnsi="Times New Roman" w:cs="Times New Roman"/>
          <w:i/>
        </w:rPr>
        <w:t>Masawi &amp; Partners</w:t>
      </w:r>
      <w:r>
        <w:rPr>
          <w:rFonts w:ascii="Times New Roman" w:hAnsi="Times New Roman" w:cs="Times New Roman"/>
        </w:rPr>
        <w:t xml:space="preserve">, </w:t>
      </w:r>
      <w:r>
        <w:rPr>
          <w:rFonts w:ascii="Times New Roman" w:hAnsi="Times New Roman" w:cs="Times New Roman"/>
          <w:lang w:val="en-US"/>
        </w:rPr>
        <w:t xml:space="preserve">second </w:t>
      </w:r>
      <w:r>
        <w:rPr>
          <w:rFonts w:ascii="Times New Roman" w:hAnsi="Times New Roman" w:cs="Times New Roman"/>
        </w:rPr>
        <w:t xml:space="preserve"> respondent’s legal; practitioners</w:t>
      </w:r>
    </w:p>
    <w:sectPr w:rsidR="00A3339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5CD" w:rsidRDefault="00E235CD">
      <w:pPr>
        <w:spacing w:line="240" w:lineRule="auto"/>
      </w:pPr>
      <w:r>
        <w:separator/>
      </w:r>
    </w:p>
  </w:endnote>
  <w:endnote w:type="continuationSeparator" w:id="0">
    <w:p w:rsidR="00E235CD" w:rsidRDefault="00E23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5CD" w:rsidRDefault="00E235CD">
      <w:pPr>
        <w:spacing w:after="0"/>
      </w:pPr>
      <w:r>
        <w:separator/>
      </w:r>
    </w:p>
  </w:footnote>
  <w:footnote w:type="continuationSeparator" w:id="0">
    <w:p w:rsidR="00E235CD" w:rsidRDefault="00E235C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648817"/>
      <w:docPartObj>
        <w:docPartGallery w:val="AutoText"/>
      </w:docPartObj>
    </w:sdtPr>
    <w:sdtEndPr/>
    <w:sdtContent>
      <w:p w:rsidR="00A33392" w:rsidRDefault="00E235CD">
        <w:pPr>
          <w:pStyle w:val="Header"/>
          <w:jc w:val="right"/>
        </w:pPr>
        <w:r>
          <w:fldChar w:fldCharType="begin"/>
        </w:r>
        <w:r>
          <w:instrText xml:space="preserve"> PAG</w:instrText>
        </w:r>
        <w:r>
          <w:instrText xml:space="preserve">E   \* MERGEFORMAT </w:instrText>
        </w:r>
        <w:r>
          <w:fldChar w:fldCharType="separate"/>
        </w:r>
        <w:r w:rsidR="00101F67">
          <w:rPr>
            <w:noProof/>
          </w:rPr>
          <w:t>1</w:t>
        </w:r>
        <w:r>
          <w:fldChar w:fldCharType="end"/>
        </w:r>
      </w:p>
      <w:p w:rsidR="00A33392" w:rsidRDefault="00E235CD">
        <w:pPr>
          <w:pStyle w:val="Header"/>
          <w:jc w:val="right"/>
          <w:rPr>
            <w:lang w:val="en-US"/>
          </w:rPr>
        </w:pPr>
        <w:r>
          <w:t>HH</w:t>
        </w:r>
        <w:r>
          <w:rPr>
            <w:lang w:val="en-US"/>
          </w:rPr>
          <w:t xml:space="preserve"> 460-23</w:t>
        </w:r>
      </w:p>
      <w:p w:rsidR="00A33392" w:rsidRDefault="00E235CD">
        <w:pPr>
          <w:pStyle w:val="Header"/>
          <w:jc w:val="center"/>
        </w:pPr>
        <w:r>
          <w:t xml:space="preserve">                                                                                                                                                             HC 6555/21</w:t>
        </w:r>
      </w:p>
      <w:p w:rsidR="00A33392" w:rsidRDefault="00E235CD">
        <w:pPr>
          <w:pStyle w:val="Header"/>
          <w:jc w:val="right"/>
        </w:pPr>
      </w:p>
    </w:sdtContent>
  </w:sdt>
  <w:p w:rsidR="00A33392" w:rsidRDefault="00A3339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7706E"/>
    <w:multiLevelType w:val="multilevel"/>
    <w:tmpl w:val="410770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9E706D1"/>
    <w:multiLevelType w:val="multilevel"/>
    <w:tmpl w:val="69E706D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4E"/>
    <w:rsid w:val="00003995"/>
    <w:rsid w:val="000103F3"/>
    <w:rsid w:val="00023D4D"/>
    <w:rsid w:val="000B0987"/>
    <w:rsid w:val="00101F67"/>
    <w:rsid w:val="0010371A"/>
    <w:rsid w:val="001115F2"/>
    <w:rsid w:val="001167DA"/>
    <w:rsid w:val="00122968"/>
    <w:rsid w:val="00124FEF"/>
    <w:rsid w:val="001259DC"/>
    <w:rsid w:val="001B6289"/>
    <w:rsid w:val="001E1296"/>
    <w:rsid w:val="001F234E"/>
    <w:rsid w:val="00272DB7"/>
    <w:rsid w:val="002B10E7"/>
    <w:rsid w:val="002C7195"/>
    <w:rsid w:val="002E2873"/>
    <w:rsid w:val="00337A92"/>
    <w:rsid w:val="00342295"/>
    <w:rsid w:val="00373351"/>
    <w:rsid w:val="003D51A2"/>
    <w:rsid w:val="003E0B35"/>
    <w:rsid w:val="003E0BF5"/>
    <w:rsid w:val="003E419A"/>
    <w:rsid w:val="003F091A"/>
    <w:rsid w:val="003F304F"/>
    <w:rsid w:val="003F54BB"/>
    <w:rsid w:val="00401F26"/>
    <w:rsid w:val="00490C13"/>
    <w:rsid w:val="004A4381"/>
    <w:rsid w:val="004E6652"/>
    <w:rsid w:val="00503A6D"/>
    <w:rsid w:val="00511D48"/>
    <w:rsid w:val="00535FFF"/>
    <w:rsid w:val="00536D68"/>
    <w:rsid w:val="00537B7F"/>
    <w:rsid w:val="005423FA"/>
    <w:rsid w:val="0056034F"/>
    <w:rsid w:val="00563FA6"/>
    <w:rsid w:val="00576ADE"/>
    <w:rsid w:val="005B5EBA"/>
    <w:rsid w:val="005C1385"/>
    <w:rsid w:val="005E5A63"/>
    <w:rsid w:val="006213EA"/>
    <w:rsid w:val="00664376"/>
    <w:rsid w:val="006A1293"/>
    <w:rsid w:val="0070137D"/>
    <w:rsid w:val="00711764"/>
    <w:rsid w:val="00731464"/>
    <w:rsid w:val="0073557E"/>
    <w:rsid w:val="007C429B"/>
    <w:rsid w:val="00802C30"/>
    <w:rsid w:val="00804326"/>
    <w:rsid w:val="0082473B"/>
    <w:rsid w:val="00826DAD"/>
    <w:rsid w:val="00870FD6"/>
    <w:rsid w:val="00874419"/>
    <w:rsid w:val="008A6F8F"/>
    <w:rsid w:val="008D622B"/>
    <w:rsid w:val="008E4ABD"/>
    <w:rsid w:val="0090414A"/>
    <w:rsid w:val="00955480"/>
    <w:rsid w:val="00966767"/>
    <w:rsid w:val="009B3A23"/>
    <w:rsid w:val="009F468A"/>
    <w:rsid w:val="00A33392"/>
    <w:rsid w:val="00A857D7"/>
    <w:rsid w:val="00AA5D02"/>
    <w:rsid w:val="00AA7571"/>
    <w:rsid w:val="00AE002C"/>
    <w:rsid w:val="00AF371D"/>
    <w:rsid w:val="00B21BA3"/>
    <w:rsid w:val="00B46170"/>
    <w:rsid w:val="00B61984"/>
    <w:rsid w:val="00B672AE"/>
    <w:rsid w:val="00B85143"/>
    <w:rsid w:val="00BC4C34"/>
    <w:rsid w:val="00C056C8"/>
    <w:rsid w:val="00C4404F"/>
    <w:rsid w:val="00C52368"/>
    <w:rsid w:val="00C81BD5"/>
    <w:rsid w:val="00CA5DB3"/>
    <w:rsid w:val="00CE720A"/>
    <w:rsid w:val="00D0300D"/>
    <w:rsid w:val="00D14561"/>
    <w:rsid w:val="00D30E06"/>
    <w:rsid w:val="00D32BFF"/>
    <w:rsid w:val="00D4716E"/>
    <w:rsid w:val="00D86044"/>
    <w:rsid w:val="00D87B9F"/>
    <w:rsid w:val="00DC5D68"/>
    <w:rsid w:val="00DE4804"/>
    <w:rsid w:val="00DF0952"/>
    <w:rsid w:val="00E10B59"/>
    <w:rsid w:val="00E235CD"/>
    <w:rsid w:val="00E25E6C"/>
    <w:rsid w:val="00E519B0"/>
    <w:rsid w:val="00E54136"/>
    <w:rsid w:val="00E82381"/>
    <w:rsid w:val="00EA462D"/>
    <w:rsid w:val="00EC194D"/>
    <w:rsid w:val="00ED1E2D"/>
    <w:rsid w:val="00ED333D"/>
    <w:rsid w:val="00EF063D"/>
    <w:rsid w:val="00F03B0A"/>
    <w:rsid w:val="00F05820"/>
    <w:rsid w:val="00F240D2"/>
    <w:rsid w:val="00F26255"/>
    <w:rsid w:val="00F72E69"/>
    <w:rsid w:val="00F7653F"/>
    <w:rsid w:val="00FA12FC"/>
    <w:rsid w:val="00FA54DE"/>
    <w:rsid w:val="00FC76B2"/>
    <w:rsid w:val="0BE54D60"/>
    <w:rsid w:val="78413A38"/>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C7BF7-A5FF-4DBA-8B1E-8019000F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1855D-1AF0-4B89-99F4-75430E55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2023-07-27T07:51:00Z</cp:lastPrinted>
  <dcterms:created xsi:type="dcterms:W3CDTF">2023-07-28T10:43:00Z</dcterms:created>
  <dcterms:modified xsi:type="dcterms:W3CDTF">2023-07-28T10:43:00Z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B199EC4E335B4A00B241254CD588F748</vt:lpwstr>
  </property>
</Properties>
</file>