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B5" w:rsidRDefault="00001435">
      <w:pPr>
        <w:rPr>
          <w:b/>
          <w:sz w:val="28"/>
          <w:szCs w:val="28"/>
        </w:rPr>
      </w:pPr>
      <w:r>
        <w:rPr>
          <w:b/>
          <w:sz w:val="28"/>
          <w:szCs w:val="28"/>
        </w:rPr>
        <w:t>IN THE LABOUR COURT OF ZIMBABWE</w:t>
      </w:r>
      <w:r>
        <w:rPr>
          <w:b/>
          <w:sz w:val="28"/>
          <w:szCs w:val="28"/>
        </w:rPr>
        <w:tab/>
      </w:r>
      <w:r>
        <w:rPr>
          <w:b/>
          <w:sz w:val="28"/>
          <w:szCs w:val="28"/>
        </w:rPr>
        <w:tab/>
        <w:t>JUDGMENT NO LC/H/41/13</w:t>
      </w:r>
    </w:p>
    <w:p w:rsidR="00001435" w:rsidRDefault="00001435">
      <w:pPr>
        <w:rPr>
          <w:b/>
          <w:sz w:val="28"/>
          <w:szCs w:val="28"/>
        </w:rPr>
      </w:pPr>
      <w:r>
        <w:rPr>
          <w:b/>
          <w:sz w:val="28"/>
          <w:szCs w:val="28"/>
        </w:rPr>
        <w:t>HELD AT HARARE 14</w:t>
      </w:r>
      <w:r w:rsidRPr="00001435">
        <w:rPr>
          <w:b/>
          <w:sz w:val="28"/>
          <w:szCs w:val="28"/>
          <w:vertAlign w:val="superscript"/>
        </w:rPr>
        <w:t>TH</w:t>
      </w:r>
      <w:r>
        <w:rPr>
          <w:b/>
          <w:sz w:val="28"/>
          <w:szCs w:val="28"/>
        </w:rPr>
        <w:t xml:space="preserve"> FEBRUARY 2013</w:t>
      </w:r>
      <w:r>
        <w:rPr>
          <w:b/>
          <w:sz w:val="28"/>
          <w:szCs w:val="28"/>
        </w:rPr>
        <w:tab/>
      </w:r>
      <w:r>
        <w:rPr>
          <w:b/>
          <w:sz w:val="28"/>
          <w:szCs w:val="28"/>
        </w:rPr>
        <w:tab/>
        <w:t>CASE NO LC/H/286/12</w:t>
      </w:r>
    </w:p>
    <w:p w:rsidR="00001435" w:rsidRDefault="00001435">
      <w:pPr>
        <w:rPr>
          <w:b/>
          <w:sz w:val="28"/>
          <w:szCs w:val="28"/>
        </w:rPr>
      </w:pPr>
    </w:p>
    <w:p w:rsidR="00001435" w:rsidRDefault="00001435">
      <w:pPr>
        <w:rPr>
          <w:b/>
          <w:sz w:val="28"/>
          <w:szCs w:val="28"/>
        </w:rPr>
      </w:pPr>
      <w:r>
        <w:rPr>
          <w:b/>
          <w:sz w:val="28"/>
          <w:szCs w:val="28"/>
        </w:rPr>
        <w:t>CHENGETAI MAPUNDU</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2910F5" w:rsidRDefault="002910F5">
      <w:pPr>
        <w:rPr>
          <w:b/>
          <w:sz w:val="28"/>
          <w:szCs w:val="28"/>
        </w:rPr>
      </w:pPr>
    </w:p>
    <w:p w:rsidR="00001435" w:rsidRDefault="00001435">
      <w:pPr>
        <w:rPr>
          <w:b/>
          <w:sz w:val="28"/>
          <w:szCs w:val="28"/>
        </w:rPr>
      </w:pPr>
      <w:r>
        <w:rPr>
          <w:b/>
          <w:sz w:val="28"/>
          <w:szCs w:val="28"/>
        </w:rPr>
        <w:t>ZIMBABWE REVENUE AUTHORITY</w:t>
      </w:r>
      <w:r>
        <w:rPr>
          <w:b/>
          <w:sz w:val="28"/>
          <w:szCs w:val="28"/>
        </w:rPr>
        <w:tab/>
      </w:r>
      <w:r>
        <w:rPr>
          <w:b/>
          <w:sz w:val="28"/>
          <w:szCs w:val="28"/>
        </w:rPr>
        <w:tab/>
      </w:r>
      <w:r>
        <w:rPr>
          <w:b/>
          <w:sz w:val="28"/>
          <w:szCs w:val="28"/>
        </w:rPr>
        <w:tab/>
      </w:r>
      <w:r>
        <w:rPr>
          <w:b/>
          <w:sz w:val="28"/>
          <w:szCs w:val="28"/>
        </w:rPr>
        <w:tab/>
        <w:t>Respondent</w:t>
      </w:r>
    </w:p>
    <w:p w:rsidR="00001435" w:rsidRDefault="00001435">
      <w:pPr>
        <w:rPr>
          <w:sz w:val="28"/>
          <w:szCs w:val="28"/>
        </w:rPr>
      </w:pPr>
    </w:p>
    <w:p w:rsidR="00001435" w:rsidRDefault="00001435">
      <w:pPr>
        <w:rPr>
          <w:sz w:val="28"/>
          <w:szCs w:val="28"/>
        </w:rPr>
      </w:pPr>
      <w:r>
        <w:rPr>
          <w:sz w:val="28"/>
          <w:szCs w:val="28"/>
        </w:rPr>
        <w:t>Before The Honourable G Musariri, President</w:t>
      </w:r>
    </w:p>
    <w:p w:rsidR="00001435" w:rsidRDefault="00001435">
      <w:pPr>
        <w:rPr>
          <w:b/>
          <w:sz w:val="28"/>
          <w:szCs w:val="28"/>
        </w:rPr>
      </w:pPr>
    </w:p>
    <w:p w:rsidR="00001435" w:rsidRDefault="00001435">
      <w:pPr>
        <w:rPr>
          <w:b/>
          <w:sz w:val="28"/>
          <w:szCs w:val="28"/>
        </w:rPr>
      </w:pPr>
      <w:r>
        <w:rPr>
          <w:b/>
          <w:sz w:val="28"/>
          <w:szCs w:val="28"/>
        </w:rPr>
        <w:t>For Appellant</w:t>
      </w:r>
      <w:r>
        <w:rPr>
          <w:b/>
          <w:sz w:val="28"/>
          <w:szCs w:val="28"/>
        </w:rPr>
        <w:tab/>
      </w:r>
      <w:r>
        <w:rPr>
          <w:b/>
          <w:sz w:val="28"/>
          <w:szCs w:val="28"/>
        </w:rPr>
        <w:tab/>
        <w:t xml:space="preserve">Mr R </w:t>
      </w:r>
      <w:proofErr w:type="spellStart"/>
      <w:r>
        <w:rPr>
          <w:b/>
          <w:sz w:val="28"/>
          <w:szCs w:val="28"/>
        </w:rPr>
        <w:t>Matsikidze</w:t>
      </w:r>
      <w:proofErr w:type="spellEnd"/>
      <w:r>
        <w:rPr>
          <w:b/>
          <w:sz w:val="28"/>
          <w:szCs w:val="28"/>
        </w:rPr>
        <w:t>, Attorney</w:t>
      </w:r>
    </w:p>
    <w:p w:rsidR="00001435" w:rsidRDefault="00001435">
      <w:pPr>
        <w:rPr>
          <w:b/>
          <w:sz w:val="28"/>
          <w:szCs w:val="28"/>
        </w:rPr>
      </w:pPr>
      <w:r>
        <w:rPr>
          <w:b/>
          <w:sz w:val="28"/>
          <w:szCs w:val="28"/>
        </w:rPr>
        <w:t>For Respondent</w:t>
      </w:r>
      <w:r>
        <w:rPr>
          <w:b/>
          <w:sz w:val="28"/>
          <w:szCs w:val="28"/>
        </w:rPr>
        <w:tab/>
      </w:r>
      <w:r>
        <w:rPr>
          <w:b/>
          <w:sz w:val="28"/>
          <w:szCs w:val="28"/>
        </w:rPr>
        <w:tab/>
        <w:t xml:space="preserve">Mr K </w:t>
      </w:r>
      <w:proofErr w:type="spellStart"/>
      <w:r>
        <w:rPr>
          <w:b/>
          <w:sz w:val="28"/>
          <w:szCs w:val="28"/>
        </w:rPr>
        <w:t>Renzva</w:t>
      </w:r>
      <w:proofErr w:type="spellEnd"/>
      <w:r>
        <w:rPr>
          <w:b/>
          <w:sz w:val="28"/>
          <w:szCs w:val="28"/>
        </w:rPr>
        <w:t>, Officer</w:t>
      </w:r>
    </w:p>
    <w:p w:rsidR="00001435" w:rsidRDefault="00001435">
      <w:pPr>
        <w:rPr>
          <w:b/>
          <w:sz w:val="28"/>
          <w:szCs w:val="28"/>
        </w:rPr>
      </w:pPr>
    </w:p>
    <w:p w:rsidR="00001435" w:rsidRDefault="00001435">
      <w:pPr>
        <w:rPr>
          <w:b/>
          <w:sz w:val="28"/>
          <w:szCs w:val="28"/>
        </w:rPr>
      </w:pPr>
      <w:r>
        <w:rPr>
          <w:b/>
          <w:sz w:val="28"/>
          <w:szCs w:val="28"/>
        </w:rPr>
        <w:t>MUSARIRI, G:</w:t>
      </w:r>
    </w:p>
    <w:p w:rsidR="00001435" w:rsidRDefault="00001435">
      <w:pPr>
        <w:rPr>
          <w:b/>
          <w:sz w:val="28"/>
          <w:szCs w:val="28"/>
        </w:rPr>
      </w:pPr>
    </w:p>
    <w:p w:rsidR="00001435" w:rsidRDefault="00001435" w:rsidP="00001435">
      <w:pPr>
        <w:spacing w:line="360" w:lineRule="auto"/>
        <w:rPr>
          <w:sz w:val="28"/>
          <w:szCs w:val="28"/>
        </w:rPr>
      </w:pPr>
      <w:r>
        <w:rPr>
          <w:sz w:val="28"/>
          <w:szCs w:val="28"/>
        </w:rPr>
        <w:t>On 12</w:t>
      </w:r>
      <w:r w:rsidRPr="00001435">
        <w:rPr>
          <w:sz w:val="28"/>
          <w:szCs w:val="28"/>
          <w:vertAlign w:val="superscript"/>
        </w:rPr>
        <w:t>th</w:t>
      </w:r>
      <w:r>
        <w:rPr>
          <w:sz w:val="28"/>
          <w:szCs w:val="28"/>
        </w:rPr>
        <w:t xml:space="preserve"> March 2012 the Honourable A.J. </w:t>
      </w:r>
      <w:proofErr w:type="spellStart"/>
      <w:r>
        <w:rPr>
          <w:sz w:val="28"/>
          <w:szCs w:val="28"/>
        </w:rPr>
        <w:t>Manase</w:t>
      </w:r>
      <w:proofErr w:type="spellEnd"/>
      <w:r>
        <w:rPr>
          <w:sz w:val="28"/>
          <w:szCs w:val="28"/>
        </w:rPr>
        <w:t xml:space="preserve"> made an arbitration award.  In terms thereof he dismissed Appellant’s claim against Respondent f</w:t>
      </w:r>
      <w:r w:rsidR="00FB4FF0">
        <w:rPr>
          <w:sz w:val="28"/>
          <w:szCs w:val="28"/>
        </w:rPr>
        <w:t>or</w:t>
      </w:r>
      <w:r>
        <w:rPr>
          <w:sz w:val="28"/>
          <w:szCs w:val="28"/>
        </w:rPr>
        <w:t xml:space="preserve"> unpaid salary.  Appellant then appealed to this Court.  In oral argument before this Court</w:t>
      </w:r>
      <w:r w:rsidR="00FB4FF0">
        <w:rPr>
          <w:sz w:val="28"/>
          <w:szCs w:val="28"/>
        </w:rPr>
        <w:t>,</w:t>
      </w:r>
      <w:r>
        <w:rPr>
          <w:sz w:val="28"/>
          <w:szCs w:val="28"/>
        </w:rPr>
        <w:t xml:space="preserve"> Appellant’s attorney </w:t>
      </w:r>
      <w:proofErr w:type="spellStart"/>
      <w:r>
        <w:rPr>
          <w:sz w:val="28"/>
          <w:szCs w:val="28"/>
        </w:rPr>
        <w:t>adumberated</w:t>
      </w:r>
      <w:proofErr w:type="spellEnd"/>
      <w:r>
        <w:rPr>
          <w:sz w:val="28"/>
          <w:szCs w:val="28"/>
        </w:rPr>
        <w:t xml:space="preserve"> the issues as follows;</w:t>
      </w:r>
    </w:p>
    <w:p w:rsidR="00001435" w:rsidRDefault="00001435" w:rsidP="00001435">
      <w:pPr>
        <w:pStyle w:val="ListParagraph"/>
        <w:numPr>
          <w:ilvl w:val="0"/>
          <w:numId w:val="1"/>
        </w:numPr>
        <w:spacing w:line="360" w:lineRule="auto"/>
        <w:rPr>
          <w:sz w:val="28"/>
          <w:szCs w:val="28"/>
        </w:rPr>
      </w:pPr>
      <w:r>
        <w:rPr>
          <w:sz w:val="28"/>
          <w:szCs w:val="28"/>
        </w:rPr>
        <w:t>Whether the matter was prescribed?</w:t>
      </w:r>
    </w:p>
    <w:p w:rsidR="00FB4FF0" w:rsidRDefault="00001435" w:rsidP="00001435">
      <w:pPr>
        <w:pStyle w:val="ListParagraph"/>
        <w:numPr>
          <w:ilvl w:val="0"/>
          <w:numId w:val="1"/>
        </w:numPr>
        <w:spacing w:line="360" w:lineRule="auto"/>
        <w:rPr>
          <w:sz w:val="28"/>
          <w:szCs w:val="28"/>
        </w:rPr>
      </w:pPr>
      <w:r>
        <w:rPr>
          <w:sz w:val="28"/>
          <w:szCs w:val="28"/>
        </w:rPr>
        <w:t>Whether the matter was proper</w:t>
      </w:r>
      <w:r w:rsidR="00FB4FF0">
        <w:rPr>
          <w:sz w:val="28"/>
          <w:szCs w:val="28"/>
        </w:rPr>
        <w:t>ly referred to a Labour Officer</w:t>
      </w:r>
    </w:p>
    <w:p w:rsidR="00001435" w:rsidRDefault="00001435" w:rsidP="00FB4FF0">
      <w:pPr>
        <w:pStyle w:val="ListParagraph"/>
        <w:spacing w:line="360" w:lineRule="auto"/>
        <w:rPr>
          <w:sz w:val="28"/>
          <w:szCs w:val="28"/>
        </w:rPr>
      </w:pPr>
      <w:proofErr w:type="gramStart"/>
      <w:r>
        <w:rPr>
          <w:sz w:val="28"/>
          <w:szCs w:val="28"/>
        </w:rPr>
        <w:t>and</w:t>
      </w:r>
      <w:proofErr w:type="gramEnd"/>
    </w:p>
    <w:p w:rsidR="00001435" w:rsidRDefault="00001435" w:rsidP="00001435">
      <w:pPr>
        <w:pStyle w:val="ListParagraph"/>
        <w:numPr>
          <w:ilvl w:val="0"/>
          <w:numId w:val="1"/>
        </w:numPr>
        <w:spacing w:line="360" w:lineRule="auto"/>
        <w:rPr>
          <w:sz w:val="28"/>
          <w:szCs w:val="28"/>
        </w:rPr>
      </w:pPr>
      <w:r>
        <w:rPr>
          <w:sz w:val="28"/>
          <w:szCs w:val="28"/>
        </w:rPr>
        <w:t>Whether an employer can unilaterally withdraw an employee’s salary?</w:t>
      </w:r>
    </w:p>
    <w:p w:rsidR="00A57207" w:rsidRDefault="00A57207" w:rsidP="00001435">
      <w:pPr>
        <w:spacing w:line="360" w:lineRule="auto"/>
        <w:rPr>
          <w:sz w:val="28"/>
          <w:szCs w:val="28"/>
        </w:rPr>
      </w:pPr>
    </w:p>
    <w:p w:rsidR="00A57207" w:rsidRDefault="00A57207" w:rsidP="00001435">
      <w:pPr>
        <w:spacing w:line="360" w:lineRule="auto"/>
        <w:rPr>
          <w:sz w:val="28"/>
          <w:szCs w:val="28"/>
        </w:rPr>
      </w:pPr>
    </w:p>
    <w:p w:rsidR="00A57207" w:rsidRDefault="00A57207" w:rsidP="00001435">
      <w:pPr>
        <w:spacing w:line="360" w:lineRule="auto"/>
        <w:rPr>
          <w:sz w:val="28"/>
          <w:szCs w:val="28"/>
        </w:rPr>
      </w:pPr>
    </w:p>
    <w:p w:rsidR="00001435" w:rsidRDefault="00001435" w:rsidP="00001435">
      <w:pPr>
        <w:spacing w:line="360" w:lineRule="auto"/>
        <w:rPr>
          <w:sz w:val="28"/>
          <w:szCs w:val="28"/>
        </w:rPr>
      </w:pPr>
      <w:r>
        <w:rPr>
          <w:sz w:val="28"/>
          <w:szCs w:val="28"/>
        </w:rPr>
        <w:t>I consider that the matter t</w:t>
      </w:r>
      <w:r w:rsidR="00FB4FF0">
        <w:rPr>
          <w:sz w:val="28"/>
          <w:szCs w:val="28"/>
        </w:rPr>
        <w:t>urn</w:t>
      </w:r>
      <w:r>
        <w:rPr>
          <w:sz w:val="28"/>
          <w:szCs w:val="28"/>
        </w:rPr>
        <w:t xml:space="preserve">s on the first issue concerning prescription.  Accordingly I shall confine the judgment to that issue.  Section 94 (1) of the </w:t>
      </w:r>
      <w:r>
        <w:rPr>
          <w:sz w:val="28"/>
          <w:szCs w:val="28"/>
          <w:u w:val="single"/>
        </w:rPr>
        <w:t xml:space="preserve">Labour </w:t>
      </w:r>
      <w:r w:rsidR="00FB4FF0">
        <w:rPr>
          <w:sz w:val="28"/>
          <w:szCs w:val="28"/>
          <w:u w:val="single"/>
        </w:rPr>
        <w:t>Act Chapter 28:01</w:t>
      </w:r>
      <w:r>
        <w:rPr>
          <w:sz w:val="28"/>
          <w:szCs w:val="28"/>
        </w:rPr>
        <w:t xml:space="preserve"> (hereafter called the Act) provides that,</w:t>
      </w:r>
    </w:p>
    <w:p w:rsidR="00001435" w:rsidRDefault="00001435" w:rsidP="00001435">
      <w:pPr>
        <w:spacing w:line="360" w:lineRule="auto"/>
        <w:rPr>
          <w:sz w:val="28"/>
          <w:szCs w:val="28"/>
        </w:rPr>
      </w:pPr>
      <w:r>
        <w:rPr>
          <w:sz w:val="28"/>
          <w:szCs w:val="28"/>
        </w:rPr>
        <w:tab/>
      </w:r>
    </w:p>
    <w:p w:rsidR="00001435" w:rsidRDefault="00001435" w:rsidP="00001435">
      <w:pPr>
        <w:spacing w:line="360" w:lineRule="auto"/>
        <w:rPr>
          <w:i/>
          <w:sz w:val="28"/>
          <w:szCs w:val="28"/>
        </w:rPr>
      </w:pPr>
      <w:r>
        <w:rPr>
          <w:sz w:val="28"/>
          <w:szCs w:val="28"/>
        </w:rPr>
        <w:tab/>
      </w:r>
      <w:r>
        <w:rPr>
          <w:i/>
          <w:sz w:val="28"/>
          <w:szCs w:val="28"/>
        </w:rPr>
        <w:t>“(1)</w:t>
      </w:r>
      <w:r>
        <w:rPr>
          <w:i/>
          <w:sz w:val="28"/>
          <w:szCs w:val="28"/>
        </w:rPr>
        <w:tab/>
        <w:t xml:space="preserve">Subject to subsection 2 no labour officer </w:t>
      </w:r>
      <w:proofErr w:type="gramStart"/>
      <w:r>
        <w:rPr>
          <w:i/>
          <w:sz w:val="28"/>
          <w:szCs w:val="28"/>
        </w:rPr>
        <w:t xml:space="preserve">shall </w:t>
      </w:r>
      <w:r w:rsidR="004C6165">
        <w:rPr>
          <w:i/>
          <w:sz w:val="28"/>
          <w:szCs w:val="28"/>
        </w:rPr>
        <w:t xml:space="preserve"> entertain</w:t>
      </w:r>
      <w:proofErr w:type="gramEnd"/>
      <w:r w:rsidR="004C6165">
        <w:rPr>
          <w:i/>
          <w:sz w:val="28"/>
          <w:szCs w:val="28"/>
        </w:rPr>
        <w:t xml:space="preserve"> any </w:t>
      </w:r>
    </w:p>
    <w:p w:rsidR="004C6165" w:rsidRDefault="004C6165" w:rsidP="00001435">
      <w:pPr>
        <w:spacing w:line="360" w:lineRule="auto"/>
        <w:rPr>
          <w:i/>
          <w:sz w:val="28"/>
          <w:szCs w:val="28"/>
        </w:rPr>
      </w:pPr>
      <w:r>
        <w:rPr>
          <w:i/>
          <w:sz w:val="28"/>
          <w:szCs w:val="28"/>
        </w:rPr>
        <w:tab/>
      </w:r>
      <w:r>
        <w:rPr>
          <w:i/>
          <w:sz w:val="28"/>
          <w:szCs w:val="28"/>
        </w:rPr>
        <w:tab/>
      </w:r>
      <w:proofErr w:type="gramStart"/>
      <w:r>
        <w:rPr>
          <w:i/>
          <w:sz w:val="28"/>
          <w:szCs w:val="28"/>
        </w:rPr>
        <w:t>dispute  or</w:t>
      </w:r>
      <w:proofErr w:type="gramEnd"/>
      <w:r>
        <w:rPr>
          <w:i/>
          <w:sz w:val="28"/>
          <w:szCs w:val="28"/>
        </w:rPr>
        <w:t xml:space="preserve"> unfair labour practice unless –</w:t>
      </w:r>
    </w:p>
    <w:p w:rsidR="004C6165" w:rsidRDefault="004C6165" w:rsidP="004C6165">
      <w:pPr>
        <w:pStyle w:val="ListParagraph"/>
        <w:numPr>
          <w:ilvl w:val="0"/>
          <w:numId w:val="2"/>
        </w:numPr>
        <w:spacing w:line="360" w:lineRule="auto"/>
        <w:rPr>
          <w:i/>
          <w:sz w:val="28"/>
          <w:szCs w:val="28"/>
        </w:rPr>
      </w:pPr>
      <w:r>
        <w:rPr>
          <w:i/>
          <w:sz w:val="28"/>
          <w:szCs w:val="28"/>
        </w:rPr>
        <w:t>it is referred to him; or</w:t>
      </w:r>
    </w:p>
    <w:p w:rsidR="004C6165" w:rsidRDefault="004C6165" w:rsidP="004C6165">
      <w:pPr>
        <w:pStyle w:val="ListParagraph"/>
        <w:numPr>
          <w:ilvl w:val="0"/>
          <w:numId w:val="2"/>
        </w:numPr>
        <w:spacing w:after="0" w:line="360" w:lineRule="auto"/>
        <w:rPr>
          <w:i/>
          <w:sz w:val="28"/>
          <w:szCs w:val="28"/>
        </w:rPr>
      </w:pPr>
      <w:proofErr w:type="gramStart"/>
      <w:r>
        <w:rPr>
          <w:i/>
          <w:sz w:val="28"/>
          <w:szCs w:val="28"/>
        </w:rPr>
        <w:t>has</w:t>
      </w:r>
      <w:proofErr w:type="gramEnd"/>
      <w:r>
        <w:rPr>
          <w:i/>
          <w:sz w:val="28"/>
          <w:szCs w:val="28"/>
        </w:rPr>
        <w:t xml:space="preserve"> otherwise come to his attention; within </w:t>
      </w:r>
      <w:r>
        <w:rPr>
          <w:i/>
          <w:sz w:val="28"/>
          <w:szCs w:val="28"/>
          <w:u w:val="single"/>
        </w:rPr>
        <w:t>two</w:t>
      </w:r>
      <w:r>
        <w:rPr>
          <w:i/>
          <w:sz w:val="28"/>
          <w:szCs w:val="28"/>
        </w:rPr>
        <w:t xml:space="preserve"> </w:t>
      </w:r>
      <w:r>
        <w:rPr>
          <w:i/>
          <w:sz w:val="28"/>
          <w:szCs w:val="28"/>
          <w:u w:val="single"/>
        </w:rPr>
        <w:t>years</w:t>
      </w:r>
      <w:r>
        <w:rPr>
          <w:i/>
          <w:sz w:val="28"/>
          <w:szCs w:val="28"/>
        </w:rPr>
        <w:t xml:space="preserve"> from the date when the dispute or unfair labour practice first arose.”</w:t>
      </w:r>
    </w:p>
    <w:p w:rsidR="004C6165" w:rsidRDefault="004C6165" w:rsidP="004C6165">
      <w:pPr>
        <w:spacing w:after="0" w:line="360" w:lineRule="auto"/>
        <w:ind w:left="1440"/>
        <w:rPr>
          <w:sz w:val="28"/>
          <w:szCs w:val="28"/>
        </w:rPr>
      </w:pPr>
      <w:r>
        <w:rPr>
          <w:sz w:val="28"/>
          <w:szCs w:val="28"/>
        </w:rPr>
        <w:t xml:space="preserve">    (The underlining for emphasis is mine.)</w:t>
      </w:r>
    </w:p>
    <w:p w:rsidR="004C6165" w:rsidRDefault="004C6165" w:rsidP="004C6165">
      <w:pPr>
        <w:spacing w:after="0" w:line="360" w:lineRule="auto"/>
        <w:rPr>
          <w:sz w:val="28"/>
          <w:szCs w:val="28"/>
        </w:rPr>
      </w:pPr>
    </w:p>
    <w:p w:rsidR="00FB4FF0" w:rsidRDefault="004C6165" w:rsidP="004C6165">
      <w:pPr>
        <w:spacing w:after="0" w:line="360" w:lineRule="auto"/>
        <w:rPr>
          <w:sz w:val="28"/>
          <w:szCs w:val="28"/>
        </w:rPr>
      </w:pPr>
      <w:r>
        <w:rPr>
          <w:sz w:val="28"/>
          <w:szCs w:val="28"/>
        </w:rPr>
        <w:t xml:space="preserve">It is common cause that this matter arose on </w:t>
      </w:r>
      <w:r>
        <w:rPr>
          <w:sz w:val="28"/>
          <w:szCs w:val="28"/>
          <w:u w:val="single"/>
        </w:rPr>
        <w:t>30</w:t>
      </w:r>
      <w:r w:rsidRPr="004C6165">
        <w:rPr>
          <w:sz w:val="28"/>
          <w:szCs w:val="28"/>
          <w:u w:val="single"/>
          <w:vertAlign w:val="superscript"/>
        </w:rPr>
        <w:t>th</w:t>
      </w:r>
      <w:r>
        <w:rPr>
          <w:sz w:val="28"/>
          <w:szCs w:val="28"/>
          <w:u w:val="single"/>
        </w:rPr>
        <w:t xml:space="preserve"> August 2007</w:t>
      </w:r>
      <w:r>
        <w:rPr>
          <w:sz w:val="28"/>
          <w:szCs w:val="28"/>
        </w:rPr>
        <w:t xml:space="preserve"> when Respondent ceased paying Appellant’s salary.  It is further common cause that Appellant referred the matter to a Labour Officer (</w:t>
      </w:r>
      <w:r w:rsidR="00FB4FF0">
        <w:rPr>
          <w:sz w:val="28"/>
          <w:szCs w:val="28"/>
        </w:rPr>
        <w:t>the Officer</w:t>
      </w:r>
      <w:r>
        <w:rPr>
          <w:sz w:val="28"/>
          <w:szCs w:val="28"/>
        </w:rPr>
        <w:t xml:space="preserve">) on the </w:t>
      </w:r>
    </w:p>
    <w:p w:rsidR="004C6165" w:rsidRDefault="004C6165" w:rsidP="004C6165">
      <w:pPr>
        <w:spacing w:after="0" w:line="360" w:lineRule="auto"/>
        <w:rPr>
          <w:sz w:val="28"/>
          <w:szCs w:val="28"/>
        </w:rPr>
      </w:pPr>
      <w:r>
        <w:rPr>
          <w:sz w:val="28"/>
          <w:szCs w:val="28"/>
          <w:u w:val="single"/>
        </w:rPr>
        <w:t>5</w:t>
      </w:r>
      <w:r w:rsidRPr="004C6165">
        <w:rPr>
          <w:sz w:val="28"/>
          <w:szCs w:val="28"/>
          <w:u w:val="single"/>
          <w:vertAlign w:val="superscript"/>
        </w:rPr>
        <w:t>th</w:t>
      </w:r>
      <w:r>
        <w:rPr>
          <w:sz w:val="28"/>
          <w:szCs w:val="28"/>
          <w:u w:val="single"/>
        </w:rPr>
        <w:t xml:space="preserve"> October 2011.</w:t>
      </w:r>
      <w:r>
        <w:rPr>
          <w:sz w:val="28"/>
          <w:szCs w:val="28"/>
        </w:rPr>
        <w:t xml:space="preserve">  In other words a period of </w:t>
      </w:r>
      <w:r w:rsidRPr="00FB4FF0">
        <w:rPr>
          <w:sz w:val="28"/>
          <w:szCs w:val="28"/>
          <w:u w:val="single"/>
        </w:rPr>
        <w:t>4 years</w:t>
      </w:r>
      <w:r>
        <w:rPr>
          <w:sz w:val="28"/>
          <w:szCs w:val="28"/>
        </w:rPr>
        <w:t xml:space="preserve"> lapsed before Appellant referred the matter to </w:t>
      </w:r>
      <w:r w:rsidR="008D6CC3">
        <w:rPr>
          <w:sz w:val="28"/>
          <w:szCs w:val="28"/>
        </w:rPr>
        <w:t>a Labour</w:t>
      </w:r>
      <w:bookmarkStart w:id="0" w:name="_GoBack"/>
      <w:bookmarkEnd w:id="0"/>
      <w:r>
        <w:rPr>
          <w:sz w:val="28"/>
          <w:szCs w:val="28"/>
        </w:rPr>
        <w:t xml:space="preserve"> </w:t>
      </w:r>
      <w:r w:rsidR="00FB4FF0">
        <w:rPr>
          <w:sz w:val="28"/>
          <w:szCs w:val="28"/>
        </w:rPr>
        <w:t>Officer.</w:t>
      </w:r>
      <w:r>
        <w:rPr>
          <w:sz w:val="28"/>
          <w:szCs w:val="28"/>
        </w:rPr>
        <w:t xml:space="preserve">  Thus </w:t>
      </w:r>
      <w:r w:rsidRPr="008D6CC3">
        <w:rPr>
          <w:sz w:val="28"/>
          <w:szCs w:val="28"/>
          <w:u w:val="single"/>
        </w:rPr>
        <w:t>prim</w:t>
      </w:r>
      <w:r w:rsidR="008835B5" w:rsidRPr="008D6CC3">
        <w:rPr>
          <w:sz w:val="28"/>
          <w:szCs w:val="28"/>
          <w:u w:val="single"/>
        </w:rPr>
        <w:t>a</w:t>
      </w:r>
      <w:r w:rsidR="008D6CC3">
        <w:rPr>
          <w:sz w:val="28"/>
          <w:szCs w:val="28"/>
        </w:rPr>
        <w:t xml:space="preserve"> </w:t>
      </w:r>
      <w:r w:rsidRPr="008D6CC3">
        <w:rPr>
          <w:sz w:val="28"/>
          <w:szCs w:val="28"/>
          <w:u w:val="single"/>
        </w:rPr>
        <w:t>facie</w:t>
      </w:r>
      <w:r>
        <w:rPr>
          <w:sz w:val="28"/>
          <w:szCs w:val="28"/>
        </w:rPr>
        <w:t xml:space="preserve"> the matter had prescribed as the </w:t>
      </w:r>
      <w:r w:rsidR="00FB4FF0">
        <w:rPr>
          <w:sz w:val="28"/>
          <w:szCs w:val="28"/>
        </w:rPr>
        <w:t>Officer</w:t>
      </w:r>
      <w:r>
        <w:rPr>
          <w:sz w:val="28"/>
          <w:szCs w:val="28"/>
        </w:rPr>
        <w:t xml:space="preserve"> got </w:t>
      </w:r>
      <w:r w:rsidR="00FB4FF0">
        <w:rPr>
          <w:sz w:val="28"/>
          <w:szCs w:val="28"/>
        </w:rPr>
        <w:t xml:space="preserve">it </w:t>
      </w:r>
      <w:r>
        <w:rPr>
          <w:sz w:val="28"/>
          <w:szCs w:val="28"/>
        </w:rPr>
        <w:t>after 4 years instead of within the 2 year period prescribed by the Act.</w:t>
      </w:r>
    </w:p>
    <w:p w:rsidR="004C6165" w:rsidRDefault="004C6165" w:rsidP="004C6165">
      <w:pPr>
        <w:spacing w:after="0" w:line="360" w:lineRule="auto"/>
        <w:rPr>
          <w:sz w:val="28"/>
          <w:szCs w:val="28"/>
        </w:rPr>
      </w:pPr>
    </w:p>
    <w:p w:rsidR="00A57207" w:rsidRDefault="004C6165" w:rsidP="004C6165">
      <w:pPr>
        <w:spacing w:after="0" w:line="360" w:lineRule="auto"/>
        <w:rPr>
          <w:sz w:val="28"/>
          <w:szCs w:val="28"/>
        </w:rPr>
      </w:pPr>
      <w:r>
        <w:rPr>
          <w:sz w:val="28"/>
          <w:szCs w:val="28"/>
        </w:rPr>
        <w:t>Section 94 (2) of the Act provides an exception to the time limit.  It applie</w:t>
      </w:r>
      <w:r w:rsidR="00FB4FF0">
        <w:rPr>
          <w:sz w:val="28"/>
          <w:szCs w:val="28"/>
        </w:rPr>
        <w:t>s</w:t>
      </w:r>
      <w:r w:rsidR="00A57207">
        <w:rPr>
          <w:sz w:val="28"/>
          <w:szCs w:val="28"/>
        </w:rPr>
        <w:t xml:space="preserve"> </w:t>
      </w:r>
      <w:r>
        <w:rPr>
          <w:sz w:val="28"/>
          <w:szCs w:val="28"/>
        </w:rPr>
        <w:t xml:space="preserve">where the unfair labour practice is continuing at the time it is referred to the Officer.  In this case it is come cause that Respondent resumed paying Appellant salary </w:t>
      </w:r>
      <w:proofErr w:type="gramStart"/>
      <w:r>
        <w:rPr>
          <w:sz w:val="28"/>
          <w:szCs w:val="28"/>
        </w:rPr>
        <w:t xml:space="preserve">in  </w:t>
      </w:r>
      <w:r>
        <w:rPr>
          <w:sz w:val="28"/>
          <w:szCs w:val="28"/>
          <w:u w:val="single"/>
        </w:rPr>
        <w:t>January</w:t>
      </w:r>
      <w:proofErr w:type="gramEnd"/>
      <w:r>
        <w:rPr>
          <w:sz w:val="28"/>
          <w:szCs w:val="28"/>
          <w:u w:val="single"/>
        </w:rPr>
        <w:t xml:space="preserve"> 2009</w:t>
      </w:r>
      <w:r>
        <w:rPr>
          <w:sz w:val="28"/>
          <w:szCs w:val="28"/>
        </w:rPr>
        <w:t xml:space="preserve">.  Thus by the time the matter was referred to </w:t>
      </w:r>
    </w:p>
    <w:p w:rsidR="00A57207" w:rsidRDefault="00A57207" w:rsidP="004C6165">
      <w:pPr>
        <w:spacing w:after="0" w:line="360" w:lineRule="auto"/>
        <w:rPr>
          <w:sz w:val="28"/>
          <w:szCs w:val="28"/>
        </w:rPr>
      </w:pPr>
    </w:p>
    <w:p w:rsidR="008835B5" w:rsidRDefault="008835B5" w:rsidP="004C6165">
      <w:pPr>
        <w:spacing w:after="0" w:line="360" w:lineRule="auto"/>
        <w:rPr>
          <w:sz w:val="28"/>
          <w:szCs w:val="28"/>
        </w:rPr>
      </w:pPr>
    </w:p>
    <w:p w:rsidR="004C6165" w:rsidRDefault="004C6165" w:rsidP="004C6165">
      <w:pPr>
        <w:spacing w:after="0" w:line="360" w:lineRule="auto"/>
        <w:rPr>
          <w:sz w:val="28"/>
          <w:szCs w:val="28"/>
        </w:rPr>
      </w:pPr>
      <w:proofErr w:type="gramStart"/>
      <w:r>
        <w:rPr>
          <w:sz w:val="28"/>
          <w:szCs w:val="28"/>
        </w:rPr>
        <w:t>the</w:t>
      </w:r>
      <w:proofErr w:type="gramEnd"/>
      <w:r>
        <w:rPr>
          <w:sz w:val="28"/>
          <w:szCs w:val="28"/>
        </w:rPr>
        <w:t xml:space="preserve"> Officer the unfair labour practice had ceased and could not be termed as “continuing”.  Thus Appellant’s delay cannot be excused under the subsection.</w:t>
      </w:r>
    </w:p>
    <w:p w:rsidR="004C6165" w:rsidRDefault="004C6165" w:rsidP="004C6165">
      <w:pPr>
        <w:spacing w:after="0" w:line="360" w:lineRule="auto"/>
        <w:rPr>
          <w:sz w:val="28"/>
          <w:szCs w:val="28"/>
        </w:rPr>
      </w:pPr>
    </w:p>
    <w:p w:rsidR="004C6165" w:rsidRDefault="004C6165" w:rsidP="004C6165">
      <w:pPr>
        <w:spacing w:after="0" w:line="360" w:lineRule="auto"/>
        <w:rPr>
          <w:sz w:val="28"/>
          <w:szCs w:val="28"/>
        </w:rPr>
      </w:pPr>
      <w:r>
        <w:rPr>
          <w:sz w:val="28"/>
          <w:szCs w:val="28"/>
        </w:rPr>
        <w:t xml:space="preserve">Section 94 (3) of the Act provides that </w:t>
      </w:r>
      <w:r w:rsidR="00FB4FF0">
        <w:rPr>
          <w:sz w:val="28"/>
          <w:szCs w:val="28"/>
        </w:rPr>
        <w:t xml:space="preserve">a </w:t>
      </w:r>
      <w:r>
        <w:rPr>
          <w:sz w:val="28"/>
          <w:szCs w:val="28"/>
        </w:rPr>
        <w:t>matter is deemed to have arisen when the claimant first became aware</w:t>
      </w:r>
      <w:r w:rsidR="00FB4FF0">
        <w:rPr>
          <w:sz w:val="28"/>
          <w:szCs w:val="28"/>
        </w:rPr>
        <w:t xml:space="preserve"> of the</w:t>
      </w:r>
      <w:r w:rsidR="00A57207">
        <w:rPr>
          <w:sz w:val="28"/>
          <w:szCs w:val="28"/>
        </w:rPr>
        <w:t xml:space="preserve"> </w:t>
      </w:r>
      <w:r>
        <w:rPr>
          <w:sz w:val="28"/>
          <w:szCs w:val="28"/>
        </w:rPr>
        <w:t>facts underlying the dispute.  It is common cause that Appellant became aware of the stoppage of his salary at the time of the stoppage i.e. August 2007.  As already noted, that was 4 years before he referred the matter to the Officer.  Therefore his delay is not excused</w:t>
      </w:r>
      <w:r w:rsidR="00266577">
        <w:rPr>
          <w:sz w:val="28"/>
          <w:szCs w:val="28"/>
        </w:rPr>
        <w:t xml:space="preserve"> under this subsection as well.</w:t>
      </w:r>
    </w:p>
    <w:p w:rsidR="00266577" w:rsidRDefault="00266577" w:rsidP="004C6165">
      <w:pPr>
        <w:spacing w:after="0" w:line="360" w:lineRule="auto"/>
        <w:rPr>
          <w:sz w:val="28"/>
          <w:szCs w:val="28"/>
        </w:rPr>
      </w:pPr>
    </w:p>
    <w:p w:rsidR="00FB4FF0" w:rsidRDefault="00266577" w:rsidP="004C6165">
      <w:pPr>
        <w:spacing w:after="0" w:line="360" w:lineRule="auto"/>
        <w:rPr>
          <w:sz w:val="28"/>
          <w:szCs w:val="28"/>
        </w:rPr>
      </w:pPr>
      <w:r>
        <w:rPr>
          <w:sz w:val="28"/>
          <w:szCs w:val="28"/>
        </w:rPr>
        <w:t xml:space="preserve">No other exception has been made in the Act.  Appellant’s attorney sought to save Appellant by arguing for a novel interpretation of section 94 (1).  He urged the Court to interpret reference to “any dispute”” as reference to a matter which had not been referred to an adjudicator before the referral to the Officer.  He argued that the Legislature did not intend to penalise employees whose claims prescribe whilst they are under consideration by the employer’s disciplinary </w:t>
      </w:r>
      <w:r w:rsidR="00FB4FF0">
        <w:rPr>
          <w:sz w:val="28"/>
          <w:szCs w:val="28"/>
        </w:rPr>
        <w:t xml:space="preserve">&amp; </w:t>
      </w:r>
      <w:r>
        <w:rPr>
          <w:sz w:val="28"/>
          <w:szCs w:val="28"/>
        </w:rPr>
        <w:t xml:space="preserve">grievance bodies.  </w:t>
      </w:r>
      <w:r w:rsidR="00FB4FF0">
        <w:rPr>
          <w:sz w:val="28"/>
          <w:szCs w:val="28"/>
        </w:rPr>
        <w:t xml:space="preserve"> </w:t>
      </w:r>
      <w:r>
        <w:rPr>
          <w:sz w:val="28"/>
          <w:szCs w:val="28"/>
        </w:rPr>
        <w:t>Appellant’s claim prescribed while he was awaiting the determination of his appeal by Respondent’s appellate body.  The argument appears logical given that the Act encourages speedy determination of disputes at the local or lowest levels.  However the wording of section 94 (1) does not allow for such a novel</w:t>
      </w:r>
      <w:r w:rsidR="00CF1ACB">
        <w:rPr>
          <w:sz w:val="28"/>
          <w:szCs w:val="28"/>
        </w:rPr>
        <w:t xml:space="preserve"> (</w:t>
      </w:r>
      <w:r w:rsidR="00FB4FF0">
        <w:rPr>
          <w:sz w:val="28"/>
          <w:szCs w:val="28"/>
        </w:rPr>
        <w:t>though</w:t>
      </w:r>
      <w:r w:rsidR="00CF1ACB">
        <w:rPr>
          <w:sz w:val="28"/>
          <w:szCs w:val="28"/>
        </w:rPr>
        <w:t xml:space="preserve"> desirable) approach.  The wording is cle</w:t>
      </w:r>
      <w:r w:rsidR="00DF042A">
        <w:rPr>
          <w:sz w:val="28"/>
          <w:szCs w:val="28"/>
        </w:rPr>
        <w:t xml:space="preserve">ar and unambiguous.  Reference </w:t>
      </w:r>
      <w:r w:rsidR="00CF1ACB">
        <w:rPr>
          <w:sz w:val="28"/>
          <w:szCs w:val="28"/>
        </w:rPr>
        <w:t xml:space="preserve">to a “dispute” is not qualified by whether or not a dispute has been taken through the employer’s bodies dealing with such disputes.  </w:t>
      </w:r>
    </w:p>
    <w:p w:rsidR="00FB4FF0" w:rsidRDefault="00FB4FF0" w:rsidP="004C6165">
      <w:pPr>
        <w:spacing w:after="0" w:line="360" w:lineRule="auto"/>
        <w:rPr>
          <w:sz w:val="28"/>
          <w:szCs w:val="28"/>
        </w:rPr>
      </w:pPr>
    </w:p>
    <w:p w:rsidR="008835B5" w:rsidRDefault="008835B5" w:rsidP="004C6165">
      <w:pPr>
        <w:spacing w:after="0" w:line="360" w:lineRule="auto"/>
        <w:rPr>
          <w:sz w:val="28"/>
          <w:szCs w:val="28"/>
        </w:rPr>
      </w:pPr>
    </w:p>
    <w:p w:rsidR="008835B5" w:rsidRDefault="008835B5" w:rsidP="004C6165">
      <w:pPr>
        <w:spacing w:after="0" w:line="360" w:lineRule="auto"/>
        <w:rPr>
          <w:sz w:val="28"/>
          <w:szCs w:val="28"/>
        </w:rPr>
      </w:pPr>
    </w:p>
    <w:p w:rsidR="00266577" w:rsidRDefault="00CF1ACB" w:rsidP="004C6165">
      <w:pPr>
        <w:spacing w:after="0" w:line="360" w:lineRule="auto"/>
        <w:rPr>
          <w:sz w:val="28"/>
          <w:szCs w:val="28"/>
        </w:rPr>
      </w:pPr>
      <w:r>
        <w:rPr>
          <w:sz w:val="28"/>
          <w:szCs w:val="28"/>
        </w:rPr>
        <w:t xml:space="preserve">I associate myself with the submissions made by Respondent’s Officer on this point.  He relied on the case of </w:t>
      </w:r>
      <w:r>
        <w:rPr>
          <w:b/>
          <w:sz w:val="28"/>
          <w:szCs w:val="28"/>
        </w:rPr>
        <w:t xml:space="preserve">City of Gweru v </w:t>
      </w:r>
      <w:proofErr w:type="spellStart"/>
      <w:proofErr w:type="gramStart"/>
      <w:r>
        <w:rPr>
          <w:b/>
          <w:sz w:val="28"/>
          <w:szCs w:val="28"/>
        </w:rPr>
        <w:t>Munyari</w:t>
      </w:r>
      <w:proofErr w:type="spellEnd"/>
      <w:r>
        <w:rPr>
          <w:b/>
          <w:sz w:val="28"/>
          <w:szCs w:val="28"/>
        </w:rPr>
        <w:t xml:space="preserve"> </w:t>
      </w:r>
      <w:r>
        <w:rPr>
          <w:sz w:val="28"/>
          <w:szCs w:val="28"/>
        </w:rPr>
        <w:t xml:space="preserve"> </w:t>
      </w:r>
      <w:r w:rsidR="00FB4FF0">
        <w:rPr>
          <w:sz w:val="28"/>
          <w:szCs w:val="28"/>
        </w:rPr>
        <w:t>SC</w:t>
      </w:r>
      <w:proofErr w:type="gramEnd"/>
      <w:r w:rsidR="00FB4FF0">
        <w:rPr>
          <w:sz w:val="28"/>
          <w:szCs w:val="28"/>
        </w:rPr>
        <w:t xml:space="preserve"> 15/05</w:t>
      </w:r>
      <w:r>
        <w:rPr>
          <w:sz w:val="28"/>
          <w:szCs w:val="28"/>
        </w:rPr>
        <w:t xml:space="preserve"> where the Honoura</w:t>
      </w:r>
      <w:r w:rsidR="00FB4FF0">
        <w:rPr>
          <w:sz w:val="28"/>
          <w:szCs w:val="28"/>
        </w:rPr>
        <w:t xml:space="preserve">ble Justice </w:t>
      </w:r>
      <w:proofErr w:type="spellStart"/>
      <w:r w:rsidR="00FB4FF0">
        <w:rPr>
          <w:sz w:val="28"/>
          <w:szCs w:val="28"/>
        </w:rPr>
        <w:t>Ziyambi</w:t>
      </w:r>
      <w:proofErr w:type="spellEnd"/>
      <w:r w:rsidR="00FB4FF0">
        <w:rPr>
          <w:sz w:val="28"/>
          <w:szCs w:val="28"/>
        </w:rPr>
        <w:t xml:space="preserve"> J.A. at p.5</w:t>
      </w:r>
      <w:r>
        <w:rPr>
          <w:sz w:val="28"/>
          <w:szCs w:val="28"/>
        </w:rPr>
        <w:t xml:space="preserve"> stated that</w:t>
      </w:r>
      <w:r w:rsidR="00FB4FF0">
        <w:rPr>
          <w:sz w:val="28"/>
          <w:szCs w:val="28"/>
        </w:rPr>
        <w:t>,</w:t>
      </w:r>
    </w:p>
    <w:p w:rsidR="00CF1ACB" w:rsidRDefault="00CF1ACB" w:rsidP="00CF1ACB">
      <w:pPr>
        <w:spacing w:after="0" w:line="360" w:lineRule="auto"/>
        <w:ind w:left="720"/>
        <w:rPr>
          <w:i/>
          <w:sz w:val="28"/>
          <w:szCs w:val="28"/>
        </w:rPr>
      </w:pPr>
      <w:r>
        <w:rPr>
          <w:i/>
          <w:sz w:val="28"/>
          <w:szCs w:val="28"/>
        </w:rPr>
        <w:t>“The Labour Court got it wrong.  It had no jurisdiction to entertain the matter which had long prescribed.”</w:t>
      </w:r>
    </w:p>
    <w:p w:rsidR="00CF1ACB" w:rsidRDefault="00CF1ACB" w:rsidP="00CF1ACB">
      <w:pPr>
        <w:spacing w:after="0" w:line="360" w:lineRule="auto"/>
        <w:rPr>
          <w:sz w:val="28"/>
          <w:szCs w:val="28"/>
        </w:rPr>
      </w:pPr>
    </w:p>
    <w:p w:rsidR="00CF1ACB" w:rsidRDefault="00CF1ACB" w:rsidP="00CF1ACB">
      <w:pPr>
        <w:spacing w:after="0" w:line="360" w:lineRule="auto"/>
        <w:rPr>
          <w:sz w:val="28"/>
          <w:szCs w:val="28"/>
        </w:rPr>
      </w:pPr>
      <w:proofErr w:type="gramStart"/>
      <w:r>
        <w:rPr>
          <w:sz w:val="28"/>
          <w:szCs w:val="28"/>
        </w:rPr>
        <w:t>In other words once a matter prescribes, that is the end of the matter.</w:t>
      </w:r>
      <w:proofErr w:type="gramEnd"/>
      <w:r>
        <w:rPr>
          <w:sz w:val="28"/>
          <w:szCs w:val="28"/>
        </w:rPr>
        <w:t xml:space="preserve">  It </w:t>
      </w:r>
    </w:p>
    <w:p w:rsidR="00CF1ACB" w:rsidRDefault="00CF1ACB" w:rsidP="00CF1ACB">
      <w:pPr>
        <w:spacing w:after="0" w:line="360" w:lineRule="auto"/>
        <w:rPr>
          <w:sz w:val="28"/>
          <w:szCs w:val="28"/>
        </w:rPr>
      </w:pPr>
      <w:proofErr w:type="gramStart"/>
      <w:r>
        <w:rPr>
          <w:sz w:val="28"/>
          <w:szCs w:val="28"/>
        </w:rPr>
        <w:t>cannot</w:t>
      </w:r>
      <w:proofErr w:type="gramEnd"/>
      <w:r>
        <w:rPr>
          <w:sz w:val="28"/>
          <w:szCs w:val="28"/>
        </w:rPr>
        <w:t xml:space="preserve"> be revived in a judicial forum.  On that basis the appeal must fail.</w:t>
      </w:r>
    </w:p>
    <w:p w:rsidR="00CF1ACB" w:rsidRDefault="00CF1ACB" w:rsidP="00CF1ACB">
      <w:pPr>
        <w:spacing w:after="0" w:line="360" w:lineRule="auto"/>
        <w:rPr>
          <w:sz w:val="28"/>
          <w:szCs w:val="28"/>
        </w:rPr>
      </w:pPr>
    </w:p>
    <w:p w:rsidR="00CF1ACB" w:rsidRDefault="00CF1ACB" w:rsidP="00CF1ACB">
      <w:pPr>
        <w:spacing w:after="0" w:line="360" w:lineRule="auto"/>
        <w:rPr>
          <w:sz w:val="28"/>
          <w:szCs w:val="28"/>
        </w:rPr>
      </w:pPr>
      <w:r>
        <w:rPr>
          <w:sz w:val="28"/>
          <w:szCs w:val="28"/>
        </w:rPr>
        <w:t>Wherefore it is ordered that,</w:t>
      </w:r>
    </w:p>
    <w:p w:rsidR="008835B5" w:rsidRDefault="008835B5" w:rsidP="00CF1ACB">
      <w:pPr>
        <w:spacing w:after="0" w:line="360" w:lineRule="auto"/>
        <w:rPr>
          <w:sz w:val="28"/>
          <w:szCs w:val="28"/>
        </w:rPr>
      </w:pPr>
    </w:p>
    <w:p w:rsidR="00CF1ACB" w:rsidRDefault="00CF1ACB" w:rsidP="00CF1ACB">
      <w:pPr>
        <w:pStyle w:val="ListParagraph"/>
        <w:numPr>
          <w:ilvl w:val="0"/>
          <w:numId w:val="3"/>
        </w:numPr>
        <w:spacing w:after="0" w:line="360" w:lineRule="auto"/>
        <w:rPr>
          <w:sz w:val="28"/>
          <w:szCs w:val="28"/>
        </w:rPr>
      </w:pPr>
      <w:r>
        <w:rPr>
          <w:sz w:val="28"/>
          <w:szCs w:val="28"/>
        </w:rPr>
        <w:t>The appeal is hereby dismissed; and</w:t>
      </w:r>
    </w:p>
    <w:p w:rsidR="008835B5" w:rsidRDefault="008835B5" w:rsidP="008835B5">
      <w:pPr>
        <w:pStyle w:val="ListParagraph"/>
        <w:spacing w:after="0" w:line="360" w:lineRule="auto"/>
        <w:rPr>
          <w:sz w:val="28"/>
          <w:szCs w:val="28"/>
        </w:rPr>
      </w:pPr>
    </w:p>
    <w:p w:rsidR="00CF1ACB" w:rsidRDefault="00CF1ACB" w:rsidP="00CF1ACB">
      <w:pPr>
        <w:pStyle w:val="ListParagraph"/>
        <w:numPr>
          <w:ilvl w:val="0"/>
          <w:numId w:val="3"/>
        </w:numPr>
        <w:spacing w:after="0" w:line="360" w:lineRule="auto"/>
        <w:rPr>
          <w:sz w:val="28"/>
          <w:szCs w:val="28"/>
        </w:rPr>
      </w:pPr>
      <w:r>
        <w:rPr>
          <w:sz w:val="28"/>
          <w:szCs w:val="28"/>
        </w:rPr>
        <w:t>Each party shall bear its own costs.</w:t>
      </w:r>
    </w:p>
    <w:p w:rsidR="00CF1ACB" w:rsidRDefault="00CF1ACB" w:rsidP="00CF1ACB">
      <w:pPr>
        <w:spacing w:after="0" w:line="360" w:lineRule="auto"/>
        <w:rPr>
          <w:sz w:val="28"/>
          <w:szCs w:val="28"/>
        </w:rPr>
      </w:pPr>
    </w:p>
    <w:p w:rsidR="00CF1ACB" w:rsidRDefault="00CF1ACB" w:rsidP="00CF1ACB">
      <w:pPr>
        <w:spacing w:after="0" w:line="360" w:lineRule="auto"/>
        <w:rPr>
          <w:sz w:val="28"/>
          <w:szCs w:val="28"/>
        </w:rPr>
      </w:pPr>
    </w:p>
    <w:p w:rsidR="00CF1ACB" w:rsidRDefault="00CF1ACB" w:rsidP="00CF1ACB">
      <w:pPr>
        <w:spacing w:after="0" w:line="360" w:lineRule="auto"/>
        <w:rPr>
          <w:sz w:val="28"/>
          <w:szCs w:val="28"/>
        </w:rPr>
      </w:pPr>
    </w:p>
    <w:p w:rsidR="00CF1ACB" w:rsidRDefault="00CF1ACB" w:rsidP="00CF1ACB">
      <w:pPr>
        <w:spacing w:after="0" w:line="360" w:lineRule="auto"/>
        <w:rPr>
          <w:sz w:val="28"/>
          <w:szCs w:val="28"/>
        </w:rPr>
      </w:pPr>
    </w:p>
    <w:p w:rsidR="00CF1ACB" w:rsidRDefault="00CF1ACB" w:rsidP="00CF1ACB">
      <w:pPr>
        <w:spacing w:after="0" w:line="360" w:lineRule="auto"/>
        <w:rPr>
          <w:sz w:val="28"/>
          <w:szCs w:val="28"/>
        </w:rPr>
      </w:pPr>
    </w:p>
    <w:p w:rsidR="00CF1ACB" w:rsidRDefault="00CF1ACB" w:rsidP="00CF1ACB">
      <w:pPr>
        <w:spacing w:after="0" w:line="360" w:lineRule="auto"/>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G. MUSARIRI</w:t>
      </w:r>
    </w:p>
    <w:p w:rsidR="00CF1ACB" w:rsidRPr="00CF1ACB" w:rsidRDefault="00CF1ACB" w:rsidP="00CF1ACB">
      <w:pPr>
        <w:spacing w:after="0" w:line="360" w:lineRule="auto"/>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PRESIDENT</w:t>
      </w:r>
    </w:p>
    <w:p w:rsidR="004C6165" w:rsidRPr="004C6165" w:rsidRDefault="004C6165" w:rsidP="004C6165">
      <w:pPr>
        <w:spacing w:line="360" w:lineRule="auto"/>
        <w:ind w:left="1440"/>
        <w:rPr>
          <w:sz w:val="28"/>
          <w:szCs w:val="28"/>
        </w:rPr>
      </w:pPr>
    </w:p>
    <w:p w:rsidR="00001435" w:rsidRDefault="00001435">
      <w:pPr>
        <w:rPr>
          <w:b/>
          <w:sz w:val="28"/>
          <w:szCs w:val="28"/>
        </w:rPr>
      </w:pPr>
    </w:p>
    <w:p w:rsidR="00001435" w:rsidRDefault="00001435">
      <w:pPr>
        <w:rPr>
          <w:b/>
          <w:sz w:val="28"/>
          <w:szCs w:val="28"/>
        </w:rPr>
      </w:pPr>
    </w:p>
    <w:p w:rsidR="00001435" w:rsidRDefault="00001435">
      <w:pPr>
        <w:rPr>
          <w:b/>
          <w:sz w:val="28"/>
          <w:szCs w:val="28"/>
        </w:rPr>
      </w:pPr>
    </w:p>
    <w:sectPr w:rsidR="00001435" w:rsidSect="0000143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D7" w:rsidRDefault="007926D7" w:rsidP="00001435">
      <w:pPr>
        <w:spacing w:after="0" w:line="240" w:lineRule="auto"/>
      </w:pPr>
      <w:r>
        <w:separator/>
      </w:r>
    </w:p>
  </w:endnote>
  <w:endnote w:type="continuationSeparator" w:id="0">
    <w:p w:rsidR="007926D7" w:rsidRDefault="007926D7" w:rsidP="0000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816336"/>
      <w:docPartObj>
        <w:docPartGallery w:val="Page Numbers (Bottom of Page)"/>
        <w:docPartUnique/>
      </w:docPartObj>
    </w:sdtPr>
    <w:sdtEndPr>
      <w:rPr>
        <w:noProof/>
      </w:rPr>
    </w:sdtEndPr>
    <w:sdtContent>
      <w:p w:rsidR="00AC5482" w:rsidRDefault="00AC5482">
        <w:pPr>
          <w:pStyle w:val="Footer"/>
          <w:jc w:val="right"/>
        </w:pPr>
        <w:r>
          <w:fldChar w:fldCharType="begin"/>
        </w:r>
        <w:r>
          <w:instrText xml:space="preserve"> PAGE   \* MERGEFORMAT </w:instrText>
        </w:r>
        <w:r>
          <w:fldChar w:fldCharType="separate"/>
        </w:r>
        <w:r w:rsidR="008D6CC3">
          <w:rPr>
            <w:noProof/>
          </w:rPr>
          <w:t>4</w:t>
        </w:r>
        <w:r>
          <w:rPr>
            <w:noProof/>
          </w:rPr>
          <w:fldChar w:fldCharType="end"/>
        </w:r>
      </w:p>
    </w:sdtContent>
  </w:sdt>
  <w:p w:rsidR="00AC5482" w:rsidRDefault="00AC5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D7" w:rsidRDefault="007926D7" w:rsidP="00001435">
      <w:pPr>
        <w:spacing w:after="0" w:line="240" w:lineRule="auto"/>
      </w:pPr>
      <w:r>
        <w:separator/>
      </w:r>
    </w:p>
  </w:footnote>
  <w:footnote w:type="continuationSeparator" w:id="0">
    <w:p w:rsidR="007926D7" w:rsidRDefault="007926D7" w:rsidP="00001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35" w:rsidRDefault="00001435" w:rsidP="00001435">
    <w:pPr>
      <w:ind w:left="4320" w:firstLine="720"/>
      <w:rPr>
        <w:b/>
        <w:sz w:val="28"/>
        <w:szCs w:val="28"/>
      </w:rPr>
    </w:pPr>
    <w:r>
      <w:rPr>
        <w:b/>
        <w:sz w:val="28"/>
        <w:szCs w:val="28"/>
      </w:rPr>
      <w:t>JUDGMENT NO LC/H/41/13</w:t>
    </w:r>
  </w:p>
  <w:p w:rsidR="00001435" w:rsidRDefault="00001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434"/>
    <w:multiLevelType w:val="hybridMultilevel"/>
    <w:tmpl w:val="2F54EE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3137B0"/>
    <w:multiLevelType w:val="hybridMultilevel"/>
    <w:tmpl w:val="BB74EEDA"/>
    <w:lvl w:ilvl="0" w:tplc="B5CE133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76D943F0"/>
    <w:multiLevelType w:val="hybridMultilevel"/>
    <w:tmpl w:val="6D6E84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35"/>
    <w:rsid w:val="00001435"/>
    <w:rsid w:val="001E6B12"/>
    <w:rsid w:val="00266577"/>
    <w:rsid w:val="002910F5"/>
    <w:rsid w:val="00434A67"/>
    <w:rsid w:val="004C6165"/>
    <w:rsid w:val="007926D7"/>
    <w:rsid w:val="007D7720"/>
    <w:rsid w:val="008835B5"/>
    <w:rsid w:val="008D6CC3"/>
    <w:rsid w:val="00962889"/>
    <w:rsid w:val="00A57207"/>
    <w:rsid w:val="00AC5482"/>
    <w:rsid w:val="00BF7A1D"/>
    <w:rsid w:val="00CF1ACB"/>
    <w:rsid w:val="00D44DB5"/>
    <w:rsid w:val="00DF042A"/>
    <w:rsid w:val="00FB4F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435"/>
  </w:style>
  <w:style w:type="paragraph" w:styleId="Footer">
    <w:name w:val="footer"/>
    <w:basedOn w:val="Normal"/>
    <w:link w:val="FooterChar"/>
    <w:uiPriority w:val="99"/>
    <w:unhideWhenUsed/>
    <w:rsid w:val="00001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435"/>
  </w:style>
  <w:style w:type="paragraph" w:styleId="ListParagraph">
    <w:name w:val="List Paragraph"/>
    <w:basedOn w:val="Normal"/>
    <w:uiPriority w:val="34"/>
    <w:qFormat/>
    <w:rsid w:val="00001435"/>
    <w:pPr>
      <w:ind w:left="720"/>
      <w:contextualSpacing/>
    </w:pPr>
  </w:style>
  <w:style w:type="paragraph" w:styleId="BalloonText">
    <w:name w:val="Balloon Text"/>
    <w:basedOn w:val="Normal"/>
    <w:link w:val="BalloonTextChar"/>
    <w:uiPriority w:val="99"/>
    <w:semiHidden/>
    <w:unhideWhenUsed/>
    <w:rsid w:val="00AC5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4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435"/>
  </w:style>
  <w:style w:type="paragraph" w:styleId="Footer">
    <w:name w:val="footer"/>
    <w:basedOn w:val="Normal"/>
    <w:link w:val="FooterChar"/>
    <w:uiPriority w:val="99"/>
    <w:unhideWhenUsed/>
    <w:rsid w:val="00001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435"/>
  </w:style>
  <w:style w:type="paragraph" w:styleId="ListParagraph">
    <w:name w:val="List Paragraph"/>
    <w:basedOn w:val="Normal"/>
    <w:uiPriority w:val="34"/>
    <w:qFormat/>
    <w:rsid w:val="00001435"/>
    <w:pPr>
      <w:ind w:left="720"/>
      <w:contextualSpacing/>
    </w:pPr>
  </w:style>
  <w:style w:type="paragraph" w:styleId="BalloonText">
    <w:name w:val="Balloon Text"/>
    <w:basedOn w:val="Normal"/>
    <w:link w:val="BalloonTextChar"/>
    <w:uiPriority w:val="99"/>
    <w:semiHidden/>
    <w:unhideWhenUsed/>
    <w:rsid w:val="00AC5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2FB97-7387-4FDB-824F-622A333E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2013-02-20T07:08:00Z</cp:lastPrinted>
  <dcterms:created xsi:type="dcterms:W3CDTF">2013-02-15T07:20:00Z</dcterms:created>
  <dcterms:modified xsi:type="dcterms:W3CDTF">2013-02-20T13:29:00Z</dcterms:modified>
</cp:coreProperties>
</file>