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FB078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CHENESO MUVANDI </w:t>
      </w:r>
      <w:r w:rsidR="007B0C08">
        <w:rPr>
          <w:rFonts w:ascii="Times New Roman" w:hAnsi="Times New Roman" w:cs="Times New Roman"/>
          <w:sz w:val="24"/>
          <w:szCs w:val="24"/>
        </w:rPr>
        <w:t xml:space="preserve"> </w:t>
      </w:r>
      <w:r w:rsidR="00187801">
        <w:rPr>
          <w:rFonts w:ascii="Times New Roman" w:hAnsi="Times New Roman" w:cs="Times New Roman"/>
          <w:sz w:val="24"/>
          <w:szCs w:val="24"/>
        </w:rPr>
        <w:t xml:space="preserve"> </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3587A" w:rsidRDefault="00FB078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MUTARE</w:t>
      </w:r>
    </w:p>
    <w:p w:rsidR="007B2076" w:rsidRDefault="00D3587A"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7B0C08">
        <w:rPr>
          <w:rFonts w:ascii="Times New Roman" w:hAnsi="Times New Roman" w:cs="Times New Roman"/>
          <w:sz w:val="24"/>
          <w:szCs w:val="24"/>
        </w:rPr>
        <w:t xml:space="preserve"> </w:t>
      </w:r>
    </w:p>
    <w:p w:rsidR="00AB0A71" w:rsidRDefault="00D3587A"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MATIVENGA LLOYD MHISHI N.O </w:t>
      </w:r>
    </w:p>
    <w:p w:rsidR="00D3587A" w:rsidRDefault="00D3587A"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official capacity as the Executor of the Estate</w:t>
      </w:r>
    </w:p>
    <w:p w:rsidR="00D3587A" w:rsidRDefault="00D3587A"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Late Washington Jekanyika)</w:t>
      </w:r>
    </w:p>
    <w:p w:rsidR="00AB0A71" w:rsidRDefault="00AB0A71" w:rsidP="00A170B3">
      <w:pPr>
        <w:spacing w:after="0" w:line="240" w:lineRule="auto"/>
        <w:jc w:val="both"/>
        <w:rPr>
          <w:rFonts w:ascii="Times New Roman" w:hAnsi="Times New Roman" w:cs="Times New Roman"/>
          <w:sz w:val="24"/>
          <w:szCs w:val="24"/>
        </w:rPr>
      </w:pPr>
    </w:p>
    <w:p w:rsidR="00173D8A" w:rsidRDefault="00173D8A"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804681">
        <w:rPr>
          <w:rFonts w:ascii="Times New Roman" w:hAnsi="Times New Roman" w:cs="Times New Roman"/>
          <w:sz w:val="24"/>
          <w:szCs w:val="24"/>
        </w:rPr>
        <w:t>2</w:t>
      </w:r>
      <w:r w:rsidR="002C0464">
        <w:rPr>
          <w:rFonts w:ascii="Times New Roman" w:hAnsi="Times New Roman" w:cs="Times New Roman"/>
          <w:sz w:val="24"/>
          <w:szCs w:val="24"/>
        </w:rPr>
        <w:t>7</w:t>
      </w:r>
      <w:r w:rsidR="00804681">
        <w:rPr>
          <w:rFonts w:ascii="Times New Roman" w:hAnsi="Times New Roman" w:cs="Times New Roman"/>
          <w:sz w:val="24"/>
          <w:szCs w:val="24"/>
        </w:rPr>
        <w:t xml:space="preserve"> January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AF1B7F"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DB0589"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H. B R Tanaya</w:t>
      </w:r>
      <w:r>
        <w:rPr>
          <w:rFonts w:ascii="Times New Roman" w:hAnsi="Times New Roman" w:cs="Times New Roman"/>
          <w:sz w:val="24"/>
          <w:szCs w:val="24"/>
        </w:rPr>
        <w:t xml:space="preserve"> with </w:t>
      </w:r>
      <w:r w:rsidR="001457FB" w:rsidRPr="001457FB">
        <w:rPr>
          <w:rFonts w:ascii="Times New Roman" w:hAnsi="Times New Roman" w:cs="Times New Roman"/>
          <w:i/>
          <w:sz w:val="24"/>
          <w:szCs w:val="24"/>
        </w:rPr>
        <w:t>A. N</w:t>
      </w:r>
      <w:r>
        <w:rPr>
          <w:rFonts w:ascii="Times New Roman" w:hAnsi="Times New Roman" w:cs="Times New Roman"/>
          <w:sz w:val="24"/>
          <w:szCs w:val="24"/>
        </w:rPr>
        <w:t xml:space="preserve"> </w:t>
      </w:r>
      <w:r w:rsidRPr="00DB0589">
        <w:rPr>
          <w:rFonts w:ascii="Times New Roman" w:hAnsi="Times New Roman" w:cs="Times New Roman"/>
          <w:i/>
          <w:sz w:val="24"/>
          <w:szCs w:val="24"/>
        </w:rPr>
        <w:t>Nyamukondiwa</w:t>
      </w:r>
      <w:r w:rsidR="00512C69" w:rsidRPr="00DB0589">
        <w:rPr>
          <w:rFonts w:ascii="Times New Roman" w:hAnsi="Times New Roman" w:cs="Times New Roman"/>
          <w:sz w:val="24"/>
          <w:szCs w:val="24"/>
        </w:rPr>
        <w:t>,</w:t>
      </w:r>
      <w:r w:rsidR="00512C69">
        <w:rPr>
          <w:rFonts w:ascii="Times New Roman" w:hAnsi="Times New Roman" w:cs="Times New Roman"/>
          <w:sz w:val="24"/>
          <w:szCs w:val="24"/>
        </w:rPr>
        <w:t xml:space="preserve"> for the</w:t>
      </w:r>
      <w:r w:rsidR="000C41EB">
        <w:rPr>
          <w:rFonts w:ascii="Times New Roman" w:hAnsi="Times New Roman" w:cs="Times New Roman"/>
          <w:sz w:val="24"/>
          <w:szCs w:val="24"/>
        </w:rPr>
        <w:t xml:space="preserve"> </w:t>
      </w:r>
      <w:r>
        <w:rPr>
          <w:rFonts w:ascii="Times New Roman" w:hAnsi="Times New Roman" w:cs="Times New Roman"/>
          <w:sz w:val="24"/>
          <w:szCs w:val="24"/>
        </w:rPr>
        <w:t xml:space="preserve">applicant </w:t>
      </w:r>
      <w:r w:rsidR="000C41EB">
        <w:rPr>
          <w:rFonts w:ascii="Times New Roman" w:hAnsi="Times New Roman" w:cs="Times New Roman"/>
          <w:sz w:val="24"/>
          <w:szCs w:val="24"/>
        </w:rPr>
        <w:t xml:space="preserve"> </w:t>
      </w:r>
    </w:p>
    <w:p w:rsidR="00512C69" w:rsidRDefault="00DB0589"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Gutuza</w:t>
      </w:r>
      <w:r>
        <w:rPr>
          <w:rFonts w:ascii="Times New Roman" w:hAnsi="Times New Roman" w:cs="Times New Roman"/>
          <w:sz w:val="24"/>
          <w:szCs w:val="24"/>
        </w:rPr>
        <w:t xml:space="preserve">, </w:t>
      </w:r>
      <w:r w:rsidR="00512C69">
        <w:rPr>
          <w:rFonts w:ascii="Times New Roman" w:hAnsi="Times New Roman" w:cs="Times New Roman"/>
          <w:sz w:val="24"/>
          <w:szCs w:val="24"/>
        </w:rPr>
        <w:t xml:space="preserve">for the </w:t>
      </w:r>
      <w:r>
        <w:rPr>
          <w:rFonts w:ascii="Times New Roman" w:hAnsi="Times New Roman" w:cs="Times New Roman"/>
          <w:sz w:val="24"/>
          <w:szCs w:val="24"/>
        </w:rPr>
        <w:t>1</w:t>
      </w:r>
      <w:r w:rsidRPr="00DB058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C41EB">
        <w:rPr>
          <w:rFonts w:ascii="Times New Roman" w:hAnsi="Times New Roman" w:cs="Times New Roman"/>
          <w:sz w:val="24"/>
          <w:szCs w:val="24"/>
        </w:rPr>
        <w:t xml:space="preserve">respondent </w:t>
      </w:r>
    </w:p>
    <w:p w:rsidR="00DB0589" w:rsidRPr="00DB0589" w:rsidRDefault="00DB0589"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M. Mandingwa</w:t>
      </w:r>
      <w:r>
        <w:rPr>
          <w:rFonts w:ascii="Times New Roman" w:hAnsi="Times New Roman" w:cs="Times New Roman"/>
          <w:sz w:val="24"/>
          <w:szCs w:val="24"/>
        </w:rPr>
        <w:t>, for the 2</w:t>
      </w:r>
      <w:r w:rsidRPr="00DB058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9D1481" w:rsidRDefault="00921977" w:rsidP="00F60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w:t>
      </w:r>
      <w:bookmarkStart w:id="0" w:name="_GoBack"/>
      <w:bookmarkEnd w:id="0"/>
      <w:r>
        <w:rPr>
          <w:rFonts w:ascii="Times New Roman" w:hAnsi="Times New Roman" w:cs="Times New Roman"/>
          <w:sz w:val="24"/>
          <w:szCs w:val="24"/>
        </w:rPr>
        <w:t>A J:</w:t>
      </w:r>
      <w:r w:rsidR="009D1481">
        <w:rPr>
          <w:rFonts w:ascii="Times New Roman" w:hAnsi="Times New Roman" w:cs="Times New Roman"/>
          <w:sz w:val="24"/>
          <w:szCs w:val="24"/>
        </w:rPr>
        <w:t xml:space="preserve"> The applicant made an application seeking the following order:</w:t>
      </w:r>
    </w:p>
    <w:p w:rsidR="009D1481" w:rsidRDefault="009D1481" w:rsidP="009D1481">
      <w:pPr>
        <w:spacing w:after="0" w:line="240" w:lineRule="auto"/>
        <w:jc w:val="both"/>
        <w:rPr>
          <w:rFonts w:ascii="Times New Roman" w:hAnsi="Times New Roman" w:cs="Times New Roman"/>
          <w:szCs w:val="24"/>
        </w:rPr>
      </w:pPr>
      <w:r>
        <w:rPr>
          <w:rFonts w:ascii="Times New Roman" w:hAnsi="Times New Roman" w:cs="Times New Roman"/>
          <w:szCs w:val="24"/>
        </w:rPr>
        <w:tab/>
        <w:t>“IT IS HEREBY ORDERED THAT:</w:t>
      </w:r>
    </w:p>
    <w:p w:rsidR="009D1481" w:rsidRDefault="009D1481" w:rsidP="009D1481">
      <w:pPr>
        <w:spacing w:after="0" w:line="240" w:lineRule="auto"/>
        <w:jc w:val="both"/>
        <w:rPr>
          <w:rFonts w:ascii="Times New Roman" w:hAnsi="Times New Roman" w:cs="Times New Roman"/>
          <w:szCs w:val="24"/>
        </w:rPr>
      </w:pPr>
    </w:p>
    <w:p w:rsidR="00A84609" w:rsidRPr="00A84609" w:rsidRDefault="009D1481" w:rsidP="009D1481">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Cs w:val="24"/>
        </w:rPr>
        <w:t>The cancellation of the Memorandum of Agreement of Sale of Stand No. 11234 Darlington Extension, Mutare Township, measuring approximately 1, 1759 hectares, entered into by the City of Mutare and Washington Jekanyika, jointly together with</w:t>
      </w:r>
      <w:r w:rsidR="00A84609">
        <w:rPr>
          <w:rFonts w:ascii="Times New Roman" w:hAnsi="Times New Roman" w:cs="Times New Roman"/>
          <w:szCs w:val="24"/>
        </w:rPr>
        <w:t xml:space="preserve"> Cheneso Muvandi, is a nullity, of no force and effect. </w:t>
      </w:r>
    </w:p>
    <w:p w:rsidR="00A84609" w:rsidRPr="00A84609" w:rsidRDefault="00A84609" w:rsidP="00A84609">
      <w:pPr>
        <w:pStyle w:val="ListParagraph"/>
        <w:spacing w:after="0" w:line="240" w:lineRule="auto"/>
        <w:ind w:left="1080"/>
        <w:jc w:val="both"/>
        <w:rPr>
          <w:rFonts w:ascii="Times New Roman" w:hAnsi="Times New Roman" w:cs="Times New Roman"/>
          <w:sz w:val="24"/>
          <w:szCs w:val="24"/>
        </w:rPr>
      </w:pPr>
    </w:p>
    <w:p w:rsidR="00794251" w:rsidRPr="00D46DA5" w:rsidRDefault="00A84609" w:rsidP="00D46DA5">
      <w:pPr>
        <w:pStyle w:val="ListParagraph"/>
        <w:numPr>
          <w:ilvl w:val="0"/>
          <w:numId w:val="15"/>
        </w:numPr>
        <w:spacing w:after="0" w:line="240" w:lineRule="auto"/>
        <w:jc w:val="both"/>
        <w:rPr>
          <w:rFonts w:ascii="Times New Roman" w:hAnsi="Times New Roman" w:cs="Times New Roman"/>
          <w:szCs w:val="24"/>
        </w:rPr>
      </w:pPr>
      <w:r w:rsidRPr="00B3498D">
        <w:rPr>
          <w:rFonts w:ascii="Times New Roman" w:hAnsi="Times New Roman" w:cs="Times New Roman"/>
          <w:szCs w:val="24"/>
        </w:rPr>
        <w:t xml:space="preserve">The </w:t>
      </w:r>
      <w:r w:rsidR="00B3498D">
        <w:rPr>
          <w:rFonts w:ascii="Times New Roman" w:hAnsi="Times New Roman" w:cs="Times New Roman"/>
          <w:szCs w:val="24"/>
        </w:rPr>
        <w:t xml:space="preserve">Memorandum of Agreement of Sale of Stand No. 11234 Darlington Extension, Mutare Township, measuring approximately 1, 1759 hectares, entered into by the City of Mutare </w:t>
      </w:r>
      <w:r w:rsidR="00B3498D" w:rsidRPr="00D46DA5">
        <w:rPr>
          <w:rFonts w:ascii="Times New Roman" w:hAnsi="Times New Roman" w:cs="Times New Roman"/>
          <w:sz w:val="20"/>
          <w:szCs w:val="24"/>
        </w:rPr>
        <w:t>and Washington Jekanyika, jointly together with Cheneso Muvandi, is</w:t>
      </w:r>
      <w:r w:rsidR="00103CB5" w:rsidRPr="00D46DA5">
        <w:rPr>
          <w:rFonts w:ascii="Times New Roman" w:hAnsi="Times New Roman" w:cs="Times New Roman"/>
          <w:szCs w:val="24"/>
        </w:rPr>
        <w:t xml:space="preserve"> </w:t>
      </w:r>
      <w:r w:rsidR="00094DB6" w:rsidRPr="00D46DA5">
        <w:rPr>
          <w:rFonts w:ascii="Times New Roman" w:hAnsi="Times New Roman" w:cs="Times New Roman"/>
          <w:szCs w:val="24"/>
        </w:rPr>
        <w:t>declared valid.</w:t>
      </w:r>
    </w:p>
    <w:p w:rsidR="007D2F27" w:rsidRPr="00D46DA5" w:rsidRDefault="007D2F27" w:rsidP="00D46DA5">
      <w:pPr>
        <w:pStyle w:val="ListParagraph"/>
        <w:spacing w:line="240" w:lineRule="auto"/>
        <w:rPr>
          <w:rFonts w:ascii="Times New Roman" w:hAnsi="Times New Roman" w:cs="Times New Roman"/>
          <w:szCs w:val="24"/>
        </w:rPr>
      </w:pPr>
    </w:p>
    <w:p w:rsidR="007D2F27" w:rsidRPr="00D46DA5" w:rsidRDefault="007D2F27" w:rsidP="00D46DA5">
      <w:pPr>
        <w:pStyle w:val="ListParagraph"/>
        <w:numPr>
          <w:ilvl w:val="0"/>
          <w:numId w:val="15"/>
        </w:numPr>
        <w:spacing w:after="0" w:line="240" w:lineRule="auto"/>
        <w:jc w:val="both"/>
        <w:rPr>
          <w:rFonts w:ascii="Times New Roman" w:hAnsi="Times New Roman" w:cs="Times New Roman"/>
          <w:szCs w:val="24"/>
        </w:rPr>
      </w:pPr>
      <w:r w:rsidRPr="00D46DA5">
        <w:rPr>
          <w:rFonts w:ascii="Times New Roman" w:hAnsi="Times New Roman" w:cs="Times New Roman"/>
          <w:szCs w:val="24"/>
        </w:rPr>
        <w:t>The 1</w:t>
      </w:r>
      <w:r w:rsidRPr="00D46DA5">
        <w:rPr>
          <w:rFonts w:ascii="Times New Roman" w:hAnsi="Times New Roman" w:cs="Times New Roman"/>
          <w:szCs w:val="24"/>
          <w:vertAlign w:val="superscript"/>
        </w:rPr>
        <w:t>st</w:t>
      </w:r>
      <w:r w:rsidRPr="00D46DA5">
        <w:rPr>
          <w:rFonts w:ascii="Times New Roman" w:hAnsi="Times New Roman" w:cs="Times New Roman"/>
          <w:szCs w:val="24"/>
        </w:rPr>
        <w:t xml:space="preserve"> respondent shall pay costs of suit on a higher scale of attorney and client.” </w:t>
      </w:r>
    </w:p>
    <w:p w:rsidR="005E4BB7" w:rsidRPr="005E4BB7" w:rsidRDefault="005E4BB7" w:rsidP="005E4BB7">
      <w:pPr>
        <w:pStyle w:val="ListParagraph"/>
        <w:rPr>
          <w:rFonts w:ascii="Times New Roman" w:hAnsi="Times New Roman" w:cs="Times New Roman"/>
          <w:sz w:val="24"/>
          <w:szCs w:val="24"/>
        </w:rPr>
      </w:pPr>
    </w:p>
    <w:p w:rsidR="005E4BB7" w:rsidRDefault="000F256D" w:rsidP="005E4BB7">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w:t>
      </w:r>
      <w:r w:rsidR="001F32C7">
        <w:rPr>
          <w:rFonts w:ascii="Times New Roman" w:hAnsi="Times New Roman" w:cs="Times New Roman"/>
          <w:sz w:val="24"/>
          <w:szCs w:val="24"/>
        </w:rPr>
        <w:t>application</w:t>
      </w:r>
      <w:r>
        <w:rPr>
          <w:rFonts w:ascii="Times New Roman" w:hAnsi="Times New Roman" w:cs="Times New Roman"/>
          <w:sz w:val="24"/>
          <w:szCs w:val="24"/>
        </w:rPr>
        <w:t xml:space="preserve"> is opposed by the 1</w:t>
      </w:r>
      <w:r w:rsidRPr="000F256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City of Mutare</w:t>
      </w:r>
    </w:p>
    <w:p w:rsidR="00D46DA5" w:rsidRDefault="00D46DA5" w:rsidP="00D46DA5">
      <w:pPr>
        <w:spacing w:after="0" w:line="360" w:lineRule="auto"/>
        <w:jc w:val="both"/>
        <w:rPr>
          <w:rFonts w:ascii="Times New Roman" w:hAnsi="Times New Roman" w:cs="Times New Roman"/>
          <w:sz w:val="24"/>
          <w:szCs w:val="24"/>
        </w:rPr>
      </w:pPr>
    </w:p>
    <w:p w:rsidR="00D46DA5" w:rsidRDefault="00D46DA5" w:rsidP="00D46DA5">
      <w:pPr>
        <w:spacing w:after="0" w:line="360" w:lineRule="auto"/>
        <w:jc w:val="both"/>
        <w:rPr>
          <w:rFonts w:ascii="Times New Roman" w:hAnsi="Times New Roman" w:cs="Times New Roman"/>
          <w:sz w:val="24"/>
          <w:szCs w:val="24"/>
          <w:u w:val="single"/>
        </w:rPr>
      </w:pPr>
      <w:r w:rsidRPr="00D46DA5">
        <w:rPr>
          <w:rFonts w:ascii="Times New Roman" w:hAnsi="Times New Roman" w:cs="Times New Roman"/>
          <w:sz w:val="24"/>
          <w:szCs w:val="24"/>
          <w:u w:val="single"/>
        </w:rPr>
        <w:t>BACKGROUND</w:t>
      </w:r>
    </w:p>
    <w:p w:rsidR="008914B6" w:rsidRDefault="001E6F33" w:rsidP="00F8467B">
      <w:pPr>
        <w:spacing w:after="0" w:line="360" w:lineRule="auto"/>
        <w:ind w:firstLine="720"/>
        <w:jc w:val="both"/>
        <w:rPr>
          <w:rFonts w:ascii="Times New Roman" w:hAnsi="Times New Roman" w:cs="Times New Roman"/>
          <w:sz w:val="24"/>
          <w:szCs w:val="24"/>
        </w:rPr>
      </w:pPr>
      <w:r w:rsidRPr="002D2F40">
        <w:rPr>
          <w:rFonts w:ascii="Times New Roman" w:hAnsi="Times New Roman" w:cs="Times New Roman"/>
          <w:sz w:val="24"/>
          <w:szCs w:val="24"/>
        </w:rPr>
        <w:t xml:space="preserve">On 20 July </w:t>
      </w:r>
      <w:r w:rsidR="00F8467B" w:rsidRPr="002D2F40">
        <w:rPr>
          <w:rFonts w:ascii="Times New Roman" w:hAnsi="Times New Roman" w:cs="Times New Roman"/>
          <w:sz w:val="24"/>
          <w:szCs w:val="24"/>
        </w:rPr>
        <w:t xml:space="preserve">2016 Clayhill Trading (Private Limited entered </w:t>
      </w:r>
      <w:r w:rsidR="002D2F40" w:rsidRPr="002D2F40">
        <w:rPr>
          <w:rFonts w:ascii="Times New Roman" w:hAnsi="Times New Roman" w:cs="Times New Roman"/>
          <w:sz w:val="24"/>
          <w:szCs w:val="24"/>
        </w:rPr>
        <w:t>into</w:t>
      </w:r>
      <w:r w:rsidR="00F8467B" w:rsidRPr="002D2F40">
        <w:rPr>
          <w:rFonts w:ascii="Times New Roman" w:hAnsi="Times New Roman" w:cs="Times New Roman"/>
          <w:sz w:val="24"/>
          <w:szCs w:val="24"/>
        </w:rPr>
        <w:t xml:space="preserve"> an agreement of sale</w:t>
      </w:r>
      <w:r w:rsidR="002D2F40" w:rsidRPr="002D2F40">
        <w:rPr>
          <w:rFonts w:ascii="Times New Roman" w:hAnsi="Times New Roman" w:cs="Times New Roman"/>
          <w:sz w:val="24"/>
          <w:szCs w:val="24"/>
        </w:rPr>
        <w:t xml:space="preserve"> of a piece of land, namely Stand No. 11234 Darlington Extension, Mutare Township, measuring 1, 1759</w:t>
      </w:r>
      <w:r w:rsidR="002D2F40">
        <w:rPr>
          <w:rFonts w:ascii="Times New Roman" w:hAnsi="Times New Roman" w:cs="Times New Roman"/>
          <w:sz w:val="24"/>
          <w:szCs w:val="24"/>
        </w:rPr>
        <w:t xml:space="preserve"> hectares, with applicant and her late husband Washington Jekanyika. The purchase price was US$62 000-00. Clause 3 of the agreement of sale stipulated the payment plan: US$20 000-00 was payable against the signing of the agreement, US$20 000-00 was payable 3 weeks after the signing of cession papers. The balance of US$22 000-00 was going to be liquidated through monthly instalments of US$4, 000-00 commencing 30 September 2016. </w:t>
      </w:r>
    </w:p>
    <w:p w:rsidR="008914B6" w:rsidRDefault="008914B6" w:rsidP="00F846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preamble to the memorandum of agreement of sale between the seller and buyer provided that the buyers had to demand transfer from the Municipality of Mutare of such immovable property so purchased by the buyer, however the seller was responsible for the payment of all cession costs, including the city council’s cession fees and capital gain tax, if any (clause 8 of the agreement of sale). During the same year, 2016, the first respondent, City of Mutare, entered into an agreement of sale with the applicant and her husband, under clause 2 of this agreement, the purchase price “was the intrinsic value paid by Clayhill (Pvt) Ltd.</w:t>
      </w:r>
      <w:r w:rsidR="00991FE7">
        <w:rPr>
          <w:rFonts w:ascii="Times New Roman" w:hAnsi="Times New Roman" w:cs="Times New Roman"/>
          <w:sz w:val="24"/>
          <w:szCs w:val="24"/>
        </w:rPr>
        <w:t>”</w:t>
      </w:r>
      <w:r>
        <w:rPr>
          <w:rFonts w:ascii="Times New Roman" w:hAnsi="Times New Roman" w:cs="Times New Roman"/>
          <w:sz w:val="24"/>
          <w:szCs w:val="24"/>
        </w:rPr>
        <w:t xml:space="preserve"> Clause 14 thereto stipulates that the purchasers shall demand transfer of the stand fr</w:t>
      </w:r>
      <w:r w:rsidR="00991FE7">
        <w:rPr>
          <w:rFonts w:ascii="Times New Roman" w:hAnsi="Times New Roman" w:cs="Times New Roman"/>
          <w:sz w:val="24"/>
          <w:szCs w:val="24"/>
        </w:rPr>
        <w:t>om the seller upon completion on</w:t>
      </w:r>
      <w:r>
        <w:rPr>
          <w:rFonts w:ascii="Times New Roman" w:hAnsi="Times New Roman" w:cs="Times New Roman"/>
          <w:sz w:val="24"/>
          <w:szCs w:val="24"/>
        </w:rPr>
        <w:t xml:space="preserve"> the main building. The agreement of sale does not state any conditions for breach o</w:t>
      </w:r>
      <w:r w:rsidR="00991FE7">
        <w:rPr>
          <w:rFonts w:ascii="Times New Roman" w:hAnsi="Times New Roman" w:cs="Times New Roman"/>
          <w:sz w:val="24"/>
          <w:szCs w:val="24"/>
        </w:rPr>
        <w:t>r</w:t>
      </w:r>
      <w:r>
        <w:rPr>
          <w:rFonts w:ascii="Times New Roman" w:hAnsi="Times New Roman" w:cs="Times New Roman"/>
          <w:sz w:val="24"/>
          <w:szCs w:val="24"/>
        </w:rPr>
        <w:t xml:space="preserve"> grounds for cancellation of the agreement of sale. </w:t>
      </w:r>
    </w:p>
    <w:p w:rsidR="007219E4" w:rsidRDefault="007219E4" w:rsidP="00F846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24 September 2019 the City of Mutare wrote a letter to the applicant’s legal practitioners indicating that the agreement of </w:t>
      </w:r>
      <w:r w:rsidR="00704AFB">
        <w:rPr>
          <w:rFonts w:ascii="Times New Roman" w:hAnsi="Times New Roman" w:cs="Times New Roman"/>
          <w:sz w:val="24"/>
          <w:szCs w:val="24"/>
        </w:rPr>
        <w:t>sale</w:t>
      </w:r>
      <w:r>
        <w:rPr>
          <w:rFonts w:ascii="Times New Roman" w:hAnsi="Times New Roman" w:cs="Times New Roman"/>
          <w:sz w:val="24"/>
          <w:szCs w:val="24"/>
        </w:rPr>
        <w:t xml:space="preserve"> between itself, the applicant and her husband had been cancelled. First respondent alleged in the letter the applicant’s late </w:t>
      </w:r>
      <w:r w:rsidR="00704AFB">
        <w:rPr>
          <w:rFonts w:ascii="Times New Roman" w:hAnsi="Times New Roman" w:cs="Times New Roman"/>
          <w:sz w:val="24"/>
          <w:szCs w:val="24"/>
        </w:rPr>
        <w:t>husband</w:t>
      </w:r>
      <w:r>
        <w:rPr>
          <w:rFonts w:ascii="Times New Roman" w:hAnsi="Times New Roman" w:cs="Times New Roman"/>
          <w:sz w:val="24"/>
          <w:szCs w:val="24"/>
        </w:rPr>
        <w:t xml:space="preserve">, Mr W. Jekanyika had </w:t>
      </w:r>
      <w:r w:rsidR="00704AFB">
        <w:rPr>
          <w:rFonts w:ascii="Times New Roman" w:hAnsi="Times New Roman" w:cs="Times New Roman"/>
          <w:sz w:val="24"/>
          <w:szCs w:val="24"/>
        </w:rPr>
        <w:t>misrepresented</w:t>
      </w:r>
      <w:r>
        <w:rPr>
          <w:rFonts w:ascii="Times New Roman" w:hAnsi="Times New Roman" w:cs="Times New Roman"/>
          <w:sz w:val="24"/>
          <w:szCs w:val="24"/>
        </w:rPr>
        <w:t xml:space="preserve"> to the city council that he had fully paid the purchase price of the property to the developer, Clayhill and that </w:t>
      </w:r>
      <w:r w:rsidR="00704AFB">
        <w:rPr>
          <w:rFonts w:ascii="Times New Roman" w:hAnsi="Times New Roman" w:cs="Times New Roman"/>
          <w:sz w:val="24"/>
          <w:szCs w:val="24"/>
        </w:rPr>
        <w:t>Clayhill had</w:t>
      </w:r>
      <w:r>
        <w:rPr>
          <w:rFonts w:ascii="Times New Roman" w:hAnsi="Times New Roman" w:cs="Times New Roman"/>
          <w:sz w:val="24"/>
          <w:szCs w:val="24"/>
        </w:rPr>
        <w:t xml:space="preserve"> since cancelled the first </w:t>
      </w:r>
      <w:r w:rsidR="00704AFB">
        <w:rPr>
          <w:rFonts w:ascii="Times New Roman" w:hAnsi="Times New Roman" w:cs="Times New Roman"/>
          <w:sz w:val="24"/>
          <w:szCs w:val="24"/>
        </w:rPr>
        <w:t>agreement</w:t>
      </w:r>
      <w:r>
        <w:rPr>
          <w:rFonts w:ascii="Times New Roman" w:hAnsi="Times New Roman" w:cs="Times New Roman"/>
          <w:sz w:val="24"/>
          <w:szCs w:val="24"/>
        </w:rPr>
        <w:t xml:space="preserve"> </w:t>
      </w:r>
      <w:r w:rsidR="00704AFB">
        <w:rPr>
          <w:rFonts w:ascii="Times New Roman" w:hAnsi="Times New Roman" w:cs="Times New Roman"/>
          <w:sz w:val="24"/>
          <w:szCs w:val="24"/>
        </w:rPr>
        <w:t>of sale</w:t>
      </w:r>
      <w:r>
        <w:rPr>
          <w:rFonts w:ascii="Times New Roman" w:hAnsi="Times New Roman" w:cs="Times New Roman"/>
          <w:sz w:val="24"/>
          <w:szCs w:val="24"/>
        </w:rPr>
        <w:t xml:space="preserve">. As a result of the “fraud” committed by the </w:t>
      </w:r>
      <w:r w:rsidR="00704AFB">
        <w:rPr>
          <w:rFonts w:ascii="Times New Roman" w:hAnsi="Times New Roman" w:cs="Times New Roman"/>
          <w:sz w:val="24"/>
          <w:szCs w:val="24"/>
        </w:rPr>
        <w:t>purchasers</w:t>
      </w:r>
      <w:r>
        <w:rPr>
          <w:rFonts w:ascii="Times New Roman" w:hAnsi="Times New Roman" w:cs="Times New Roman"/>
          <w:sz w:val="24"/>
          <w:szCs w:val="24"/>
        </w:rPr>
        <w:t xml:space="preserve">, the first respondent was cancelling the agreement of sale. A lot of correspondences were exchanged between the city </w:t>
      </w:r>
      <w:r w:rsidR="00704AFB">
        <w:rPr>
          <w:rFonts w:ascii="Times New Roman" w:hAnsi="Times New Roman" w:cs="Times New Roman"/>
          <w:sz w:val="24"/>
          <w:szCs w:val="24"/>
        </w:rPr>
        <w:t>council’s</w:t>
      </w:r>
      <w:r>
        <w:rPr>
          <w:rFonts w:ascii="Times New Roman" w:hAnsi="Times New Roman" w:cs="Times New Roman"/>
          <w:sz w:val="24"/>
          <w:szCs w:val="24"/>
        </w:rPr>
        <w:t xml:space="preserve"> legal practitioners and the purchasers’ lawyers but nothing came out of the </w:t>
      </w:r>
      <w:r w:rsidR="00704AFB">
        <w:rPr>
          <w:rFonts w:ascii="Times New Roman" w:hAnsi="Times New Roman" w:cs="Times New Roman"/>
          <w:sz w:val="24"/>
          <w:szCs w:val="24"/>
        </w:rPr>
        <w:t>correspondences</w:t>
      </w:r>
      <w:r>
        <w:rPr>
          <w:rFonts w:ascii="Times New Roman" w:hAnsi="Times New Roman" w:cs="Times New Roman"/>
          <w:sz w:val="24"/>
          <w:szCs w:val="24"/>
        </w:rPr>
        <w:t xml:space="preserve"> until the applicant app</w:t>
      </w:r>
      <w:r w:rsidR="00704AFB">
        <w:rPr>
          <w:rFonts w:ascii="Times New Roman" w:hAnsi="Times New Roman" w:cs="Times New Roman"/>
          <w:sz w:val="24"/>
          <w:szCs w:val="24"/>
        </w:rPr>
        <w:t>roached this court. C</w:t>
      </w:r>
      <w:r>
        <w:rPr>
          <w:rFonts w:ascii="Times New Roman" w:hAnsi="Times New Roman" w:cs="Times New Roman"/>
          <w:sz w:val="24"/>
          <w:szCs w:val="24"/>
        </w:rPr>
        <w:t xml:space="preserve">layhill (Pvt) Ltd had since issued summons against the purchasers  claiming an amount of US$28 000-00 for </w:t>
      </w:r>
      <w:r w:rsidR="00704AFB">
        <w:rPr>
          <w:rFonts w:ascii="Times New Roman" w:hAnsi="Times New Roman" w:cs="Times New Roman"/>
          <w:sz w:val="24"/>
          <w:szCs w:val="24"/>
        </w:rPr>
        <w:t>arrear</w:t>
      </w:r>
      <w:r>
        <w:rPr>
          <w:rFonts w:ascii="Times New Roman" w:hAnsi="Times New Roman" w:cs="Times New Roman"/>
          <w:sz w:val="24"/>
          <w:szCs w:val="24"/>
        </w:rPr>
        <w:t xml:space="preserve"> payments, it is important to note </w:t>
      </w:r>
      <w:r w:rsidR="00704AFB">
        <w:rPr>
          <w:rFonts w:ascii="Times New Roman" w:hAnsi="Times New Roman" w:cs="Times New Roman"/>
          <w:sz w:val="24"/>
          <w:szCs w:val="24"/>
        </w:rPr>
        <w:t>that there</w:t>
      </w:r>
      <w:r>
        <w:rPr>
          <w:rFonts w:ascii="Times New Roman" w:hAnsi="Times New Roman" w:cs="Times New Roman"/>
          <w:sz w:val="24"/>
          <w:szCs w:val="24"/>
        </w:rPr>
        <w:t xml:space="preserve"> is no  allegation nor prayer </w:t>
      </w:r>
      <w:r w:rsidR="000646D2">
        <w:rPr>
          <w:rFonts w:ascii="Times New Roman" w:hAnsi="Times New Roman" w:cs="Times New Roman"/>
          <w:sz w:val="24"/>
          <w:szCs w:val="24"/>
        </w:rPr>
        <w:t>by</w:t>
      </w:r>
      <w:r>
        <w:rPr>
          <w:rFonts w:ascii="Times New Roman" w:hAnsi="Times New Roman" w:cs="Times New Roman"/>
          <w:sz w:val="24"/>
          <w:szCs w:val="24"/>
        </w:rPr>
        <w:t xml:space="preserve"> Clayhill for the cancellation of the agreement of sale or a misrepresentation on the part of the applicant and her late husband. </w:t>
      </w:r>
    </w:p>
    <w:p w:rsidR="000646D2" w:rsidRDefault="000646D2" w:rsidP="00F846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in its opposing papers contends that the applicants’ application should fail for failing to join Clayhill Trading (Private) Limited as a party to the proceedings. As already addressed in the foregoing above, the first respondent went on to state that applicant and her husband breached the terms of their agreement with Clayhill by failing to pay </w:t>
      </w:r>
      <w:r w:rsidR="00991FE7">
        <w:rPr>
          <w:rFonts w:ascii="Times New Roman" w:hAnsi="Times New Roman" w:cs="Times New Roman"/>
          <w:sz w:val="24"/>
          <w:szCs w:val="24"/>
        </w:rPr>
        <w:t xml:space="preserve">the </w:t>
      </w:r>
      <w:r>
        <w:rPr>
          <w:rFonts w:ascii="Times New Roman" w:hAnsi="Times New Roman" w:cs="Times New Roman"/>
          <w:sz w:val="24"/>
          <w:szCs w:val="24"/>
        </w:rPr>
        <w:t xml:space="preserve">full purchase price and that led to the cancellation of the agreement of sale by letter of 21 November 2016 written by Clayhill Property Development. Hence the agreement of sale between </w:t>
      </w:r>
      <w:r w:rsidR="002242D0">
        <w:rPr>
          <w:rFonts w:ascii="Times New Roman" w:hAnsi="Times New Roman" w:cs="Times New Roman"/>
          <w:sz w:val="24"/>
          <w:szCs w:val="24"/>
        </w:rPr>
        <w:t xml:space="preserve">City of Mutare and the applicant and her husband was a nullity because at the time it was drafted, the city council did not hold any rights, interest or title in the stand, instead such rights were vested with Clayhill, and as such the cancellation of the agreement was above board and before the cancellation of that agreement, applicant’s legal practitioners were fully appraised of the whole scenario of the events. To the respondent the relief being sought by the applicant </w:t>
      </w:r>
      <w:r w:rsidR="00991FE7">
        <w:rPr>
          <w:rFonts w:ascii="Times New Roman" w:hAnsi="Times New Roman" w:cs="Times New Roman"/>
          <w:sz w:val="24"/>
          <w:szCs w:val="24"/>
        </w:rPr>
        <w:t>h</w:t>
      </w:r>
      <w:r w:rsidR="002242D0">
        <w:rPr>
          <w:rFonts w:ascii="Times New Roman" w:hAnsi="Times New Roman" w:cs="Times New Roman"/>
          <w:sz w:val="24"/>
          <w:szCs w:val="24"/>
        </w:rPr>
        <w:t xml:space="preserve">as no basis. </w:t>
      </w:r>
    </w:p>
    <w:p w:rsidR="002242D0" w:rsidRDefault="002242D0" w:rsidP="00F846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respondent is an estate of the late Washington Jekanyika. The executor had notified the registrar of the court that he will abide by the decision of this court.</w:t>
      </w:r>
    </w:p>
    <w:p w:rsidR="00696614" w:rsidRDefault="002242D0" w:rsidP="00F846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applicant and first respondent had raised preliminary points in their respective papers and I directed the legal practitioners to holistically address the court by commencing with points </w:t>
      </w:r>
      <w:r>
        <w:rPr>
          <w:rFonts w:ascii="Times New Roman" w:hAnsi="Times New Roman" w:cs="Times New Roman"/>
          <w:i/>
          <w:sz w:val="24"/>
          <w:szCs w:val="24"/>
        </w:rPr>
        <w:t>in limine</w:t>
      </w:r>
      <w:r>
        <w:rPr>
          <w:rFonts w:ascii="Times New Roman" w:hAnsi="Times New Roman" w:cs="Times New Roman"/>
          <w:sz w:val="24"/>
          <w:szCs w:val="24"/>
        </w:rPr>
        <w:t xml:space="preserve"> and then the main issues.</w:t>
      </w:r>
    </w:p>
    <w:p w:rsidR="00696614" w:rsidRDefault="00696614" w:rsidP="00696614">
      <w:pPr>
        <w:spacing w:after="0" w:line="360" w:lineRule="auto"/>
        <w:jc w:val="both"/>
        <w:rPr>
          <w:rFonts w:ascii="Times New Roman" w:hAnsi="Times New Roman" w:cs="Times New Roman"/>
          <w:sz w:val="24"/>
          <w:szCs w:val="24"/>
        </w:rPr>
      </w:pPr>
    </w:p>
    <w:p w:rsidR="002242D0" w:rsidRPr="00696614" w:rsidRDefault="00696614" w:rsidP="00696614">
      <w:pPr>
        <w:spacing w:after="0" w:line="360" w:lineRule="auto"/>
        <w:jc w:val="both"/>
        <w:rPr>
          <w:rFonts w:ascii="Times New Roman" w:hAnsi="Times New Roman" w:cs="Times New Roman"/>
          <w:sz w:val="24"/>
          <w:szCs w:val="24"/>
          <w:u w:val="single"/>
        </w:rPr>
      </w:pPr>
      <w:r w:rsidRPr="00696614">
        <w:rPr>
          <w:rFonts w:ascii="Times New Roman" w:hAnsi="Times New Roman" w:cs="Times New Roman"/>
          <w:sz w:val="24"/>
          <w:szCs w:val="24"/>
          <w:u w:val="single"/>
        </w:rPr>
        <w:t xml:space="preserve">Applicant’s point </w:t>
      </w:r>
      <w:r w:rsidRPr="00696614">
        <w:rPr>
          <w:rFonts w:ascii="Times New Roman" w:hAnsi="Times New Roman" w:cs="Times New Roman"/>
          <w:i/>
          <w:sz w:val="24"/>
          <w:szCs w:val="24"/>
          <w:u w:val="single"/>
        </w:rPr>
        <w:t>in limine</w:t>
      </w:r>
      <w:r w:rsidR="002242D0" w:rsidRPr="00696614">
        <w:rPr>
          <w:rFonts w:ascii="Times New Roman" w:hAnsi="Times New Roman" w:cs="Times New Roman"/>
          <w:sz w:val="24"/>
          <w:szCs w:val="24"/>
          <w:u w:val="single"/>
        </w:rPr>
        <w:t xml:space="preserve"> </w:t>
      </w:r>
    </w:p>
    <w:p w:rsidR="003A7EED" w:rsidRDefault="000B051D" w:rsidP="00F846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on filing her affidavit raised a preliminary point to the effect that the first respondent’s</w:t>
      </w:r>
      <w:r w:rsidR="00153E35">
        <w:rPr>
          <w:rFonts w:ascii="Times New Roman" w:hAnsi="Times New Roman" w:cs="Times New Roman"/>
          <w:sz w:val="24"/>
          <w:szCs w:val="24"/>
        </w:rPr>
        <w:t xml:space="preserve"> </w:t>
      </w:r>
      <w:r w:rsidR="00966186">
        <w:rPr>
          <w:rFonts w:ascii="Times New Roman" w:hAnsi="Times New Roman" w:cs="Times New Roman"/>
          <w:sz w:val="24"/>
          <w:szCs w:val="24"/>
        </w:rPr>
        <w:t>T</w:t>
      </w:r>
      <w:r w:rsidR="00153E35">
        <w:rPr>
          <w:rFonts w:ascii="Times New Roman" w:hAnsi="Times New Roman" w:cs="Times New Roman"/>
          <w:sz w:val="24"/>
          <w:szCs w:val="24"/>
        </w:rPr>
        <w:t xml:space="preserve">own </w:t>
      </w:r>
      <w:r w:rsidR="00966186">
        <w:rPr>
          <w:rFonts w:ascii="Times New Roman" w:hAnsi="Times New Roman" w:cs="Times New Roman"/>
          <w:sz w:val="24"/>
          <w:szCs w:val="24"/>
        </w:rPr>
        <w:t>C</w:t>
      </w:r>
      <w:r w:rsidR="00153E35">
        <w:rPr>
          <w:rFonts w:ascii="Times New Roman" w:hAnsi="Times New Roman" w:cs="Times New Roman"/>
          <w:sz w:val="24"/>
          <w:szCs w:val="24"/>
        </w:rPr>
        <w:t>lerk in filing the opposing affidavit was not authorised by the council. Hence the application should proceed</w:t>
      </w:r>
      <w:r w:rsidR="00966186">
        <w:rPr>
          <w:rFonts w:ascii="Times New Roman" w:hAnsi="Times New Roman" w:cs="Times New Roman"/>
          <w:sz w:val="24"/>
          <w:szCs w:val="24"/>
        </w:rPr>
        <w:t xml:space="preserve"> as unopposed</w:t>
      </w:r>
      <w:r w:rsidR="009C083A">
        <w:rPr>
          <w:rFonts w:ascii="Times New Roman" w:hAnsi="Times New Roman" w:cs="Times New Roman"/>
          <w:sz w:val="24"/>
          <w:szCs w:val="24"/>
        </w:rPr>
        <w:t xml:space="preserve">. </w:t>
      </w:r>
      <w:r w:rsidR="00721ACD">
        <w:rPr>
          <w:rFonts w:ascii="Times New Roman" w:hAnsi="Times New Roman" w:cs="Times New Roman"/>
          <w:sz w:val="24"/>
          <w:szCs w:val="24"/>
        </w:rPr>
        <w:t>The a</w:t>
      </w:r>
      <w:r w:rsidR="009C083A">
        <w:rPr>
          <w:rFonts w:ascii="Times New Roman" w:hAnsi="Times New Roman" w:cs="Times New Roman"/>
          <w:sz w:val="24"/>
          <w:szCs w:val="24"/>
        </w:rPr>
        <w:t xml:space="preserve">pplicant amplified her argument by submitting that first respondent’s notice of opposition is fatally defective for warrant of a proper opposing affidavit. The Town Clerk, Mr Maligwa, did not attach authority which he alleges to have to depose to the affidavit. Mr </w:t>
      </w:r>
      <w:r w:rsidR="009C083A">
        <w:rPr>
          <w:rFonts w:ascii="Times New Roman" w:hAnsi="Times New Roman" w:cs="Times New Roman"/>
          <w:i/>
          <w:sz w:val="24"/>
          <w:szCs w:val="24"/>
        </w:rPr>
        <w:t>Tanaya</w:t>
      </w:r>
      <w:r w:rsidR="009C083A">
        <w:rPr>
          <w:rFonts w:ascii="Times New Roman" w:hAnsi="Times New Roman" w:cs="Times New Roman"/>
          <w:sz w:val="24"/>
          <w:szCs w:val="24"/>
        </w:rPr>
        <w:t>, to advance his argument, cited s 136 (2) of the Urban Councils Act [</w:t>
      </w:r>
      <w:r w:rsidR="009C083A">
        <w:rPr>
          <w:rFonts w:ascii="Times New Roman" w:hAnsi="Times New Roman" w:cs="Times New Roman"/>
          <w:i/>
          <w:sz w:val="24"/>
          <w:szCs w:val="24"/>
        </w:rPr>
        <w:t>Chapter 29:15</w:t>
      </w:r>
      <w:r w:rsidR="009C083A">
        <w:rPr>
          <w:rFonts w:ascii="Times New Roman" w:hAnsi="Times New Roman" w:cs="Times New Roman"/>
          <w:sz w:val="24"/>
          <w:szCs w:val="24"/>
        </w:rPr>
        <w:t xml:space="preserve">] which basically provides as follows: </w:t>
      </w:r>
    </w:p>
    <w:p w:rsidR="00CE7D22" w:rsidRDefault="00CE7D22" w:rsidP="00CE7D22">
      <w:pPr>
        <w:spacing w:after="0" w:line="240" w:lineRule="auto"/>
        <w:ind w:firstLine="720"/>
        <w:jc w:val="both"/>
        <w:rPr>
          <w:rFonts w:ascii="Times New Roman" w:hAnsi="Times New Roman" w:cs="Times New Roman"/>
          <w:szCs w:val="24"/>
        </w:rPr>
      </w:pPr>
      <w:r>
        <w:rPr>
          <w:rFonts w:ascii="Times New Roman" w:hAnsi="Times New Roman" w:cs="Times New Roman"/>
          <w:szCs w:val="24"/>
        </w:rPr>
        <w:t>“</w:t>
      </w:r>
      <w:r w:rsidRPr="00CE7D22">
        <w:rPr>
          <w:rFonts w:ascii="Times New Roman" w:hAnsi="Times New Roman" w:cs="Times New Roman"/>
          <w:szCs w:val="24"/>
          <w:u w:val="single"/>
        </w:rPr>
        <w:t>Functions of town clerk</w:t>
      </w:r>
    </w:p>
    <w:p w:rsidR="00D46DA5" w:rsidRDefault="000B051D" w:rsidP="00CE7D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D2F40" w:rsidRPr="002D2F40">
        <w:rPr>
          <w:rFonts w:ascii="Times New Roman" w:hAnsi="Times New Roman" w:cs="Times New Roman"/>
          <w:sz w:val="24"/>
          <w:szCs w:val="24"/>
        </w:rPr>
        <w:t xml:space="preserve"> </w:t>
      </w:r>
    </w:p>
    <w:p w:rsidR="00CE7D22" w:rsidRDefault="00CE7D22" w:rsidP="00CE7D22">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town clerk shall be responsible for- </w:t>
      </w:r>
    </w:p>
    <w:p w:rsidR="00945ECE" w:rsidRDefault="00945ECE" w:rsidP="00945ECE">
      <w:pPr>
        <w:pStyle w:val="ListParagraph"/>
        <w:spacing w:after="0" w:line="240" w:lineRule="auto"/>
        <w:ind w:left="1080"/>
        <w:jc w:val="both"/>
        <w:rPr>
          <w:rFonts w:ascii="Times New Roman" w:hAnsi="Times New Roman" w:cs="Times New Roman"/>
          <w:sz w:val="24"/>
          <w:szCs w:val="24"/>
        </w:rPr>
      </w:pPr>
    </w:p>
    <w:p w:rsidR="00CE7D22" w:rsidRDefault="00CE7D22" w:rsidP="00CE7D22">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proper administration of the council;  and </w:t>
      </w:r>
    </w:p>
    <w:p w:rsidR="00CE7D22" w:rsidRDefault="00CE7D22" w:rsidP="00CE7D22">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managing the operations  and property of the council; and</w:t>
      </w:r>
    </w:p>
    <w:p w:rsidR="00CE7D22" w:rsidRDefault="00CE7D22" w:rsidP="00CE7D22">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supervising and controlling the activities of the employees of the council in the course of their employment. </w:t>
      </w:r>
    </w:p>
    <w:p w:rsidR="0030352C" w:rsidRDefault="0030352C" w:rsidP="0030352C">
      <w:pPr>
        <w:pStyle w:val="ListParagraph"/>
        <w:spacing w:after="0" w:line="240" w:lineRule="auto"/>
        <w:ind w:left="1440"/>
        <w:jc w:val="both"/>
        <w:rPr>
          <w:rFonts w:ascii="Times New Roman" w:hAnsi="Times New Roman" w:cs="Times New Roman"/>
          <w:sz w:val="24"/>
          <w:szCs w:val="24"/>
        </w:rPr>
      </w:pPr>
    </w:p>
    <w:p w:rsidR="00945ECE" w:rsidRDefault="0030352C" w:rsidP="00945ECE">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purposes of subsection (1),the town clerk, in addition to any other duties that may be assigned to him by the council shall, </w:t>
      </w:r>
    </w:p>
    <w:p w:rsidR="0030352C" w:rsidRDefault="0030352C" w:rsidP="0030352C">
      <w:pPr>
        <w:pStyle w:val="ListParagraph"/>
        <w:spacing w:after="0" w:line="240" w:lineRule="auto"/>
        <w:ind w:left="1080"/>
        <w:jc w:val="both"/>
        <w:rPr>
          <w:rFonts w:ascii="Times New Roman" w:hAnsi="Times New Roman" w:cs="Times New Roman"/>
          <w:sz w:val="24"/>
          <w:szCs w:val="24"/>
        </w:rPr>
      </w:pPr>
    </w:p>
    <w:p w:rsidR="0030352C" w:rsidRDefault="0030352C" w:rsidP="0030352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w:t>
      </w:r>
    </w:p>
    <w:p w:rsidR="0030352C" w:rsidRDefault="0030352C" w:rsidP="0030352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 where so authorised by the council, sign orders, notices, or any document requiring authentication, or execution on behalf of the council…” </w:t>
      </w:r>
    </w:p>
    <w:p w:rsidR="0030352C" w:rsidRPr="0030352C" w:rsidRDefault="0030352C" w:rsidP="0030352C">
      <w:pPr>
        <w:spacing w:after="0" w:line="240" w:lineRule="auto"/>
        <w:jc w:val="both"/>
        <w:rPr>
          <w:rFonts w:ascii="Times New Roman" w:hAnsi="Times New Roman" w:cs="Times New Roman"/>
          <w:sz w:val="24"/>
          <w:szCs w:val="24"/>
        </w:rPr>
      </w:pPr>
    </w:p>
    <w:p w:rsidR="00D46DA5" w:rsidRDefault="0030352C" w:rsidP="00D46D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5E25">
        <w:rPr>
          <w:rFonts w:ascii="Times New Roman" w:hAnsi="Times New Roman" w:cs="Times New Roman"/>
          <w:sz w:val="24"/>
          <w:szCs w:val="24"/>
        </w:rPr>
        <w:t xml:space="preserve">As such, applicant, contended, the town clerk was required to produce a resolution on which he relies on </w:t>
      </w:r>
      <w:r w:rsidR="00D13461">
        <w:rPr>
          <w:rFonts w:ascii="Times New Roman" w:hAnsi="Times New Roman" w:cs="Times New Roman"/>
          <w:sz w:val="24"/>
          <w:szCs w:val="24"/>
        </w:rPr>
        <w:t>not</w:t>
      </w:r>
      <w:r w:rsidR="00735E25">
        <w:rPr>
          <w:rFonts w:ascii="Times New Roman" w:hAnsi="Times New Roman" w:cs="Times New Roman"/>
          <w:sz w:val="24"/>
          <w:szCs w:val="24"/>
        </w:rPr>
        <w:t xml:space="preserve"> depose to the opposing affidavit. To the applicant, the town clerk has no automatic authority to oppose this matter. </w:t>
      </w:r>
    </w:p>
    <w:p w:rsidR="00735E25" w:rsidRPr="00EE3560" w:rsidRDefault="00735E25" w:rsidP="00D46D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respondent, in response to this p</w:t>
      </w:r>
      <w:r w:rsidR="006641D0">
        <w:rPr>
          <w:rFonts w:ascii="Times New Roman" w:hAnsi="Times New Roman" w:cs="Times New Roman"/>
          <w:sz w:val="24"/>
          <w:szCs w:val="24"/>
        </w:rPr>
        <w:t>o</w:t>
      </w:r>
      <w:r>
        <w:rPr>
          <w:rFonts w:ascii="Times New Roman" w:hAnsi="Times New Roman" w:cs="Times New Roman"/>
          <w:sz w:val="24"/>
          <w:szCs w:val="24"/>
        </w:rPr>
        <w:t xml:space="preserve">int </w:t>
      </w:r>
      <w:r>
        <w:rPr>
          <w:rFonts w:ascii="Times New Roman" w:hAnsi="Times New Roman" w:cs="Times New Roman"/>
          <w:i/>
          <w:sz w:val="24"/>
          <w:szCs w:val="24"/>
        </w:rPr>
        <w:t>in limine</w:t>
      </w:r>
      <w:r>
        <w:rPr>
          <w:rFonts w:ascii="Times New Roman" w:hAnsi="Times New Roman" w:cs="Times New Roman"/>
          <w:sz w:val="24"/>
          <w:szCs w:val="24"/>
        </w:rPr>
        <w:t xml:space="preserve"> submitted that the absence of the resolution does not prove that the </w:t>
      </w:r>
      <w:r w:rsidR="00D13461">
        <w:rPr>
          <w:rFonts w:ascii="Times New Roman" w:hAnsi="Times New Roman" w:cs="Times New Roman"/>
          <w:sz w:val="24"/>
          <w:szCs w:val="24"/>
        </w:rPr>
        <w:t>town</w:t>
      </w:r>
      <w:r>
        <w:rPr>
          <w:rFonts w:ascii="Times New Roman" w:hAnsi="Times New Roman" w:cs="Times New Roman"/>
          <w:sz w:val="24"/>
          <w:szCs w:val="24"/>
        </w:rPr>
        <w:t xml:space="preserve"> </w:t>
      </w:r>
      <w:r w:rsidR="00D13461">
        <w:rPr>
          <w:rFonts w:ascii="Times New Roman" w:hAnsi="Times New Roman" w:cs="Times New Roman"/>
          <w:sz w:val="24"/>
          <w:szCs w:val="24"/>
        </w:rPr>
        <w:t>clerk</w:t>
      </w:r>
      <w:r>
        <w:rPr>
          <w:rFonts w:ascii="Times New Roman" w:hAnsi="Times New Roman" w:cs="Times New Roman"/>
          <w:sz w:val="24"/>
          <w:szCs w:val="24"/>
        </w:rPr>
        <w:t xml:space="preserve"> did not have authority. The town clerk is the chief executive officer of the first </w:t>
      </w:r>
      <w:r w:rsidR="00D13461">
        <w:rPr>
          <w:rFonts w:ascii="Times New Roman" w:hAnsi="Times New Roman" w:cs="Times New Roman"/>
          <w:sz w:val="24"/>
          <w:szCs w:val="24"/>
        </w:rPr>
        <w:t>respondent</w:t>
      </w:r>
      <w:r>
        <w:rPr>
          <w:rFonts w:ascii="Times New Roman" w:hAnsi="Times New Roman" w:cs="Times New Roman"/>
          <w:sz w:val="24"/>
          <w:szCs w:val="24"/>
        </w:rPr>
        <w:t xml:space="preserve"> and </w:t>
      </w:r>
      <w:r w:rsidR="00D13461">
        <w:rPr>
          <w:rFonts w:ascii="Times New Roman" w:hAnsi="Times New Roman" w:cs="Times New Roman"/>
          <w:sz w:val="24"/>
          <w:szCs w:val="24"/>
        </w:rPr>
        <w:t>in charge</w:t>
      </w:r>
      <w:r>
        <w:rPr>
          <w:rFonts w:ascii="Times New Roman" w:hAnsi="Times New Roman" w:cs="Times New Roman"/>
          <w:sz w:val="24"/>
          <w:szCs w:val="24"/>
        </w:rPr>
        <w:t xml:space="preserve"> of the entity including litigation and </w:t>
      </w:r>
      <w:r>
        <w:rPr>
          <w:rFonts w:ascii="Times New Roman" w:hAnsi="Times New Roman" w:cs="Times New Roman"/>
          <w:sz w:val="24"/>
          <w:szCs w:val="24"/>
        </w:rPr>
        <w:lastRenderedPageBreak/>
        <w:t xml:space="preserve">defending council. Ms </w:t>
      </w:r>
      <w:r w:rsidR="00C86377">
        <w:rPr>
          <w:rFonts w:ascii="Times New Roman" w:hAnsi="Times New Roman" w:cs="Times New Roman"/>
          <w:i/>
          <w:sz w:val="24"/>
          <w:szCs w:val="24"/>
        </w:rPr>
        <w:t>G</w:t>
      </w:r>
      <w:r>
        <w:rPr>
          <w:rFonts w:ascii="Times New Roman" w:hAnsi="Times New Roman" w:cs="Times New Roman"/>
          <w:i/>
          <w:sz w:val="24"/>
          <w:szCs w:val="24"/>
        </w:rPr>
        <w:t>utuza</w:t>
      </w:r>
      <w:r>
        <w:rPr>
          <w:rFonts w:ascii="Times New Roman" w:hAnsi="Times New Roman" w:cs="Times New Roman"/>
          <w:sz w:val="24"/>
          <w:szCs w:val="24"/>
        </w:rPr>
        <w:t xml:space="preserve"> went on to cite the case of </w:t>
      </w:r>
      <w:r>
        <w:rPr>
          <w:rFonts w:ascii="Times New Roman" w:hAnsi="Times New Roman" w:cs="Times New Roman"/>
          <w:i/>
          <w:sz w:val="24"/>
          <w:szCs w:val="24"/>
        </w:rPr>
        <w:t xml:space="preserve">Tian Ze </w:t>
      </w:r>
      <w:r w:rsidR="00C86377">
        <w:rPr>
          <w:rFonts w:ascii="Times New Roman" w:hAnsi="Times New Roman" w:cs="Times New Roman"/>
          <w:i/>
          <w:sz w:val="24"/>
          <w:szCs w:val="24"/>
        </w:rPr>
        <w:t>Tobacco</w:t>
      </w:r>
      <w:r>
        <w:rPr>
          <w:rFonts w:ascii="Times New Roman" w:hAnsi="Times New Roman" w:cs="Times New Roman"/>
          <w:i/>
          <w:sz w:val="24"/>
          <w:szCs w:val="24"/>
        </w:rPr>
        <w:t xml:space="preserve"> Co. (Pvt) Ltd</w:t>
      </w:r>
      <w:r w:rsidR="00C86377">
        <w:rPr>
          <w:rFonts w:ascii="Times New Roman" w:hAnsi="Times New Roman" w:cs="Times New Roman"/>
          <w:i/>
          <w:sz w:val="24"/>
          <w:szCs w:val="24"/>
        </w:rPr>
        <w:t xml:space="preserve"> </w:t>
      </w:r>
      <w:r>
        <w:rPr>
          <w:rFonts w:ascii="Times New Roman" w:hAnsi="Times New Roman" w:cs="Times New Roman"/>
          <w:i/>
          <w:sz w:val="24"/>
          <w:szCs w:val="24"/>
        </w:rPr>
        <w:t>v Muntuyedwa</w:t>
      </w:r>
      <w:r>
        <w:rPr>
          <w:rStyle w:val="FootnoteReference"/>
          <w:rFonts w:ascii="Times New Roman" w:hAnsi="Times New Roman" w:cs="Times New Roman"/>
          <w:i/>
          <w:sz w:val="24"/>
          <w:szCs w:val="24"/>
        </w:rPr>
        <w:footnoteReference w:id="1"/>
      </w:r>
      <w:r w:rsidR="0008542C">
        <w:rPr>
          <w:rFonts w:ascii="Times New Roman" w:hAnsi="Times New Roman" w:cs="Times New Roman"/>
          <w:sz w:val="24"/>
          <w:szCs w:val="24"/>
        </w:rPr>
        <w:t xml:space="preserve"> and also the matte of </w:t>
      </w:r>
      <w:r w:rsidR="0008542C">
        <w:rPr>
          <w:rFonts w:ascii="Times New Roman" w:hAnsi="Times New Roman" w:cs="Times New Roman"/>
          <w:i/>
          <w:sz w:val="24"/>
          <w:szCs w:val="24"/>
        </w:rPr>
        <w:t>Zimbabwe Open University v M</w:t>
      </w:r>
      <w:r w:rsidR="00531234">
        <w:rPr>
          <w:rFonts w:ascii="Times New Roman" w:hAnsi="Times New Roman" w:cs="Times New Roman"/>
          <w:i/>
          <w:sz w:val="24"/>
          <w:szCs w:val="24"/>
        </w:rPr>
        <w:t>agaramombe and A</w:t>
      </w:r>
      <w:r w:rsidR="0008542C">
        <w:rPr>
          <w:rFonts w:ascii="Times New Roman" w:hAnsi="Times New Roman" w:cs="Times New Roman"/>
          <w:i/>
          <w:sz w:val="24"/>
          <w:szCs w:val="24"/>
        </w:rPr>
        <w:t>nother</w:t>
      </w:r>
      <w:r w:rsidR="00EE3560">
        <w:rPr>
          <w:rFonts w:ascii="Times New Roman" w:hAnsi="Times New Roman" w:cs="Times New Roman"/>
          <w:i/>
          <w:sz w:val="24"/>
          <w:szCs w:val="24"/>
        </w:rPr>
        <w:t>.</w:t>
      </w:r>
      <w:r w:rsidR="0008542C">
        <w:rPr>
          <w:rStyle w:val="FootnoteReference"/>
          <w:rFonts w:ascii="Times New Roman" w:hAnsi="Times New Roman" w:cs="Times New Roman"/>
          <w:i/>
          <w:sz w:val="24"/>
          <w:szCs w:val="24"/>
        </w:rPr>
        <w:footnoteReference w:id="2"/>
      </w:r>
      <w:r w:rsidR="00EE3560">
        <w:rPr>
          <w:rFonts w:ascii="Times New Roman" w:hAnsi="Times New Roman" w:cs="Times New Roman"/>
          <w:sz w:val="24"/>
          <w:szCs w:val="24"/>
        </w:rPr>
        <w:t xml:space="preserve"> </w:t>
      </w:r>
    </w:p>
    <w:p w:rsidR="006D5266" w:rsidRDefault="00EE3560"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summary the first respondent submitted that the averment in the deponent’s opposing affidavit is adequate and in its view there was no need to attach the resolution reached by the full council meeting. </w:t>
      </w:r>
    </w:p>
    <w:p w:rsidR="003D7F2D" w:rsidRDefault="006D5266"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nature of the facts in this application more particularly the stance adopted by the first respondent towards the </w:t>
      </w:r>
      <w:r w:rsidR="00251BB5">
        <w:rPr>
          <w:rFonts w:ascii="Times New Roman" w:hAnsi="Times New Roman" w:cs="Times New Roman"/>
          <w:sz w:val="24"/>
          <w:szCs w:val="24"/>
        </w:rPr>
        <w:t>application</w:t>
      </w:r>
      <w:r>
        <w:rPr>
          <w:rFonts w:ascii="Times New Roman" w:hAnsi="Times New Roman" w:cs="Times New Roman"/>
          <w:sz w:val="24"/>
          <w:szCs w:val="24"/>
        </w:rPr>
        <w:t xml:space="preserve"> the </w:t>
      </w:r>
      <w:r w:rsidR="00251BB5">
        <w:rPr>
          <w:rFonts w:ascii="Times New Roman" w:hAnsi="Times New Roman" w:cs="Times New Roman"/>
          <w:sz w:val="24"/>
          <w:szCs w:val="24"/>
        </w:rPr>
        <w:t>applicants’</w:t>
      </w:r>
      <w:r>
        <w:rPr>
          <w:rFonts w:ascii="Times New Roman" w:hAnsi="Times New Roman" w:cs="Times New Roman"/>
          <w:sz w:val="24"/>
          <w:szCs w:val="24"/>
        </w:rPr>
        <w:t xml:space="preserve"> contention holds firm. It was incumbent upon the council to deliberate on the facts of this matter and consider whether there was any basis to oppose the </w:t>
      </w:r>
      <w:r w:rsidR="00251BB5">
        <w:rPr>
          <w:rFonts w:ascii="Times New Roman" w:hAnsi="Times New Roman" w:cs="Times New Roman"/>
          <w:sz w:val="24"/>
          <w:szCs w:val="24"/>
        </w:rPr>
        <w:t>application</w:t>
      </w:r>
      <w:r>
        <w:rPr>
          <w:rFonts w:ascii="Times New Roman" w:hAnsi="Times New Roman" w:cs="Times New Roman"/>
          <w:sz w:val="24"/>
          <w:szCs w:val="24"/>
        </w:rPr>
        <w:t xml:space="preserve"> brought about by </w:t>
      </w:r>
      <w:r w:rsidR="00251BB5">
        <w:rPr>
          <w:rFonts w:ascii="Times New Roman" w:hAnsi="Times New Roman" w:cs="Times New Roman"/>
          <w:sz w:val="24"/>
          <w:szCs w:val="24"/>
        </w:rPr>
        <w:t>the</w:t>
      </w:r>
      <w:r>
        <w:rPr>
          <w:rFonts w:ascii="Times New Roman" w:hAnsi="Times New Roman" w:cs="Times New Roman"/>
          <w:sz w:val="24"/>
          <w:szCs w:val="24"/>
        </w:rPr>
        <w:t xml:space="preserve"> applicant and also seriously outline the </w:t>
      </w:r>
      <w:r w:rsidR="00251BB5">
        <w:rPr>
          <w:rFonts w:ascii="Times New Roman" w:hAnsi="Times New Roman" w:cs="Times New Roman"/>
          <w:sz w:val="24"/>
          <w:szCs w:val="24"/>
        </w:rPr>
        <w:t>basis of</w:t>
      </w:r>
      <w:r>
        <w:rPr>
          <w:rFonts w:ascii="Times New Roman" w:hAnsi="Times New Roman" w:cs="Times New Roman"/>
          <w:sz w:val="24"/>
          <w:szCs w:val="24"/>
        </w:rPr>
        <w:t xml:space="preserve"> such opposition. This analysis would be dealt with below on the aspect of costs but given the provisions of s 136 (2) I agree with the </w:t>
      </w:r>
      <w:r w:rsidR="00251BB5">
        <w:rPr>
          <w:rFonts w:ascii="Times New Roman" w:hAnsi="Times New Roman" w:cs="Times New Roman"/>
          <w:sz w:val="24"/>
          <w:szCs w:val="24"/>
        </w:rPr>
        <w:t>applicants’</w:t>
      </w:r>
      <w:r>
        <w:rPr>
          <w:rFonts w:ascii="Times New Roman" w:hAnsi="Times New Roman" w:cs="Times New Roman"/>
          <w:sz w:val="24"/>
          <w:szCs w:val="24"/>
        </w:rPr>
        <w:t xml:space="preserve">  counsel, that there </w:t>
      </w:r>
      <w:r w:rsidR="007E7E96">
        <w:rPr>
          <w:rFonts w:ascii="Times New Roman" w:hAnsi="Times New Roman" w:cs="Times New Roman"/>
          <w:sz w:val="24"/>
          <w:szCs w:val="24"/>
        </w:rPr>
        <w:t xml:space="preserve">was  need for a special resolution passed by the council mandating the town clerk to depose to an opposing affidavit on its behalf. At the </w:t>
      </w:r>
      <w:r w:rsidR="00251BB5">
        <w:rPr>
          <w:rFonts w:ascii="Times New Roman" w:hAnsi="Times New Roman" w:cs="Times New Roman"/>
          <w:sz w:val="24"/>
          <w:szCs w:val="24"/>
        </w:rPr>
        <w:t>same</w:t>
      </w:r>
      <w:r w:rsidR="007E7E96">
        <w:rPr>
          <w:rFonts w:ascii="Times New Roman" w:hAnsi="Times New Roman" w:cs="Times New Roman"/>
          <w:sz w:val="24"/>
          <w:szCs w:val="24"/>
        </w:rPr>
        <w:t xml:space="preserve"> time, this court will not lose sight of </w:t>
      </w:r>
      <w:r w:rsidR="00251BB5">
        <w:rPr>
          <w:rFonts w:ascii="Times New Roman" w:hAnsi="Times New Roman" w:cs="Times New Roman"/>
          <w:sz w:val="24"/>
          <w:szCs w:val="24"/>
        </w:rPr>
        <w:t>the fact</w:t>
      </w:r>
      <w:r w:rsidR="007E7E96">
        <w:rPr>
          <w:rFonts w:ascii="Times New Roman" w:hAnsi="Times New Roman" w:cs="Times New Roman"/>
          <w:sz w:val="24"/>
          <w:szCs w:val="24"/>
        </w:rPr>
        <w:t xml:space="preserve"> that there is an opposing affidavit before it which affidavit contains material documents that are going to be </w:t>
      </w:r>
      <w:r w:rsidR="0026658F">
        <w:rPr>
          <w:rFonts w:ascii="Times New Roman" w:hAnsi="Times New Roman" w:cs="Times New Roman"/>
          <w:sz w:val="24"/>
          <w:szCs w:val="24"/>
        </w:rPr>
        <w:t xml:space="preserve">of </w:t>
      </w:r>
      <w:r w:rsidR="007E7E96">
        <w:rPr>
          <w:rFonts w:ascii="Times New Roman" w:hAnsi="Times New Roman" w:cs="Times New Roman"/>
          <w:sz w:val="24"/>
          <w:szCs w:val="24"/>
        </w:rPr>
        <w:t xml:space="preserve">a great assistance in the resolution of this application. It will be in the interests of justice that I will condone the failure to file that resolution by the first respondent and allow the first respondent to be heard on merits, </w:t>
      </w:r>
      <w:r w:rsidR="00251BB5">
        <w:rPr>
          <w:rFonts w:ascii="Times New Roman" w:hAnsi="Times New Roman" w:cs="Times New Roman"/>
          <w:sz w:val="24"/>
          <w:szCs w:val="24"/>
        </w:rPr>
        <w:t>applicants’</w:t>
      </w:r>
      <w:r w:rsidR="007E7E96">
        <w:rPr>
          <w:rFonts w:ascii="Times New Roman" w:hAnsi="Times New Roman" w:cs="Times New Roman"/>
          <w:sz w:val="24"/>
          <w:szCs w:val="24"/>
        </w:rPr>
        <w:t xml:space="preserve"> point </w:t>
      </w:r>
      <w:r w:rsidR="007E7E96">
        <w:rPr>
          <w:rFonts w:ascii="Times New Roman" w:hAnsi="Times New Roman" w:cs="Times New Roman"/>
          <w:i/>
          <w:sz w:val="24"/>
          <w:szCs w:val="24"/>
        </w:rPr>
        <w:t xml:space="preserve">in limine </w:t>
      </w:r>
      <w:r w:rsidR="007E7E96">
        <w:rPr>
          <w:rFonts w:ascii="Times New Roman" w:hAnsi="Times New Roman" w:cs="Times New Roman"/>
          <w:sz w:val="24"/>
          <w:szCs w:val="24"/>
        </w:rPr>
        <w:t>though valid is dismissed.</w:t>
      </w:r>
    </w:p>
    <w:p w:rsidR="003D7F2D" w:rsidRDefault="003D7F2D" w:rsidP="00074133">
      <w:pPr>
        <w:spacing w:after="0" w:line="360" w:lineRule="auto"/>
        <w:jc w:val="both"/>
        <w:rPr>
          <w:rFonts w:ascii="Times New Roman" w:hAnsi="Times New Roman" w:cs="Times New Roman"/>
          <w:sz w:val="24"/>
          <w:szCs w:val="24"/>
        </w:rPr>
      </w:pPr>
    </w:p>
    <w:p w:rsidR="001B0D2A" w:rsidRPr="003D7F2D" w:rsidRDefault="003D7F2D" w:rsidP="00074133">
      <w:pPr>
        <w:spacing w:after="0" w:line="360" w:lineRule="auto"/>
        <w:jc w:val="both"/>
        <w:rPr>
          <w:rFonts w:ascii="Times New Roman" w:hAnsi="Times New Roman" w:cs="Times New Roman"/>
          <w:szCs w:val="24"/>
          <w:u w:val="single"/>
        </w:rPr>
      </w:pPr>
      <w:r w:rsidRPr="003D7F2D">
        <w:rPr>
          <w:rFonts w:ascii="Times New Roman" w:hAnsi="Times New Roman" w:cs="Times New Roman"/>
          <w:sz w:val="24"/>
          <w:szCs w:val="24"/>
          <w:u w:val="single"/>
        </w:rPr>
        <w:t xml:space="preserve">First Respondent’s point </w:t>
      </w:r>
      <w:r w:rsidRPr="003D7F2D">
        <w:rPr>
          <w:rFonts w:ascii="Times New Roman" w:hAnsi="Times New Roman" w:cs="Times New Roman"/>
          <w:i/>
          <w:sz w:val="24"/>
          <w:szCs w:val="24"/>
          <w:u w:val="single"/>
        </w:rPr>
        <w:t>in limine</w:t>
      </w:r>
      <w:r w:rsidR="007E7E96" w:rsidRPr="003D7F2D">
        <w:rPr>
          <w:rFonts w:ascii="Times New Roman" w:hAnsi="Times New Roman" w:cs="Times New Roman"/>
          <w:sz w:val="24"/>
          <w:szCs w:val="24"/>
          <w:u w:val="single"/>
        </w:rPr>
        <w:t xml:space="preserve"> </w:t>
      </w:r>
      <w:r w:rsidR="00EE3560" w:rsidRPr="003D7F2D">
        <w:rPr>
          <w:rFonts w:ascii="Times New Roman" w:hAnsi="Times New Roman" w:cs="Times New Roman"/>
          <w:sz w:val="24"/>
          <w:szCs w:val="24"/>
          <w:u w:val="single"/>
        </w:rPr>
        <w:t xml:space="preserve"> </w:t>
      </w:r>
      <w:r w:rsidR="006060F2" w:rsidRPr="003D7F2D">
        <w:rPr>
          <w:rFonts w:ascii="Times New Roman" w:hAnsi="Times New Roman" w:cs="Times New Roman"/>
          <w:sz w:val="24"/>
          <w:szCs w:val="24"/>
          <w:u w:val="single"/>
        </w:rPr>
        <w:t xml:space="preserve"> </w:t>
      </w:r>
    </w:p>
    <w:p w:rsidR="001E16DE" w:rsidRDefault="006B214B" w:rsidP="006B214B">
      <w:pPr>
        <w:spacing w:after="0" w:line="360" w:lineRule="auto"/>
        <w:ind w:firstLine="720"/>
        <w:jc w:val="both"/>
        <w:rPr>
          <w:rFonts w:ascii="Times New Roman" w:hAnsi="Times New Roman" w:cs="Times New Roman"/>
          <w:sz w:val="24"/>
          <w:szCs w:val="24"/>
        </w:rPr>
      </w:pPr>
      <w:r w:rsidRPr="006B214B">
        <w:rPr>
          <w:rFonts w:ascii="Times New Roman" w:hAnsi="Times New Roman" w:cs="Times New Roman"/>
          <w:sz w:val="24"/>
          <w:szCs w:val="24"/>
        </w:rPr>
        <w:t xml:space="preserve">On 29 October 2019 the first respondent filed its opposing affidavit and </w:t>
      </w:r>
      <w:r w:rsidR="001E16DE" w:rsidRPr="006B214B">
        <w:rPr>
          <w:rFonts w:ascii="Times New Roman" w:hAnsi="Times New Roman" w:cs="Times New Roman"/>
          <w:sz w:val="24"/>
          <w:szCs w:val="24"/>
        </w:rPr>
        <w:t>raised</w:t>
      </w:r>
      <w:r w:rsidRPr="006B214B">
        <w:rPr>
          <w:rFonts w:ascii="Times New Roman" w:hAnsi="Times New Roman" w:cs="Times New Roman"/>
          <w:sz w:val="24"/>
          <w:szCs w:val="24"/>
        </w:rPr>
        <w:t xml:space="preserve"> a preliminary </w:t>
      </w:r>
      <w:r w:rsidR="000449B5" w:rsidRPr="006B214B">
        <w:rPr>
          <w:rFonts w:ascii="Times New Roman" w:hAnsi="Times New Roman" w:cs="Times New Roman"/>
          <w:sz w:val="24"/>
          <w:szCs w:val="24"/>
        </w:rPr>
        <w:t>point</w:t>
      </w:r>
      <w:r w:rsidR="000449B5">
        <w:rPr>
          <w:rFonts w:ascii="Times New Roman" w:hAnsi="Times New Roman" w:cs="Times New Roman"/>
          <w:sz w:val="24"/>
          <w:szCs w:val="24"/>
        </w:rPr>
        <w:t xml:space="preserve"> to</w:t>
      </w:r>
      <w:r w:rsidR="001E16DE">
        <w:rPr>
          <w:rFonts w:ascii="Times New Roman" w:hAnsi="Times New Roman" w:cs="Times New Roman"/>
          <w:sz w:val="24"/>
          <w:szCs w:val="24"/>
        </w:rPr>
        <w:t xml:space="preserve"> the effect that applicant ought to have joined Clayhill </w:t>
      </w:r>
      <w:r w:rsidR="000449B5">
        <w:rPr>
          <w:rFonts w:ascii="Times New Roman" w:hAnsi="Times New Roman" w:cs="Times New Roman"/>
          <w:sz w:val="24"/>
          <w:szCs w:val="24"/>
        </w:rPr>
        <w:t>Trading</w:t>
      </w:r>
      <w:r w:rsidR="001E16DE">
        <w:rPr>
          <w:rFonts w:ascii="Times New Roman" w:hAnsi="Times New Roman" w:cs="Times New Roman"/>
          <w:sz w:val="24"/>
          <w:szCs w:val="24"/>
        </w:rPr>
        <w:t xml:space="preserve"> (Private) Limited from whom applicant allegedly purchased the stand in </w:t>
      </w:r>
      <w:r w:rsidR="000449B5">
        <w:rPr>
          <w:rFonts w:ascii="Times New Roman" w:hAnsi="Times New Roman" w:cs="Times New Roman"/>
          <w:sz w:val="24"/>
          <w:szCs w:val="24"/>
        </w:rPr>
        <w:t>dispute</w:t>
      </w:r>
      <w:r w:rsidR="001E16DE">
        <w:rPr>
          <w:rFonts w:ascii="Times New Roman" w:hAnsi="Times New Roman" w:cs="Times New Roman"/>
          <w:sz w:val="24"/>
          <w:szCs w:val="24"/>
        </w:rPr>
        <w:t xml:space="preserve">. According to first respondent Clayhill is still the holder of all rights, interests and title in the stand and it cancelled the agreement between it and </w:t>
      </w:r>
      <w:r w:rsidR="000449B5">
        <w:rPr>
          <w:rFonts w:ascii="Times New Roman" w:hAnsi="Times New Roman" w:cs="Times New Roman"/>
          <w:sz w:val="24"/>
          <w:szCs w:val="24"/>
        </w:rPr>
        <w:t>applicant</w:t>
      </w:r>
      <w:r w:rsidR="001E16DE">
        <w:rPr>
          <w:rFonts w:ascii="Times New Roman" w:hAnsi="Times New Roman" w:cs="Times New Roman"/>
          <w:sz w:val="24"/>
          <w:szCs w:val="24"/>
        </w:rPr>
        <w:t>.</w:t>
      </w:r>
      <w:r w:rsidR="000449B5">
        <w:rPr>
          <w:rFonts w:ascii="Times New Roman" w:hAnsi="Times New Roman" w:cs="Times New Roman"/>
          <w:sz w:val="24"/>
          <w:szCs w:val="24"/>
        </w:rPr>
        <w:t xml:space="preserve"> First</w:t>
      </w:r>
      <w:r w:rsidR="001E16DE">
        <w:rPr>
          <w:rFonts w:ascii="Times New Roman" w:hAnsi="Times New Roman" w:cs="Times New Roman"/>
          <w:sz w:val="24"/>
          <w:szCs w:val="24"/>
        </w:rPr>
        <w:t xml:space="preserve"> respondent added that given the nature of </w:t>
      </w:r>
      <w:r w:rsidR="000449B5">
        <w:rPr>
          <w:rFonts w:ascii="Times New Roman" w:hAnsi="Times New Roman" w:cs="Times New Roman"/>
          <w:sz w:val="24"/>
          <w:szCs w:val="24"/>
        </w:rPr>
        <w:t>relief</w:t>
      </w:r>
      <w:r w:rsidR="001E16DE">
        <w:rPr>
          <w:rFonts w:ascii="Times New Roman" w:hAnsi="Times New Roman" w:cs="Times New Roman"/>
          <w:sz w:val="24"/>
          <w:szCs w:val="24"/>
        </w:rPr>
        <w:t xml:space="preserve"> being sought by the applicant, the ultimate order cannot be effectively carried out, without the involvement of Clayhill. This non joinder is fatal to </w:t>
      </w:r>
      <w:r w:rsidR="000449B5">
        <w:rPr>
          <w:rFonts w:ascii="Times New Roman" w:hAnsi="Times New Roman" w:cs="Times New Roman"/>
          <w:sz w:val="24"/>
          <w:szCs w:val="24"/>
        </w:rPr>
        <w:t>applicants’</w:t>
      </w:r>
      <w:r w:rsidR="001E16DE">
        <w:rPr>
          <w:rFonts w:ascii="Times New Roman" w:hAnsi="Times New Roman" w:cs="Times New Roman"/>
          <w:sz w:val="24"/>
          <w:szCs w:val="24"/>
        </w:rPr>
        <w:t xml:space="preserve"> case.</w:t>
      </w:r>
    </w:p>
    <w:p w:rsidR="00383B5B" w:rsidRDefault="00383B5B" w:rsidP="006B2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preliminary point raised the applicant contented that there </w:t>
      </w:r>
      <w:r w:rsidR="00D13461">
        <w:rPr>
          <w:rFonts w:ascii="Times New Roman" w:hAnsi="Times New Roman" w:cs="Times New Roman"/>
          <w:sz w:val="24"/>
          <w:szCs w:val="24"/>
        </w:rPr>
        <w:t>was</w:t>
      </w:r>
      <w:r>
        <w:rPr>
          <w:rFonts w:ascii="Times New Roman" w:hAnsi="Times New Roman" w:cs="Times New Roman"/>
          <w:sz w:val="24"/>
          <w:szCs w:val="24"/>
        </w:rPr>
        <w:t xml:space="preserve"> no need for the applicant to cite Clayhill because applicant’s course of action arises out of </w:t>
      </w:r>
      <w:r w:rsidR="00D13461">
        <w:rPr>
          <w:rFonts w:ascii="Times New Roman" w:hAnsi="Times New Roman" w:cs="Times New Roman"/>
          <w:sz w:val="24"/>
          <w:szCs w:val="24"/>
        </w:rPr>
        <w:t>a contract</w:t>
      </w:r>
      <w:r>
        <w:rPr>
          <w:rFonts w:ascii="Times New Roman" w:hAnsi="Times New Roman" w:cs="Times New Roman"/>
          <w:sz w:val="24"/>
          <w:szCs w:val="24"/>
        </w:rPr>
        <w:t xml:space="preserve"> between applicant, her husband and first respondent, Clayhill is not party to that agreement. By the doctrine of</w:t>
      </w:r>
      <w:r w:rsidR="0026658F">
        <w:rPr>
          <w:rFonts w:ascii="Times New Roman" w:hAnsi="Times New Roman" w:cs="Times New Roman"/>
          <w:sz w:val="24"/>
          <w:szCs w:val="24"/>
        </w:rPr>
        <w:t xml:space="preserve"> privity of</w:t>
      </w:r>
      <w:r>
        <w:rPr>
          <w:rFonts w:ascii="Times New Roman" w:hAnsi="Times New Roman" w:cs="Times New Roman"/>
          <w:sz w:val="24"/>
          <w:szCs w:val="24"/>
        </w:rPr>
        <w:t xml:space="preserve"> contract, there is nothing that affects the company that arises from the four corners of the agreement. It is the council which is the holder of </w:t>
      </w:r>
      <w:r w:rsidR="00C13D59">
        <w:rPr>
          <w:rFonts w:ascii="Times New Roman" w:hAnsi="Times New Roman" w:cs="Times New Roman"/>
          <w:sz w:val="24"/>
          <w:szCs w:val="24"/>
        </w:rPr>
        <w:t>real rights</w:t>
      </w:r>
      <w:r>
        <w:rPr>
          <w:rFonts w:ascii="Times New Roman" w:hAnsi="Times New Roman" w:cs="Times New Roman"/>
          <w:sz w:val="24"/>
          <w:szCs w:val="24"/>
        </w:rPr>
        <w:t xml:space="preserve"> </w:t>
      </w:r>
      <w:r>
        <w:rPr>
          <w:rFonts w:ascii="Times New Roman" w:hAnsi="Times New Roman" w:cs="Times New Roman"/>
          <w:sz w:val="24"/>
          <w:szCs w:val="24"/>
        </w:rPr>
        <w:lastRenderedPageBreak/>
        <w:t>on the property in question. The applicant attached copy of summons commencing action issued by Clayhill against the late Washington Jekanyika</w:t>
      </w:r>
      <w:r w:rsidR="00102EF6">
        <w:rPr>
          <w:rFonts w:ascii="Times New Roman" w:hAnsi="Times New Roman" w:cs="Times New Roman"/>
          <w:sz w:val="24"/>
          <w:szCs w:val="24"/>
        </w:rPr>
        <w:t xml:space="preserve"> and the applicant</w:t>
      </w:r>
      <w:r w:rsidR="00F66BD9">
        <w:rPr>
          <w:rFonts w:ascii="Times New Roman" w:hAnsi="Times New Roman" w:cs="Times New Roman"/>
          <w:sz w:val="24"/>
          <w:szCs w:val="24"/>
        </w:rPr>
        <w:t>;</w:t>
      </w:r>
      <w:r w:rsidR="00102EF6">
        <w:rPr>
          <w:rFonts w:ascii="Times New Roman" w:hAnsi="Times New Roman" w:cs="Times New Roman"/>
          <w:sz w:val="24"/>
          <w:szCs w:val="24"/>
        </w:rPr>
        <w:t xml:space="preserve"> where Clayhill is claiming US$28 000-00 being the balance in respect of immovable property sold by plaintiff to the defendants pursuant to the agreement of sale. </w:t>
      </w:r>
    </w:p>
    <w:p w:rsidR="00B86134" w:rsidRDefault="00B86134" w:rsidP="006B2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Ms </w:t>
      </w:r>
      <w:r>
        <w:rPr>
          <w:rFonts w:ascii="Times New Roman" w:hAnsi="Times New Roman" w:cs="Times New Roman"/>
          <w:i/>
          <w:sz w:val="24"/>
          <w:szCs w:val="24"/>
        </w:rPr>
        <w:t>Gutuza</w:t>
      </w:r>
      <w:r>
        <w:rPr>
          <w:rFonts w:ascii="Times New Roman" w:hAnsi="Times New Roman" w:cs="Times New Roman"/>
          <w:sz w:val="24"/>
          <w:szCs w:val="24"/>
        </w:rPr>
        <w:t xml:space="preserve"> was </w:t>
      </w:r>
      <w:r w:rsidR="00F66BD9">
        <w:rPr>
          <w:rFonts w:ascii="Times New Roman" w:hAnsi="Times New Roman" w:cs="Times New Roman"/>
          <w:sz w:val="24"/>
          <w:szCs w:val="24"/>
        </w:rPr>
        <w:t>asked</w:t>
      </w:r>
      <w:r>
        <w:rPr>
          <w:rFonts w:ascii="Times New Roman" w:hAnsi="Times New Roman" w:cs="Times New Roman"/>
          <w:sz w:val="24"/>
          <w:szCs w:val="24"/>
        </w:rPr>
        <w:t xml:space="preserve"> by the court to explain why joinder was necessary, she submitted that the city council did not want to expose itself to litigation from Clayhill. It is not in </w:t>
      </w:r>
      <w:r w:rsidR="00D13461">
        <w:rPr>
          <w:rFonts w:ascii="Times New Roman" w:hAnsi="Times New Roman" w:cs="Times New Roman"/>
          <w:sz w:val="24"/>
          <w:szCs w:val="24"/>
        </w:rPr>
        <w:t>dispute</w:t>
      </w:r>
      <w:r>
        <w:rPr>
          <w:rFonts w:ascii="Times New Roman" w:hAnsi="Times New Roman" w:cs="Times New Roman"/>
          <w:sz w:val="24"/>
          <w:szCs w:val="24"/>
        </w:rPr>
        <w:t xml:space="preserve"> that Clayhill has already chosen who and what to sue for arising out of the agreement of sale relating to stand in question. No one is left to speculate, thus the very fundamental basis relied upon by the first respondent is palpably answered by the company itself Clayhill wants to be paid $28 000-00 by applicant not by the first respondent. In light of this positive development, there is virtually no need to have a joinder where the company has expressly shown that its interest is in the recovery of the balance of the purchase price not recovery of the stand for reallocation. The p</w:t>
      </w:r>
      <w:r w:rsidR="00F66BD9">
        <w:rPr>
          <w:rFonts w:ascii="Times New Roman" w:hAnsi="Times New Roman" w:cs="Times New Roman"/>
          <w:sz w:val="24"/>
          <w:szCs w:val="24"/>
        </w:rPr>
        <w:t>o</w:t>
      </w:r>
      <w:r>
        <w:rPr>
          <w:rFonts w:ascii="Times New Roman" w:hAnsi="Times New Roman" w:cs="Times New Roman"/>
          <w:sz w:val="24"/>
          <w:szCs w:val="24"/>
        </w:rPr>
        <w:t xml:space="preserve">int </w:t>
      </w:r>
      <w:r>
        <w:rPr>
          <w:rFonts w:ascii="Times New Roman" w:hAnsi="Times New Roman" w:cs="Times New Roman"/>
          <w:i/>
          <w:sz w:val="24"/>
          <w:szCs w:val="24"/>
        </w:rPr>
        <w:t>in limine</w:t>
      </w:r>
      <w:r>
        <w:rPr>
          <w:rFonts w:ascii="Times New Roman" w:hAnsi="Times New Roman" w:cs="Times New Roman"/>
          <w:sz w:val="24"/>
          <w:szCs w:val="24"/>
        </w:rPr>
        <w:t xml:space="preserve"> by the first respondent has no merit and it is dismissed. </w:t>
      </w:r>
    </w:p>
    <w:p w:rsidR="00B86134" w:rsidRDefault="00B86134" w:rsidP="006B2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of the application the following issues are uncontroverted in my respectful view: </w:t>
      </w:r>
    </w:p>
    <w:p w:rsidR="00110CB2" w:rsidRDefault="00D13461" w:rsidP="00D1346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and her husband, the late Washington Jekanyika purchased Stand</w:t>
      </w:r>
      <w:r w:rsidRPr="002D2F40">
        <w:rPr>
          <w:rFonts w:ascii="Times New Roman" w:hAnsi="Times New Roman" w:cs="Times New Roman"/>
          <w:sz w:val="24"/>
          <w:szCs w:val="24"/>
        </w:rPr>
        <w:t xml:space="preserve"> No. 11234 Darlington Extension, Mutare </w:t>
      </w:r>
      <w:r>
        <w:rPr>
          <w:rFonts w:ascii="Times New Roman" w:hAnsi="Times New Roman" w:cs="Times New Roman"/>
          <w:sz w:val="24"/>
          <w:szCs w:val="24"/>
        </w:rPr>
        <w:t>for $62 000-00, paid cash of $20 000-00 upon signing of</w:t>
      </w:r>
      <w:r w:rsidR="00110CB2">
        <w:rPr>
          <w:rFonts w:ascii="Times New Roman" w:hAnsi="Times New Roman" w:cs="Times New Roman"/>
          <w:sz w:val="24"/>
          <w:szCs w:val="24"/>
        </w:rPr>
        <w:t xml:space="preserve"> the</w:t>
      </w:r>
      <w:r>
        <w:rPr>
          <w:rFonts w:ascii="Times New Roman" w:hAnsi="Times New Roman" w:cs="Times New Roman"/>
          <w:sz w:val="24"/>
          <w:szCs w:val="24"/>
        </w:rPr>
        <w:t xml:space="preserve"> agreement of sale and from the calculation between the cost price and balance b</w:t>
      </w:r>
      <w:r w:rsidR="008B26E4">
        <w:rPr>
          <w:rFonts w:ascii="Times New Roman" w:hAnsi="Times New Roman" w:cs="Times New Roman"/>
          <w:sz w:val="24"/>
          <w:szCs w:val="24"/>
        </w:rPr>
        <w:t>e</w:t>
      </w:r>
      <w:r>
        <w:rPr>
          <w:rFonts w:ascii="Times New Roman" w:hAnsi="Times New Roman" w:cs="Times New Roman"/>
          <w:sz w:val="24"/>
          <w:szCs w:val="24"/>
        </w:rPr>
        <w:t>in</w:t>
      </w:r>
      <w:r w:rsidR="008B26E4">
        <w:rPr>
          <w:rFonts w:ascii="Times New Roman" w:hAnsi="Times New Roman" w:cs="Times New Roman"/>
          <w:sz w:val="24"/>
          <w:szCs w:val="24"/>
        </w:rPr>
        <w:t>g</w:t>
      </w:r>
      <w:r>
        <w:rPr>
          <w:rFonts w:ascii="Times New Roman" w:hAnsi="Times New Roman" w:cs="Times New Roman"/>
          <w:sz w:val="24"/>
          <w:szCs w:val="24"/>
        </w:rPr>
        <w:t xml:space="preserve"> claimed on the summons alluded to above, it is clear that the applicant paid another instalment of $14 000-00, to make a total</w:t>
      </w:r>
      <w:r w:rsidR="00110CB2">
        <w:rPr>
          <w:rFonts w:ascii="Times New Roman" w:hAnsi="Times New Roman" w:cs="Times New Roman"/>
          <w:sz w:val="24"/>
          <w:szCs w:val="24"/>
        </w:rPr>
        <w:t xml:space="preserve"> of US$34 000-00.</w:t>
      </w:r>
    </w:p>
    <w:p w:rsidR="00110CB2" w:rsidRDefault="00110CB2" w:rsidP="00D1346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agreement of sale between Clayhill and the applicant another agreement of sale was concluded between City of Mutare, applicant and the late W. Jekanyika.</w:t>
      </w:r>
    </w:p>
    <w:p w:rsidR="00110CB2" w:rsidRDefault="00110CB2" w:rsidP="00D1346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took occupation of the purchased stand and started to develop it.</w:t>
      </w:r>
    </w:p>
    <w:p w:rsidR="00D13461" w:rsidRDefault="003B7EE5" w:rsidP="00D1346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selling company is suing the applicant for an amount of $28 000-00 as balance outstanding. The company (Clayhill) is not praying for the cancellation of the agreement of sale on grounds of fraudulent misrepresentation not for the cancellation of sale between the City of Mutare and the purchaser. </w:t>
      </w:r>
      <w:r w:rsidR="00D13461">
        <w:rPr>
          <w:rFonts w:ascii="Times New Roman" w:hAnsi="Times New Roman" w:cs="Times New Roman"/>
          <w:sz w:val="24"/>
          <w:szCs w:val="24"/>
        </w:rPr>
        <w:t xml:space="preserve"> </w:t>
      </w:r>
    </w:p>
    <w:p w:rsidR="00BA78AA" w:rsidRDefault="00BA78AA" w:rsidP="00D1346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the agreement of sale concluded between applicant and City of Mutare (first respondent) there is virtually no clause pertaining to which conditions would justify cancellation of the contract concluded between the parties. Though not addressed by the parties, it appears the first respondent was paid by the developer before the developer (Clayhi</w:t>
      </w:r>
      <w:r w:rsidR="00DC4918">
        <w:rPr>
          <w:rFonts w:ascii="Times New Roman" w:hAnsi="Times New Roman" w:cs="Times New Roman"/>
          <w:sz w:val="24"/>
          <w:szCs w:val="24"/>
        </w:rPr>
        <w:t>ll</w:t>
      </w:r>
      <w:r>
        <w:rPr>
          <w:rFonts w:ascii="Times New Roman" w:hAnsi="Times New Roman" w:cs="Times New Roman"/>
          <w:sz w:val="24"/>
          <w:szCs w:val="24"/>
        </w:rPr>
        <w:t xml:space="preserve">) was allowed to offer such stands for sale to the public. </w:t>
      </w:r>
    </w:p>
    <w:p w:rsidR="00DC4918" w:rsidRDefault="00DC4918" w:rsidP="00D1346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City of Mutare remained the title holder both for purposes of cession or transfer that is why the second agreement of sale between applicant and the first respondent had to be drafted. Transfer of ownership between City of Mutare and applicant would only be processed after the property had been fully developed. </w:t>
      </w:r>
    </w:p>
    <w:p w:rsidR="00314D9A" w:rsidRDefault="00314D9A" w:rsidP="00314D9A">
      <w:pPr>
        <w:spacing w:after="0" w:line="360" w:lineRule="auto"/>
        <w:ind w:firstLine="720"/>
        <w:jc w:val="both"/>
        <w:rPr>
          <w:rFonts w:ascii="Times New Roman" w:hAnsi="Times New Roman" w:cs="Times New Roman"/>
          <w:sz w:val="24"/>
          <w:szCs w:val="24"/>
        </w:rPr>
      </w:pPr>
      <w:r w:rsidRPr="00314D9A">
        <w:rPr>
          <w:rFonts w:ascii="Times New Roman" w:hAnsi="Times New Roman" w:cs="Times New Roman"/>
          <w:sz w:val="24"/>
          <w:szCs w:val="24"/>
        </w:rPr>
        <w:t>All these aspect</w:t>
      </w:r>
      <w:r w:rsidR="00C830CB">
        <w:rPr>
          <w:rFonts w:ascii="Times New Roman" w:hAnsi="Times New Roman" w:cs="Times New Roman"/>
          <w:sz w:val="24"/>
          <w:szCs w:val="24"/>
        </w:rPr>
        <w:t>s</w:t>
      </w:r>
      <w:r w:rsidRPr="00314D9A">
        <w:rPr>
          <w:rFonts w:ascii="Times New Roman" w:hAnsi="Times New Roman" w:cs="Times New Roman"/>
          <w:sz w:val="24"/>
          <w:szCs w:val="24"/>
        </w:rPr>
        <w:t xml:space="preserve"> are common cause and this court asked the first respondent its basis for opposing the application. If Clayhill is fully paid the balance, it means the matter between it and applicant would have been resolved, and by necessary implication the subject stand has to remain with the applicant and the estate of her husband. After going through the opposing papers filed on behalf of the first respondent, it is apparent that the first respondent, </w:t>
      </w:r>
      <w:r w:rsidRPr="00314D9A">
        <w:rPr>
          <w:rFonts w:ascii="Times New Roman" w:hAnsi="Times New Roman" w:cs="Times New Roman"/>
          <w:i/>
          <w:sz w:val="24"/>
          <w:szCs w:val="24"/>
        </w:rPr>
        <w:t>mero motu</w:t>
      </w:r>
      <w:r w:rsidRPr="00314D9A">
        <w:rPr>
          <w:rFonts w:ascii="Times New Roman" w:hAnsi="Times New Roman" w:cs="Times New Roman"/>
          <w:sz w:val="24"/>
          <w:szCs w:val="24"/>
        </w:rPr>
        <w:t xml:space="preserve"> proceeded to cancel the agreement of sale it had entered into with the purchaser without having heard from them. That was not prope</w:t>
      </w:r>
      <w:r w:rsidR="00DC0487">
        <w:rPr>
          <w:rFonts w:ascii="Times New Roman" w:hAnsi="Times New Roman" w:cs="Times New Roman"/>
          <w:sz w:val="24"/>
          <w:szCs w:val="24"/>
        </w:rPr>
        <w:t>r</w:t>
      </w:r>
      <w:r w:rsidR="00AE6951">
        <w:rPr>
          <w:rStyle w:val="FootnoteReference"/>
          <w:rFonts w:ascii="Times New Roman" w:hAnsi="Times New Roman" w:cs="Times New Roman"/>
          <w:sz w:val="24"/>
          <w:szCs w:val="24"/>
        </w:rPr>
        <w:footnoteReference w:id="3"/>
      </w:r>
      <w:r w:rsidR="00DC0487">
        <w:rPr>
          <w:rFonts w:ascii="Times New Roman" w:hAnsi="Times New Roman" w:cs="Times New Roman"/>
          <w:sz w:val="24"/>
          <w:szCs w:val="24"/>
        </w:rPr>
        <w:t xml:space="preserve">. As long as the administrative authority is involved in making such decisions, it is required to comply with the dictates of administrative justice, that requirement </w:t>
      </w:r>
      <w:r w:rsidR="00162282">
        <w:rPr>
          <w:rFonts w:ascii="Times New Roman" w:hAnsi="Times New Roman" w:cs="Times New Roman"/>
          <w:sz w:val="24"/>
          <w:szCs w:val="24"/>
        </w:rPr>
        <w:t>applies</w:t>
      </w:r>
      <w:r w:rsidR="00DC0487">
        <w:rPr>
          <w:rFonts w:ascii="Times New Roman" w:hAnsi="Times New Roman" w:cs="Times New Roman"/>
          <w:sz w:val="24"/>
          <w:szCs w:val="24"/>
        </w:rPr>
        <w:t xml:space="preserve"> even when the first respondent was acting in terms of a contract</w:t>
      </w:r>
      <w:r w:rsidR="00DC0487">
        <w:rPr>
          <w:rStyle w:val="FootnoteReference"/>
          <w:rFonts w:ascii="Times New Roman" w:hAnsi="Times New Roman" w:cs="Times New Roman"/>
          <w:sz w:val="24"/>
          <w:szCs w:val="24"/>
        </w:rPr>
        <w:footnoteReference w:id="4"/>
      </w:r>
      <w:r w:rsidR="00206BF7">
        <w:rPr>
          <w:rFonts w:ascii="Times New Roman" w:hAnsi="Times New Roman" w:cs="Times New Roman"/>
          <w:sz w:val="24"/>
          <w:szCs w:val="24"/>
        </w:rPr>
        <w:t>.</w:t>
      </w:r>
      <w:r w:rsidRPr="00314D9A">
        <w:rPr>
          <w:rFonts w:ascii="Times New Roman" w:hAnsi="Times New Roman" w:cs="Times New Roman"/>
          <w:sz w:val="24"/>
          <w:szCs w:val="24"/>
        </w:rPr>
        <w:t xml:space="preserve"> </w:t>
      </w:r>
      <w:r w:rsidR="00162282">
        <w:rPr>
          <w:rFonts w:ascii="Times New Roman" w:hAnsi="Times New Roman" w:cs="Times New Roman"/>
          <w:sz w:val="24"/>
          <w:szCs w:val="24"/>
        </w:rPr>
        <w:t xml:space="preserve">The first respondent was duty bound to hear the applicant and her husband first and even ask them to reduce their response in writing. No such evidence was produced by the first respondent. Hence cancellation of the agreement was arbitrary and cannot be allowed to stand. </w:t>
      </w:r>
    </w:p>
    <w:p w:rsidR="007B10B0" w:rsidRDefault="00832B11" w:rsidP="00314D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also contended that what prompted her to cancel the agreement was that the late Washington Jekanyika fraudulently did not disclose that he had not fully paid the purchase price to Clayhill. This court will not dwell much on this issue simply because the first respondent stated that it learnt this from Clayhill and as already covered hereinabove the summons issued by Clayhill do not allude to any fraud on the part of W. Jekanyika what Clayhill needs is its payment of the balance of $28 000-00. In any case fraud should not only be pleaded but must be established by way of tangible evidence.</w:t>
      </w:r>
    </w:p>
    <w:p w:rsidR="002C308B" w:rsidRDefault="007B10B0" w:rsidP="00C84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hence satisfied that the first respondent failed to justify its cancellation of the agreement of sale with applicant and her husband on a balance of probabilities, there is no condition which could have been relied upon in the agreement of sale, which f breached by the purchasers could have justified the cancellation of such a contract.</w:t>
      </w:r>
      <w:r>
        <w:rPr>
          <w:rStyle w:val="FootnoteReference"/>
          <w:rFonts w:ascii="Times New Roman" w:hAnsi="Times New Roman" w:cs="Times New Roman"/>
          <w:sz w:val="24"/>
          <w:szCs w:val="24"/>
        </w:rPr>
        <w:footnoteReference w:id="5"/>
      </w:r>
      <w:r w:rsidR="00832B11">
        <w:rPr>
          <w:rFonts w:ascii="Times New Roman" w:hAnsi="Times New Roman" w:cs="Times New Roman"/>
          <w:sz w:val="24"/>
          <w:szCs w:val="24"/>
        </w:rPr>
        <w:t xml:space="preserve"> </w:t>
      </w:r>
    </w:p>
    <w:p w:rsidR="00AE50DA" w:rsidRDefault="00AE50DA" w:rsidP="00AE50DA">
      <w:pPr>
        <w:spacing w:after="0" w:line="360" w:lineRule="auto"/>
        <w:jc w:val="both"/>
        <w:rPr>
          <w:rFonts w:ascii="Times New Roman" w:hAnsi="Times New Roman" w:cs="Times New Roman"/>
          <w:sz w:val="24"/>
          <w:szCs w:val="24"/>
        </w:rPr>
      </w:pPr>
      <w:r w:rsidRPr="00AE50DA">
        <w:rPr>
          <w:rFonts w:ascii="Times New Roman" w:hAnsi="Times New Roman" w:cs="Times New Roman"/>
          <w:sz w:val="24"/>
          <w:szCs w:val="24"/>
          <w:u w:val="single"/>
        </w:rPr>
        <w:lastRenderedPageBreak/>
        <w:t>Costs</w:t>
      </w:r>
    </w:p>
    <w:p w:rsidR="005E2DBE" w:rsidRDefault="00AE50DA" w:rsidP="00F16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prayed for costs on a punitive scale </w:t>
      </w:r>
      <w:r w:rsidR="00B06C7A">
        <w:rPr>
          <w:rFonts w:ascii="Times New Roman" w:hAnsi="Times New Roman" w:cs="Times New Roman"/>
          <w:sz w:val="24"/>
          <w:szCs w:val="24"/>
        </w:rPr>
        <w:t xml:space="preserve">of </w:t>
      </w:r>
      <w:r>
        <w:rPr>
          <w:rFonts w:ascii="Times New Roman" w:hAnsi="Times New Roman" w:cs="Times New Roman"/>
          <w:sz w:val="24"/>
          <w:szCs w:val="24"/>
        </w:rPr>
        <w:t>attorney</w:t>
      </w:r>
      <w:r w:rsidR="00B06C7A">
        <w:rPr>
          <w:rFonts w:ascii="Times New Roman" w:hAnsi="Times New Roman" w:cs="Times New Roman"/>
          <w:sz w:val="24"/>
          <w:szCs w:val="24"/>
        </w:rPr>
        <w:t>-</w:t>
      </w:r>
      <w:r>
        <w:rPr>
          <w:rFonts w:ascii="Times New Roman" w:hAnsi="Times New Roman" w:cs="Times New Roman"/>
          <w:sz w:val="24"/>
          <w:szCs w:val="24"/>
        </w:rPr>
        <w:t>client. A lot of correspondence between the first respondent’s office and applicant</w:t>
      </w:r>
      <w:r w:rsidR="00F16CC4">
        <w:rPr>
          <w:rFonts w:ascii="Times New Roman" w:hAnsi="Times New Roman" w:cs="Times New Roman"/>
          <w:sz w:val="24"/>
          <w:szCs w:val="24"/>
        </w:rPr>
        <w:t>’</w:t>
      </w:r>
      <w:r>
        <w:rPr>
          <w:rFonts w:ascii="Times New Roman" w:hAnsi="Times New Roman" w:cs="Times New Roman"/>
          <w:sz w:val="24"/>
          <w:szCs w:val="24"/>
        </w:rPr>
        <w:t>s legal practitioners exchanged</w:t>
      </w:r>
      <w:r w:rsidR="00F16CC4">
        <w:rPr>
          <w:rFonts w:ascii="Times New Roman" w:hAnsi="Times New Roman" w:cs="Times New Roman"/>
          <w:sz w:val="24"/>
          <w:szCs w:val="24"/>
        </w:rPr>
        <w:t xml:space="preserve"> hands, including documents pertaining to the matter more particularly the summons issued by the developer Clayhill where it was claiming $28 000-00 from the purchasers. Surely at that stage of proceedings and letter written by </w:t>
      </w:r>
      <w:r w:rsidR="00787E89">
        <w:rPr>
          <w:rFonts w:ascii="Times New Roman" w:hAnsi="Times New Roman" w:cs="Times New Roman"/>
          <w:sz w:val="24"/>
          <w:szCs w:val="24"/>
        </w:rPr>
        <w:t>applicants’</w:t>
      </w:r>
      <w:r w:rsidR="00F16CC4">
        <w:rPr>
          <w:rFonts w:ascii="Times New Roman" w:hAnsi="Times New Roman" w:cs="Times New Roman"/>
          <w:sz w:val="24"/>
          <w:szCs w:val="24"/>
        </w:rPr>
        <w:t xml:space="preserve"> lawyers to first respondent about </w:t>
      </w:r>
      <w:r w:rsidR="00787E89">
        <w:rPr>
          <w:rFonts w:ascii="Times New Roman" w:hAnsi="Times New Roman" w:cs="Times New Roman"/>
          <w:sz w:val="24"/>
          <w:szCs w:val="24"/>
        </w:rPr>
        <w:t>that</w:t>
      </w:r>
      <w:r w:rsidR="00F16CC4">
        <w:rPr>
          <w:rFonts w:ascii="Times New Roman" w:hAnsi="Times New Roman" w:cs="Times New Roman"/>
          <w:sz w:val="24"/>
          <w:szCs w:val="24"/>
        </w:rPr>
        <w:t xml:space="preserve">, </w:t>
      </w:r>
      <w:r w:rsidR="00787E89">
        <w:rPr>
          <w:rFonts w:ascii="Times New Roman" w:hAnsi="Times New Roman" w:cs="Times New Roman"/>
          <w:sz w:val="24"/>
          <w:szCs w:val="24"/>
        </w:rPr>
        <w:t>should</w:t>
      </w:r>
      <w:r w:rsidR="00F16CC4">
        <w:rPr>
          <w:rFonts w:ascii="Times New Roman" w:hAnsi="Times New Roman" w:cs="Times New Roman"/>
          <w:sz w:val="24"/>
          <w:szCs w:val="24"/>
        </w:rPr>
        <w:t xml:space="preserve"> have caused the first respondent to reconsider its stance about the application. It did not. Even after heads of argument were filed and served on the firs respondent it </w:t>
      </w:r>
      <w:r w:rsidR="00787E89">
        <w:rPr>
          <w:rFonts w:ascii="Times New Roman" w:hAnsi="Times New Roman" w:cs="Times New Roman"/>
          <w:sz w:val="24"/>
          <w:szCs w:val="24"/>
        </w:rPr>
        <w:t>persisted</w:t>
      </w:r>
      <w:r w:rsidR="00F16CC4">
        <w:rPr>
          <w:rFonts w:ascii="Times New Roman" w:hAnsi="Times New Roman" w:cs="Times New Roman"/>
          <w:sz w:val="24"/>
          <w:szCs w:val="24"/>
        </w:rPr>
        <w:t xml:space="preserve"> with the opposition of the application. The court is aware that any order of costs adversely affect the rate payer but the a</w:t>
      </w:r>
      <w:r w:rsidR="00787E89">
        <w:rPr>
          <w:rFonts w:ascii="Times New Roman" w:hAnsi="Times New Roman" w:cs="Times New Roman"/>
          <w:sz w:val="24"/>
          <w:szCs w:val="24"/>
        </w:rPr>
        <w:t>ptitude of the first respondent’s action clerk exhibits a nonchalant</w:t>
      </w:r>
      <w:r w:rsidR="005E2DBE">
        <w:rPr>
          <w:rFonts w:ascii="Times New Roman" w:hAnsi="Times New Roman" w:cs="Times New Roman"/>
          <w:sz w:val="24"/>
          <w:szCs w:val="24"/>
        </w:rPr>
        <w:t xml:space="preserve"> attitude b</w:t>
      </w:r>
      <w:r w:rsidR="00B06C7A">
        <w:rPr>
          <w:rFonts w:ascii="Times New Roman" w:hAnsi="Times New Roman" w:cs="Times New Roman"/>
          <w:sz w:val="24"/>
          <w:szCs w:val="24"/>
        </w:rPr>
        <w:t>order</w:t>
      </w:r>
      <w:r w:rsidR="005E2DBE">
        <w:rPr>
          <w:rFonts w:ascii="Times New Roman" w:hAnsi="Times New Roman" w:cs="Times New Roman"/>
          <w:sz w:val="24"/>
          <w:szCs w:val="24"/>
        </w:rPr>
        <w:t xml:space="preserve">ing on recklessness and abuse of court process all done in the name of public entity whose resources should better </w:t>
      </w:r>
      <w:r w:rsidR="00B06C7A">
        <w:rPr>
          <w:rFonts w:ascii="Times New Roman" w:hAnsi="Times New Roman" w:cs="Times New Roman"/>
          <w:sz w:val="24"/>
          <w:szCs w:val="24"/>
        </w:rPr>
        <w:t>b</w:t>
      </w:r>
      <w:r w:rsidR="005E2DBE">
        <w:rPr>
          <w:rFonts w:ascii="Times New Roman" w:hAnsi="Times New Roman" w:cs="Times New Roman"/>
          <w:sz w:val="24"/>
          <w:szCs w:val="24"/>
        </w:rPr>
        <w:t>e ploughed towards service delivery than defending indefensible, unilateral and unjust conduct by its officials. This judgment must be brought to the attention of the Mayor and councillors to censure in strongest terms</w:t>
      </w:r>
      <w:r w:rsidR="00FC018A">
        <w:rPr>
          <w:rFonts w:ascii="Times New Roman" w:hAnsi="Times New Roman" w:cs="Times New Roman"/>
          <w:sz w:val="24"/>
          <w:szCs w:val="24"/>
        </w:rPr>
        <w:t xml:space="preserve"> the behaviour of the town clerk.</w:t>
      </w:r>
      <w:r w:rsidR="00FC018A">
        <w:rPr>
          <w:rStyle w:val="FootnoteReference"/>
          <w:rFonts w:ascii="Times New Roman" w:hAnsi="Times New Roman" w:cs="Times New Roman"/>
          <w:sz w:val="24"/>
          <w:szCs w:val="24"/>
        </w:rPr>
        <w:footnoteReference w:id="6"/>
      </w:r>
      <w:r w:rsidR="005E2DBE">
        <w:rPr>
          <w:rFonts w:ascii="Times New Roman" w:hAnsi="Times New Roman" w:cs="Times New Roman"/>
          <w:sz w:val="24"/>
          <w:szCs w:val="24"/>
        </w:rPr>
        <w:t xml:space="preserve"> </w:t>
      </w:r>
    </w:p>
    <w:p w:rsidR="00FC018A" w:rsidRDefault="00FC018A" w:rsidP="00F16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future legal costs of this type should be met by the city official personally, however in this case the first respondent stated that he was authorised to oppose the matte</w:t>
      </w:r>
      <w:r w:rsidR="009D32DF">
        <w:rPr>
          <w:rFonts w:ascii="Times New Roman" w:hAnsi="Times New Roman" w:cs="Times New Roman"/>
          <w:sz w:val="24"/>
          <w:szCs w:val="24"/>
        </w:rPr>
        <w:t>r by the council so the council/</w:t>
      </w:r>
      <w:r>
        <w:rPr>
          <w:rFonts w:ascii="Times New Roman" w:hAnsi="Times New Roman" w:cs="Times New Roman"/>
          <w:sz w:val="24"/>
          <w:szCs w:val="24"/>
        </w:rPr>
        <w:t xml:space="preserve">public entity will be ordered to pay applicant’s wasted legal costs. </w:t>
      </w:r>
    </w:p>
    <w:p w:rsidR="00BC3D48" w:rsidRDefault="00BC3D48" w:rsidP="00F16C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the following order is granted:</w:t>
      </w:r>
    </w:p>
    <w:p w:rsidR="00955B5B" w:rsidRDefault="00955B5B" w:rsidP="00955B5B">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cancellation of the Memorandum of Agreement of Sale of </w:t>
      </w:r>
      <w:r w:rsidRPr="002D2F40">
        <w:rPr>
          <w:rFonts w:ascii="Times New Roman" w:hAnsi="Times New Roman" w:cs="Times New Roman"/>
          <w:sz w:val="24"/>
          <w:szCs w:val="24"/>
        </w:rPr>
        <w:t>Stand 11234 Darlington Extension, Mutare Township, measuring 1, 1759</w:t>
      </w:r>
      <w:r>
        <w:rPr>
          <w:rFonts w:ascii="Times New Roman" w:hAnsi="Times New Roman" w:cs="Times New Roman"/>
          <w:sz w:val="24"/>
          <w:szCs w:val="24"/>
        </w:rPr>
        <w:t xml:space="preserve"> hectares, entered into by City of Mutre and Washington Jekanyika jointly together with Cheneso Muvandi is a nullity, on no force.</w:t>
      </w:r>
    </w:p>
    <w:p w:rsidR="00677121" w:rsidRPr="00677121" w:rsidRDefault="00677121" w:rsidP="00677121">
      <w:pPr>
        <w:pStyle w:val="ListParagraph"/>
        <w:numPr>
          <w:ilvl w:val="0"/>
          <w:numId w:val="19"/>
        </w:numPr>
        <w:spacing w:after="0" w:line="360" w:lineRule="auto"/>
        <w:jc w:val="both"/>
        <w:rPr>
          <w:rFonts w:ascii="Times New Roman" w:hAnsi="Times New Roman" w:cs="Times New Roman"/>
          <w:sz w:val="24"/>
          <w:szCs w:val="24"/>
        </w:rPr>
      </w:pPr>
      <w:r w:rsidRPr="00677121">
        <w:rPr>
          <w:rFonts w:ascii="Times New Roman" w:hAnsi="Times New Roman" w:cs="Times New Roman"/>
          <w:sz w:val="24"/>
          <w:szCs w:val="24"/>
        </w:rPr>
        <w:t>The Memorandum of Agreement of Sale of Stand No. 11234 Darlington Extension, Mutare Township, measuring approximately 1, 1759 hectares, entered into by the City of Mutare and Washington Jekanyika, jointly together with Cheneso Muvandi, is declared valid.</w:t>
      </w:r>
    </w:p>
    <w:p w:rsidR="00AE50DA" w:rsidRDefault="00677121" w:rsidP="00677121">
      <w:pPr>
        <w:pStyle w:val="ListParagraph"/>
        <w:numPr>
          <w:ilvl w:val="0"/>
          <w:numId w:val="19"/>
        </w:numPr>
        <w:spacing w:after="0" w:line="360" w:lineRule="auto"/>
        <w:jc w:val="both"/>
        <w:rPr>
          <w:rFonts w:ascii="Times New Roman" w:hAnsi="Times New Roman" w:cs="Times New Roman"/>
          <w:sz w:val="24"/>
          <w:szCs w:val="24"/>
        </w:rPr>
      </w:pPr>
      <w:r w:rsidRPr="00677121">
        <w:rPr>
          <w:rFonts w:ascii="Times New Roman" w:hAnsi="Times New Roman" w:cs="Times New Roman"/>
          <w:sz w:val="24"/>
          <w:szCs w:val="24"/>
        </w:rPr>
        <w:t>The 1</w:t>
      </w:r>
      <w:r w:rsidRPr="00677121">
        <w:rPr>
          <w:rFonts w:ascii="Times New Roman" w:hAnsi="Times New Roman" w:cs="Times New Roman"/>
          <w:sz w:val="24"/>
          <w:szCs w:val="24"/>
          <w:vertAlign w:val="superscript"/>
        </w:rPr>
        <w:t>st</w:t>
      </w:r>
      <w:r w:rsidRPr="00677121">
        <w:rPr>
          <w:rFonts w:ascii="Times New Roman" w:hAnsi="Times New Roman" w:cs="Times New Roman"/>
          <w:sz w:val="24"/>
          <w:szCs w:val="24"/>
        </w:rPr>
        <w:t xml:space="preserve"> respondent </w:t>
      </w:r>
      <w:r>
        <w:rPr>
          <w:rFonts w:ascii="Times New Roman" w:hAnsi="Times New Roman" w:cs="Times New Roman"/>
          <w:sz w:val="24"/>
          <w:szCs w:val="24"/>
        </w:rPr>
        <w:t>to</w:t>
      </w:r>
      <w:r w:rsidRPr="00677121">
        <w:rPr>
          <w:rFonts w:ascii="Times New Roman" w:hAnsi="Times New Roman" w:cs="Times New Roman"/>
          <w:sz w:val="24"/>
          <w:szCs w:val="24"/>
        </w:rPr>
        <w:t xml:space="preserve"> pay</w:t>
      </w:r>
      <w:r>
        <w:rPr>
          <w:rFonts w:ascii="Times New Roman" w:hAnsi="Times New Roman" w:cs="Times New Roman"/>
          <w:sz w:val="24"/>
          <w:szCs w:val="24"/>
        </w:rPr>
        <w:t xml:space="preserve"> respondent’s </w:t>
      </w:r>
      <w:r w:rsidRPr="00677121">
        <w:rPr>
          <w:rFonts w:ascii="Times New Roman" w:hAnsi="Times New Roman" w:cs="Times New Roman"/>
          <w:sz w:val="24"/>
          <w:szCs w:val="24"/>
        </w:rPr>
        <w:t xml:space="preserve">costs </w:t>
      </w:r>
      <w:r>
        <w:rPr>
          <w:rFonts w:ascii="Times New Roman" w:hAnsi="Times New Roman" w:cs="Times New Roman"/>
          <w:sz w:val="24"/>
          <w:szCs w:val="24"/>
        </w:rPr>
        <w:t xml:space="preserve">on </w:t>
      </w:r>
      <w:r w:rsidRPr="00677121">
        <w:rPr>
          <w:rFonts w:ascii="Times New Roman" w:hAnsi="Times New Roman" w:cs="Times New Roman"/>
          <w:sz w:val="24"/>
          <w:szCs w:val="24"/>
        </w:rPr>
        <w:t xml:space="preserve">attorney </w:t>
      </w:r>
      <w:r>
        <w:rPr>
          <w:rFonts w:ascii="Times New Roman" w:hAnsi="Times New Roman" w:cs="Times New Roman"/>
          <w:sz w:val="24"/>
          <w:szCs w:val="24"/>
        </w:rPr>
        <w:t>-</w:t>
      </w:r>
      <w:r w:rsidRPr="00677121">
        <w:rPr>
          <w:rFonts w:ascii="Times New Roman" w:hAnsi="Times New Roman" w:cs="Times New Roman"/>
          <w:sz w:val="24"/>
          <w:szCs w:val="24"/>
        </w:rPr>
        <w:t xml:space="preserve"> client</w:t>
      </w:r>
      <w:r w:rsidR="00787E89" w:rsidRPr="00677121">
        <w:rPr>
          <w:rFonts w:ascii="Times New Roman" w:hAnsi="Times New Roman" w:cs="Times New Roman"/>
          <w:sz w:val="24"/>
          <w:szCs w:val="24"/>
        </w:rPr>
        <w:t xml:space="preserve"> </w:t>
      </w:r>
      <w:r>
        <w:rPr>
          <w:rFonts w:ascii="Times New Roman" w:hAnsi="Times New Roman" w:cs="Times New Roman"/>
          <w:sz w:val="24"/>
          <w:szCs w:val="24"/>
        </w:rPr>
        <w:t>scale.</w:t>
      </w:r>
      <w:r w:rsidR="00AE50DA" w:rsidRPr="00677121">
        <w:rPr>
          <w:rFonts w:ascii="Times New Roman" w:hAnsi="Times New Roman" w:cs="Times New Roman"/>
          <w:sz w:val="24"/>
          <w:szCs w:val="24"/>
        </w:rPr>
        <w:t xml:space="preserve">  </w:t>
      </w:r>
    </w:p>
    <w:p w:rsidR="002879C9" w:rsidRDefault="002879C9" w:rsidP="002879C9">
      <w:pPr>
        <w:spacing w:after="0" w:line="360" w:lineRule="auto"/>
        <w:jc w:val="both"/>
        <w:rPr>
          <w:rFonts w:ascii="Times New Roman" w:hAnsi="Times New Roman" w:cs="Times New Roman"/>
          <w:sz w:val="24"/>
          <w:szCs w:val="24"/>
        </w:rPr>
      </w:pPr>
    </w:p>
    <w:p w:rsidR="002879C9" w:rsidRDefault="002879C9" w:rsidP="002879C9">
      <w:pPr>
        <w:spacing w:after="0" w:line="360" w:lineRule="auto"/>
        <w:jc w:val="both"/>
        <w:rPr>
          <w:rFonts w:ascii="Times New Roman" w:hAnsi="Times New Roman" w:cs="Times New Roman"/>
          <w:sz w:val="24"/>
          <w:szCs w:val="24"/>
        </w:rPr>
      </w:pPr>
    </w:p>
    <w:p w:rsidR="00373098" w:rsidRDefault="00373098" w:rsidP="002879C9">
      <w:pPr>
        <w:spacing w:after="0" w:line="360" w:lineRule="auto"/>
        <w:jc w:val="both"/>
        <w:rPr>
          <w:rFonts w:ascii="Times New Roman" w:hAnsi="Times New Roman" w:cs="Times New Roman"/>
          <w:sz w:val="24"/>
          <w:szCs w:val="24"/>
        </w:rPr>
      </w:pPr>
    </w:p>
    <w:p w:rsidR="002879C9" w:rsidRDefault="002879C9" w:rsidP="002879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Tanaya Law Firm</w:t>
      </w:r>
      <w:r>
        <w:rPr>
          <w:rFonts w:ascii="Times New Roman" w:hAnsi="Times New Roman" w:cs="Times New Roman"/>
          <w:sz w:val="24"/>
          <w:szCs w:val="24"/>
        </w:rPr>
        <w:t xml:space="preserve">, applicant’s legal practitioners </w:t>
      </w:r>
    </w:p>
    <w:p w:rsidR="00373098" w:rsidRPr="00373098" w:rsidRDefault="00373098" w:rsidP="002879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Bere Brothers</w:t>
      </w:r>
      <w:r>
        <w:rPr>
          <w:rFonts w:ascii="Times New Roman" w:hAnsi="Times New Roman" w:cs="Times New Roman"/>
          <w:sz w:val="24"/>
          <w:szCs w:val="24"/>
        </w:rPr>
        <w:t>, 1</w:t>
      </w:r>
      <w:r w:rsidRPr="003730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2879C9" w:rsidRPr="00373098" w:rsidRDefault="002879C9" w:rsidP="002879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Mativenga </w:t>
      </w:r>
      <w:r w:rsidR="00373098">
        <w:rPr>
          <w:rFonts w:ascii="Times New Roman" w:hAnsi="Times New Roman" w:cs="Times New Roman"/>
          <w:i/>
          <w:sz w:val="24"/>
          <w:szCs w:val="24"/>
        </w:rPr>
        <w:t>Nkomo Legal Practice</w:t>
      </w:r>
      <w:r w:rsidR="00373098">
        <w:rPr>
          <w:rFonts w:ascii="Times New Roman" w:hAnsi="Times New Roman" w:cs="Times New Roman"/>
          <w:sz w:val="24"/>
          <w:szCs w:val="24"/>
        </w:rPr>
        <w:t>, 2</w:t>
      </w:r>
      <w:r w:rsidR="00373098" w:rsidRPr="00373098">
        <w:rPr>
          <w:rFonts w:ascii="Times New Roman" w:hAnsi="Times New Roman" w:cs="Times New Roman"/>
          <w:sz w:val="24"/>
          <w:szCs w:val="24"/>
          <w:vertAlign w:val="superscript"/>
        </w:rPr>
        <w:t>nd</w:t>
      </w:r>
      <w:r w:rsidR="00373098">
        <w:rPr>
          <w:rFonts w:ascii="Times New Roman" w:hAnsi="Times New Roman" w:cs="Times New Roman"/>
          <w:sz w:val="24"/>
          <w:szCs w:val="24"/>
        </w:rPr>
        <w:t xml:space="preserve"> respondent’s legal practitioners </w:t>
      </w:r>
    </w:p>
    <w:sectPr w:rsidR="002879C9" w:rsidRPr="00373098" w:rsidSect="00434253">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717" w:rsidRDefault="00A27717" w:rsidP="00A170B3">
      <w:pPr>
        <w:spacing w:after="0" w:line="240" w:lineRule="auto"/>
      </w:pPr>
      <w:r>
        <w:separator/>
      </w:r>
    </w:p>
  </w:endnote>
  <w:endnote w:type="continuationSeparator" w:id="0">
    <w:p w:rsidR="00A27717" w:rsidRDefault="00A27717"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717" w:rsidRDefault="00A27717" w:rsidP="00A170B3">
      <w:pPr>
        <w:spacing w:after="0" w:line="240" w:lineRule="auto"/>
      </w:pPr>
      <w:r>
        <w:separator/>
      </w:r>
    </w:p>
  </w:footnote>
  <w:footnote w:type="continuationSeparator" w:id="0">
    <w:p w:rsidR="00A27717" w:rsidRDefault="00A27717" w:rsidP="00A170B3">
      <w:pPr>
        <w:spacing w:after="0" w:line="240" w:lineRule="auto"/>
      </w:pPr>
      <w:r>
        <w:continuationSeparator/>
      </w:r>
    </w:p>
  </w:footnote>
  <w:footnote w:id="1">
    <w:p w:rsidR="00AE6951" w:rsidRDefault="00AE6951">
      <w:pPr>
        <w:pStyle w:val="FootnoteText"/>
      </w:pPr>
      <w:r>
        <w:rPr>
          <w:rStyle w:val="FootnoteReference"/>
        </w:rPr>
        <w:footnoteRef/>
      </w:r>
      <w:r>
        <w:t xml:space="preserve"> HH 626/15 per Mathonsi J (as he then was) </w:t>
      </w:r>
    </w:p>
  </w:footnote>
  <w:footnote w:id="2">
    <w:p w:rsidR="00AE6951" w:rsidRDefault="00AE6951">
      <w:pPr>
        <w:pStyle w:val="FootnoteText"/>
      </w:pPr>
      <w:r>
        <w:rPr>
          <w:rStyle w:val="FootnoteReference"/>
        </w:rPr>
        <w:footnoteRef/>
      </w:r>
      <w:r>
        <w:t xml:space="preserve"> </w:t>
      </w:r>
    </w:p>
  </w:footnote>
  <w:footnote w:id="3">
    <w:p w:rsidR="00AE6951" w:rsidRDefault="00AE6951">
      <w:pPr>
        <w:pStyle w:val="FootnoteText"/>
      </w:pPr>
      <w:r>
        <w:rPr>
          <w:rStyle w:val="FootnoteReference"/>
        </w:rPr>
        <w:footnoteRef/>
      </w:r>
      <w:r>
        <w:t xml:space="preserve"> </w:t>
      </w:r>
      <w:r w:rsidR="00AB4C63">
        <w:t>See U-Tow Trailers (Pvt) Ltd v City of Harare and Another 2009 (2) ZLR 259 (H)</w:t>
      </w:r>
      <w:r w:rsidR="00DC0487">
        <w:t xml:space="preserve"> per Makarau JP (as she then was</w:t>
      </w:r>
    </w:p>
  </w:footnote>
  <w:footnote w:id="4">
    <w:p w:rsidR="00DC0487" w:rsidRPr="00DC0487" w:rsidRDefault="00DC0487">
      <w:pPr>
        <w:pStyle w:val="FootnoteText"/>
      </w:pPr>
      <w:r>
        <w:rPr>
          <w:rStyle w:val="FootnoteReference"/>
        </w:rPr>
        <w:footnoteRef/>
      </w:r>
      <w:r>
        <w:t xml:space="preserve"> U-Yow Trailers (</w:t>
      </w:r>
      <w:r>
        <w:rPr>
          <w:i/>
        </w:rPr>
        <w:t>supra</w:t>
      </w:r>
      <w:r w:rsidR="000F3F44">
        <w:t>) on</w:t>
      </w:r>
      <w:r>
        <w:t xml:space="preserve"> p</w:t>
      </w:r>
      <w:r w:rsidR="000F3F44">
        <w:t xml:space="preserve"> </w:t>
      </w:r>
      <w:r>
        <w:t>268 A-B</w:t>
      </w:r>
    </w:p>
  </w:footnote>
  <w:footnote w:id="5">
    <w:p w:rsidR="007B10B0" w:rsidRDefault="007B10B0">
      <w:pPr>
        <w:pStyle w:val="FootnoteText"/>
      </w:pPr>
      <w:r>
        <w:rPr>
          <w:rStyle w:val="FootnoteReference"/>
        </w:rPr>
        <w:footnoteRef/>
      </w:r>
      <w:r>
        <w:t xml:space="preserve"> </w:t>
      </w:r>
      <w:r w:rsidR="00C84F8B">
        <w:t>Muzondo and Others v Usayiwevanhu and Ohters HH 107/12.</w:t>
      </w:r>
    </w:p>
    <w:p w:rsidR="00C84F8B" w:rsidRDefault="00C84F8B">
      <w:pPr>
        <w:pStyle w:val="FootnoteText"/>
      </w:pPr>
      <w:r>
        <w:t>SPF &amp; Ano v LBCCT/ALB &amp; Ano 26492/13 [2016] ZAG PPHC 378</w:t>
      </w:r>
    </w:p>
    <w:p w:rsidR="00C84F8B" w:rsidRDefault="00C84F8B">
      <w:pPr>
        <w:pStyle w:val="FootnoteText"/>
      </w:pPr>
      <w:r>
        <w:t>Chikwanira v Mutonhora &amp; Anor HH 224/16</w:t>
      </w:r>
    </w:p>
    <w:p w:rsidR="00C84F8B" w:rsidRDefault="00C84F8B">
      <w:pPr>
        <w:pStyle w:val="FootnoteText"/>
      </w:pPr>
      <w:r>
        <w:t>Mkandla &amp; Ano v Ncube &amp; Ano HB 93/14</w:t>
      </w:r>
    </w:p>
    <w:p w:rsidR="00CC0E57" w:rsidRDefault="00CC0E57">
      <w:pPr>
        <w:pStyle w:val="FootnoteText"/>
      </w:pPr>
    </w:p>
    <w:p w:rsidR="00CC0E57" w:rsidRDefault="00CC0E57">
      <w:pPr>
        <w:pStyle w:val="FootnoteText"/>
      </w:pPr>
    </w:p>
    <w:p w:rsidR="005C310F" w:rsidRDefault="005C310F">
      <w:pPr>
        <w:pStyle w:val="FootnoteText"/>
      </w:pPr>
    </w:p>
    <w:p w:rsidR="005C310F" w:rsidRDefault="005C310F">
      <w:pPr>
        <w:pStyle w:val="FootnoteText"/>
      </w:pPr>
    </w:p>
    <w:p w:rsidR="005C310F" w:rsidRDefault="005C310F">
      <w:pPr>
        <w:pStyle w:val="FootnoteText"/>
      </w:pPr>
    </w:p>
  </w:footnote>
  <w:footnote w:id="6">
    <w:p w:rsidR="00FC018A" w:rsidRDefault="00FC018A">
      <w:pPr>
        <w:pStyle w:val="FootnoteText"/>
      </w:pPr>
      <w:r>
        <w:rPr>
          <w:rStyle w:val="FootnoteReference"/>
        </w:rPr>
        <w:footnoteRef/>
      </w:r>
      <w:r>
        <w:t xml:space="preserve"> See Binza v Acting Director of Works &amp; Anor 1998 (2) ZLR</w:t>
      </w:r>
    </w:p>
    <w:p w:rsidR="00FC018A" w:rsidRDefault="00FC018A">
      <w:pPr>
        <w:pStyle w:val="FootnoteText"/>
      </w:pPr>
      <w:r>
        <w:t xml:space="preserve"> 364 (H)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043347"/>
      <w:docPartObj>
        <w:docPartGallery w:val="Page Numbers (Top of Page)"/>
        <w:docPartUnique/>
      </w:docPartObj>
    </w:sdtPr>
    <w:sdtEndPr>
      <w:rPr>
        <w:rFonts w:ascii="Times New Roman" w:hAnsi="Times New Roman" w:cs="Times New Roman"/>
        <w:noProof/>
      </w:rPr>
    </w:sdtEndPr>
    <w:sdtContent>
      <w:p w:rsidR="00AE6951" w:rsidRPr="00A170B3" w:rsidRDefault="00AE6951">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1457FB">
          <w:rPr>
            <w:rFonts w:ascii="Times New Roman" w:hAnsi="Times New Roman" w:cs="Times New Roman"/>
            <w:noProof/>
          </w:rPr>
          <w:t>8</w:t>
        </w:r>
        <w:r w:rsidRPr="00A170B3">
          <w:rPr>
            <w:rFonts w:ascii="Times New Roman" w:hAnsi="Times New Roman" w:cs="Times New Roman"/>
            <w:noProof/>
          </w:rPr>
          <w:fldChar w:fldCharType="end"/>
        </w:r>
      </w:p>
      <w:p w:rsidR="00AE6951" w:rsidRDefault="000A14D7">
        <w:pPr>
          <w:pStyle w:val="Header"/>
          <w:jc w:val="right"/>
          <w:rPr>
            <w:rFonts w:ascii="Times New Roman" w:hAnsi="Times New Roman" w:cs="Times New Roman"/>
            <w:noProof/>
          </w:rPr>
        </w:pPr>
        <w:r>
          <w:rPr>
            <w:rFonts w:ascii="Times New Roman" w:hAnsi="Times New Roman" w:cs="Times New Roman"/>
            <w:noProof/>
          </w:rPr>
          <w:t>HMT 12</w:t>
        </w:r>
        <w:r w:rsidR="00AE6951">
          <w:rPr>
            <w:rFonts w:ascii="Times New Roman" w:hAnsi="Times New Roman" w:cs="Times New Roman"/>
            <w:noProof/>
          </w:rPr>
          <w:t>-20</w:t>
        </w:r>
      </w:p>
      <w:p w:rsidR="00AE6951" w:rsidRPr="00A170B3" w:rsidRDefault="00AE6951">
        <w:pPr>
          <w:pStyle w:val="Header"/>
          <w:jc w:val="right"/>
          <w:rPr>
            <w:rFonts w:ascii="Times New Roman" w:hAnsi="Times New Roman" w:cs="Times New Roman"/>
          </w:rPr>
        </w:pPr>
        <w:r>
          <w:rPr>
            <w:rFonts w:ascii="Times New Roman" w:hAnsi="Times New Roman" w:cs="Times New Roman"/>
            <w:noProof/>
          </w:rPr>
          <w:t>HC 303/19</w:t>
        </w:r>
      </w:p>
    </w:sdtContent>
  </w:sdt>
  <w:p w:rsidR="00AE6951" w:rsidRPr="00A170B3" w:rsidRDefault="00AE6951">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8B10DA8"/>
    <w:multiLevelType w:val="hybridMultilevel"/>
    <w:tmpl w:val="39FC03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C8D75FB"/>
    <w:multiLevelType w:val="hybridMultilevel"/>
    <w:tmpl w:val="1C3C9664"/>
    <w:lvl w:ilvl="0" w:tplc="92880B48">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AD0190C"/>
    <w:multiLevelType w:val="hybridMultilevel"/>
    <w:tmpl w:val="1264C26E"/>
    <w:lvl w:ilvl="0" w:tplc="B2DAE9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C9B2C13"/>
    <w:multiLevelType w:val="hybridMultilevel"/>
    <w:tmpl w:val="308A98BA"/>
    <w:lvl w:ilvl="0" w:tplc="F12825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7" w15:restartNumberingAfterBreak="0">
    <w:nsid w:val="6D91330D"/>
    <w:multiLevelType w:val="hybridMultilevel"/>
    <w:tmpl w:val="A614BCDC"/>
    <w:lvl w:ilvl="0" w:tplc="46384FD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5"/>
  </w:num>
  <w:num w:numId="2">
    <w:abstractNumId w:val="10"/>
  </w:num>
  <w:num w:numId="3">
    <w:abstractNumId w:val="8"/>
  </w:num>
  <w:num w:numId="4">
    <w:abstractNumId w:val="1"/>
  </w:num>
  <w:num w:numId="5">
    <w:abstractNumId w:val="7"/>
  </w:num>
  <w:num w:numId="6">
    <w:abstractNumId w:val="13"/>
  </w:num>
  <w:num w:numId="7">
    <w:abstractNumId w:val="16"/>
  </w:num>
  <w:num w:numId="8">
    <w:abstractNumId w:val="3"/>
  </w:num>
  <w:num w:numId="9">
    <w:abstractNumId w:val="14"/>
  </w:num>
  <w:num w:numId="10">
    <w:abstractNumId w:val="0"/>
  </w:num>
  <w:num w:numId="11">
    <w:abstractNumId w:val="12"/>
  </w:num>
  <w:num w:numId="12">
    <w:abstractNumId w:val="15"/>
  </w:num>
  <w:num w:numId="13">
    <w:abstractNumId w:val="18"/>
  </w:num>
  <w:num w:numId="14">
    <w:abstractNumId w:val="2"/>
  </w:num>
  <w:num w:numId="15">
    <w:abstractNumId w:val="6"/>
  </w:num>
  <w:num w:numId="16">
    <w:abstractNumId w:val="11"/>
  </w:num>
  <w:num w:numId="17">
    <w:abstractNumId w:val="17"/>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121AF"/>
    <w:rsid w:val="00037057"/>
    <w:rsid w:val="00044078"/>
    <w:rsid w:val="000449B5"/>
    <w:rsid w:val="000646D2"/>
    <w:rsid w:val="00074130"/>
    <w:rsid w:val="00074133"/>
    <w:rsid w:val="0007450A"/>
    <w:rsid w:val="0008542C"/>
    <w:rsid w:val="00094DB6"/>
    <w:rsid w:val="000A14D7"/>
    <w:rsid w:val="000A6C61"/>
    <w:rsid w:val="000B051D"/>
    <w:rsid w:val="000B13EF"/>
    <w:rsid w:val="000C28D1"/>
    <w:rsid w:val="000C41EB"/>
    <w:rsid w:val="000D3463"/>
    <w:rsid w:val="000D6AF3"/>
    <w:rsid w:val="000E13C3"/>
    <w:rsid w:val="000F0683"/>
    <w:rsid w:val="000F256D"/>
    <w:rsid w:val="000F3F44"/>
    <w:rsid w:val="00102EF6"/>
    <w:rsid w:val="00103CB5"/>
    <w:rsid w:val="001064E6"/>
    <w:rsid w:val="00110CB2"/>
    <w:rsid w:val="0012385A"/>
    <w:rsid w:val="00125556"/>
    <w:rsid w:val="00130B1E"/>
    <w:rsid w:val="00130B8C"/>
    <w:rsid w:val="00130EAC"/>
    <w:rsid w:val="00136DD1"/>
    <w:rsid w:val="001457FB"/>
    <w:rsid w:val="00153E35"/>
    <w:rsid w:val="00162282"/>
    <w:rsid w:val="0016502D"/>
    <w:rsid w:val="00173D8A"/>
    <w:rsid w:val="001760C1"/>
    <w:rsid w:val="00177FA9"/>
    <w:rsid w:val="00184BCA"/>
    <w:rsid w:val="00187456"/>
    <w:rsid w:val="00187801"/>
    <w:rsid w:val="00193AEC"/>
    <w:rsid w:val="00194AEA"/>
    <w:rsid w:val="00195985"/>
    <w:rsid w:val="00195D49"/>
    <w:rsid w:val="001A5B7A"/>
    <w:rsid w:val="001B0B03"/>
    <w:rsid w:val="001B0D2A"/>
    <w:rsid w:val="001E16DE"/>
    <w:rsid w:val="001E6F33"/>
    <w:rsid w:val="001F2157"/>
    <w:rsid w:val="001F32C7"/>
    <w:rsid w:val="001F4085"/>
    <w:rsid w:val="001F5200"/>
    <w:rsid w:val="00202DE1"/>
    <w:rsid w:val="00204999"/>
    <w:rsid w:val="002066D5"/>
    <w:rsid w:val="00206BF7"/>
    <w:rsid w:val="002110B7"/>
    <w:rsid w:val="002242D0"/>
    <w:rsid w:val="00242F8A"/>
    <w:rsid w:val="002443E9"/>
    <w:rsid w:val="00251BB5"/>
    <w:rsid w:val="0026658F"/>
    <w:rsid w:val="002879C9"/>
    <w:rsid w:val="002B31D6"/>
    <w:rsid w:val="002C0464"/>
    <w:rsid w:val="002C308B"/>
    <w:rsid w:val="002D14C5"/>
    <w:rsid w:val="002D25B5"/>
    <w:rsid w:val="002D2F40"/>
    <w:rsid w:val="002E173E"/>
    <w:rsid w:val="002E483F"/>
    <w:rsid w:val="002F4DDE"/>
    <w:rsid w:val="0030352C"/>
    <w:rsid w:val="00305B72"/>
    <w:rsid w:val="00314D9A"/>
    <w:rsid w:val="00322C0F"/>
    <w:rsid w:val="00327BFB"/>
    <w:rsid w:val="003316A1"/>
    <w:rsid w:val="00331A67"/>
    <w:rsid w:val="00353554"/>
    <w:rsid w:val="00356BF2"/>
    <w:rsid w:val="00364B17"/>
    <w:rsid w:val="00373098"/>
    <w:rsid w:val="00383227"/>
    <w:rsid w:val="00383B5B"/>
    <w:rsid w:val="003970E9"/>
    <w:rsid w:val="003A135D"/>
    <w:rsid w:val="003A7EED"/>
    <w:rsid w:val="003B1066"/>
    <w:rsid w:val="003B38FD"/>
    <w:rsid w:val="003B7EE5"/>
    <w:rsid w:val="003C0337"/>
    <w:rsid w:val="003C1799"/>
    <w:rsid w:val="003C1DE7"/>
    <w:rsid w:val="003C6E17"/>
    <w:rsid w:val="003C79F4"/>
    <w:rsid w:val="003C7D1E"/>
    <w:rsid w:val="003D7F2D"/>
    <w:rsid w:val="003E44EE"/>
    <w:rsid w:val="003F3CEE"/>
    <w:rsid w:val="004022C6"/>
    <w:rsid w:val="00404366"/>
    <w:rsid w:val="004118EA"/>
    <w:rsid w:val="00414896"/>
    <w:rsid w:val="00416C06"/>
    <w:rsid w:val="00434253"/>
    <w:rsid w:val="00435226"/>
    <w:rsid w:val="00445166"/>
    <w:rsid w:val="004551B9"/>
    <w:rsid w:val="0047279B"/>
    <w:rsid w:val="00480955"/>
    <w:rsid w:val="004A33D6"/>
    <w:rsid w:val="004B707A"/>
    <w:rsid w:val="004B72DF"/>
    <w:rsid w:val="004E1D4A"/>
    <w:rsid w:val="004E53B9"/>
    <w:rsid w:val="004E6A1E"/>
    <w:rsid w:val="004F27C5"/>
    <w:rsid w:val="00512C69"/>
    <w:rsid w:val="00513F2A"/>
    <w:rsid w:val="005250E1"/>
    <w:rsid w:val="00531234"/>
    <w:rsid w:val="005364C1"/>
    <w:rsid w:val="005366A6"/>
    <w:rsid w:val="005370E4"/>
    <w:rsid w:val="0054020A"/>
    <w:rsid w:val="00554058"/>
    <w:rsid w:val="00561006"/>
    <w:rsid w:val="00583305"/>
    <w:rsid w:val="00587CE2"/>
    <w:rsid w:val="00592C91"/>
    <w:rsid w:val="00593422"/>
    <w:rsid w:val="00595E78"/>
    <w:rsid w:val="005A03DD"/>
    <w:rsid w:val="005A0733"/>
    <w:rsid w:val="005A1F46"/>
    <w:rsid w:val="005A49E0"/>
    <w:rsid w:val="005B4CFB"/>
    <w:rsid w:val="005C310F"/>
    <w:rsid w:val="005E2DBE"/>
    <w:rsid w:val="005E4BB7"/>
    <w:rsid w:val="005E6CEE"/>
    <w:rsid w:val="005F1353"/>
    <w:rsid w:val="005F4FC3"/>
    <w:rsid w:val="006042C6"/>
    <w:rsid w:val="00605110"/>
    <w:rsid w:val="006060F2"/>
    <w:rsid w:val="00606C72"/>
    <w:rsid w:val="0061102A"/>
    <w:rsid w:val="00633D1F"/>
    <w:rsid w:val="0063458A"/>
    <w:rsid w:val="006419BB"/>
    <w:rsid w:val="00661148"/>
    <w:rsid w:val="0066306C"/>
    <w:rsid w:val="00663DFF"/>
    <w:rsid w:val="006641D0"/>
    <w:rsid w:val="00672AE7"/>
    <w:rsid w:val="00677121"/>
    <w:rsid w:val="006817BE"/>
    <w:rsid w:val="00682668"/>
    <w:rsid w:val="00685979"/>
    <w:rsid w:val="00696614"/>
    <w:rsid w:val="006B214B"/>
    <w:rsid w:val="006B36B0"/>
    <w:rsid w:val="006B4055"/>
    <w:rsid w:val="006B7002"/>
    <w:rsid w:val="006D5266"/>
    <w:rsid w:val="006E7F99"/>
    <w:rsid w:val="00704AFB"/>
    <w:rsid w:val="007219E4"/>
    <w:rsid w:val="00721ACD"/>
    <w:rsid w:val="00723DAD"/>
    <w:rsid w:val="00735E25"/>
    <w:rsid w:val="007571BD"/>
    <w:rsid w:val="00764145"/>
    <w:rsid w:val="00770F4D"/>
    <w:rsid w:val="00771B29"/>
    <w:rsid w:val="00781FB6"/>
    <w:rsid w:val="00787E89"/>
    <w:rsid w:val="00794251"/>
    <w:rsid w:val="00797F65"/>
    <w:rsid w:val="007B0C08"/>
    <w:rsid w:val="007B10B0"/>
    <w:rsid w:val="007B2076"/>
    <w:rsid w:val="007C0CB4"/>
    <w:rsid w:val="007C1833"/>
    <w:rsid w:val="007D17CB"/>
    <w:rsid w:val="007D2F27"/>
    <w:rsid w:val="007E7E96"/>
    <w:rsid w:val="00804681"/>
    <w:rsid w:val="00807F23"/>
    <w:rsid w:val="008201CF"/>
    <w:rsid w:val="00831EA5"/>
    <w:rsid w:val="00832B11"/>
    <w:rsid w:val="008822C3"/>
    <w:rsid w:val="008914B6"/>
    <w:rsid w:val="00893FE4"/>
    <w:rsid w:val="008A2CEA"/>
    <w:rsid w:val="008B26E4"/>
    <w:rsid w:val="00902263"/>
    <w:rsid w:val="00921977"/>
    <w:rsid w:val="00922576"/>
    <w:rsid w:val="0092467E"/>
    <w:rsid w:val="00930339"/>
    <w:rsid w:val="00932A48"/>
    <w:rsid w:val="00945ECE"/>
    <w:rsid w:val="00955B5B"/>
    <w:rsid w:val="00966186"/>
    <w:rsid w:val="00985C1F"/>
    <w:rsid w:val="00991FE7"/>
    <w:rsid w:val="00993450"/>
    <w:rsid w:val="00997396"/>
    <w:rsid w:val="009A2536"/>
    <w:rsid w:val="009A290A"/>
    <w:rsid w:val="009B1D8E"/>
    <w:rsid w:val="009C083A"/>
    <w:rsid w:val="009C304E"/>
    <w:rsid w:val="009C40B3"/>
    <w:rsid w:val="009D1481"/>
    <w:rsid w:val="009D32DF"/>
    <w:rsid w:val="009E3E8D"/>
    <w:rsid w:val="009E593D"/>
    <w:rsid w:val="00A01D59"/>
    <w:rsid w:val="00A15814"/>
    <w:rsid w:val="00A170B3"/>
    <w:rsid w:val="00A27717"/>
    <w:rsid w:val="00A52897"/>
    <w:rsid w:val="00A70C6C"/>
    <w:rsid w:val="00A72C1F"/>
    <w:rsid w:val="00A84609"/>
    <w:rsid w:val="00AA09C3"/>
    <w:rsid w:val="00AA2057"/>
    <w:rsid w:val="00AA4EFA"/>
    <w:rsid w:val="00AA6805"/>
    <w:rsid w:val="00AB0A71"/>
    <w:rsid w:val="00AB0AEC"/>
    <w:rsid w:val="00AB4C63"/>
    <w:rsid w:val="00AC16D4"/>
    <w:rsid w:val="00AC16E9"/>
    <w:rsid w:val="00AE15BA"/>
    <w:rsid w:val="00AE50DA"/>
    <w:rsid w:val="00AE6951"/>
    <w:rsid w:val="00AF1B7F"/>
    <w:rsid w:val="00B06C7A"/>
    <w:rsid w:val="00B1590F"/>
    <w:rsid w:val="00B1698E"/>
    <w:rsid w:val="00B3496A"/>
    <w:rsid w:val="00B3498D"/>
    <w:rsid w:val="00B47675"/>
    <w:rsid w:val="00B571DC"/>
    <w:rsid w:val="00B6321E"/>
    <w:rsid w:val="00B86134"/>
    <w:rsid w:val="00B91BCB"/>
    <w:rsid w:val="00B95271"/>
    <w:rsid w:val="00B95279"/>
    <w:rsid w:val="00B952EA"/>
    <w:rsid w:val="00B96ABD"/>
    <w:rsid w:val="00BA5035"/>
    <w:rsid w:val="00BA522D"/>
    <w:rsid w:val="00BA78AA"/>
    <w:rsid w:val="00BC0DA7"/>
    <w:rsid w:val="00BC3D48"/>
    <w:rsid w:val="00BD7C89"/>
    <w:rsid w:val="00BF2B24"/>
    <w:rsid w:val="00BF77C0"/>
    <w:rsid w:val="00C13D59"/>
    <w:rsid w:val="00C23A9B"/>
    <w:rsid w:val="00C24349"/>
    <w:rsid w:val="00C248DE"/>
    <w:rsid w:val="00C3249E"/>
    <w:rsid w:val="00C37E01"/>
    <w:rsid w:val="00C52FF9"/>
    <w:rsid w:val="00C617D4"/>
    <w:rsid w:val="00C830CB"/>
    <w:rsid w:val="00C84F8B"/>
    <w:rsid w:val="00C86377"/>
    <w:rsid w:val="00C8745C"/>
    <w:rsid w:val="00C93411"/>
    <w:rsid w:val="00CA070F"/>
    <w:rsid w:val="00CB7BFE"/>
    <w:rsid w:val="00CC0E57"/>
    <w:rsid w:val="00CD2C3B"/>
    <w:rsid w:val="00CE1BF4"/>
    <w:rsid w:val="00CE4520"/>
    <w:rsid w:val="00CE4690"/>
    <w:rsid w:val="00CE7D22"/>
    <w:rsid w:val="00D026AD"/>
    <w:rsid w:val="00D13016"/>
    <w:rsid w:val="00D13461"/>
    <w:rsid w:val="00D26AE6"/>
    <w:rsid w:val="00D274ED"/>
    <w:rsid w:val="00D3587A"/>
    <w:rsid w:val="00D45345"/>
    <w:rsid w:val="00D46DA5"/>
    <w:rsid w:val="00D53595"/>
    <w:rsid w:val="00D63251"/>
    <w:rsid w:val="00DB0589"/>
    <w:rsid w:val="00DC0487"/>
    <w:rsid w:val="00DC27D0"/>
    <w:rsid w:val="00DC4918"/>
    <w:rsid w:val="00DD20A3"/>
    <w:rsid w:val="00DE25D9"/>
    <w:rsid w:val="00DF0DF0"/>
    <w:rsid w:val="00E2246C"/>
    <w:rsid w:val="00E33471"/>
    <w:rsid w:val="00E37A62"/>
    <w:rsid w:val="00E479BF"/>
    <w:rsid w:val="00E47EB6"/>
    <w:rsid w:val="00E81514"/>
    <w:rsid w:val="00EB1E86"/>
    <w:rsid w:val="00EC5ADA"/>
    <w:rsid w:val="00ED5B6B"/>
    <w:rsid w:val="00EE012A"/>
    <w:rsid w:val="00EE3560"/>
    <w:rsid w:val="00EE6090"/>
    <w:rsid w:val="00EF7F56"/>
    <w:rsid w:val="00F16CC4"/>
    <w:rsid w:val="00F30009"/>
    <w:rsid w:val="00F463F9"/>
    <w:rsid w:val="00F53BCF"/>
    <w:rsid w:val="00F608B5"/>
    <w:rsid w:val="00F66BD9"/>
    <w:rsid w:val="00F70416"/>
    <w:rsid w:val="00F735E4"/>
    <w:rsid w:val="00F8467B"/>
    <w:rsid w:val="00F93AD5"/>
    <w:rsid w:val="00FB078F"/>
    <w:rsid w:val="00FC018A"/>
    <w:rsid w:val="00FE6B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5221-EB91-49A6-ADCC-0C74AD8A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123</cp:revision>
  <cp:lastPrinted>2020-01-28T07:27:00Z</cp:lastPrinted>
  <dcterms:created xsi:type="dcterms:W3CDTF">2020-01-28T07:49:00Z</dcterms:created>
  <dcterms:modified xsi:type="dcterms:W3CDTF">2020-02-06T10:07:00Z</dcterms:modified>
</cp:coreProperties>
</file>