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D524C" w:rsidRDefault="0073327C" w:rsidP="009D524C">
      <w:pPr>
        <w:pStyle w:val="NoSpacing"/>
        <w:jc w:val="both"/>
        <w:rPr>
          <w:b/>
          <w:szCs w:val="24"/>
        </w:rPr>
      </w:pPr>
      <w:r w:rsidRPr="009D524C">
        <w:rPr>
          <w:b/>
          <w:szCs w:val="24"/>
        </w:rPr>
        <w:t>CHARLTON MOYO</w:t>
      </w:r>
    </w:p>
    <w:p w:rsidR="0073327C" w:rsidRPr="009D524C" w:rsidRDefault="0073327C" w:rsidP="009D524C">
      <w:pPr>
        <w:pStyle w:val="NoSpacing"/>
        <w:jc w:val="both"/>
        <w:rPr>
          <w:b/>
          <w:szCs w:val="24"/>
        </w:rPr>
      </w:pPr>
    </w:p>
    <w:p w:rsidR="0073327C" w:rsidRPr="009D524C" w:rsidRDefault="0073327C" w:rsidP="009D524C">
      <w:pPr>
        <w:pStyle w:val="NoSpacing"/>
        <w:jc w:val="both"/>
        <w:rPr>
          <w:b/>
          <w:szCs w:val="24"/>
        </w:rPr>
      </w:pPr>
      <w:r w:rsidRPr="009D524C">
        <w:rPr>
          <w:b/>
          <w:szCs w:val="24"/>
        </w:rPr>
        <w:t>Versus</w:t>
      </w:r>
    </w:p>
    <w:p w:rsidR="0073327C" w:rsidRPr="009D524C" w:rsidRDefault="0073327C" w:rsidP="009D524C">
      <w:pPr>
        <w:pStyle w:val="NoSpacing"/>
        <w:jc w:val="both"/>
        <w:rPr>
          <w:b/>
          <w:szCs w:val="24"/>
        </w:rPr>
      </w:pPr>
    </w:p>
    <w:p w:rsidR="0073327C" w:rsidRPr="009D524C" w:rsidRDefault="0073327C" w:rsidP="009D524C">
      <w:pPr>
        <w:pStyle w:val="NoSpacing"/>
        <w:jc w:val="both"/>
        <w:rPr>
          <w:b/>
          <w:szCs w:val="24"/>
        </w:rPr>
      </w:pPr>
      <w:r w:rsidRPr="009D524C">
        <w:rPr>
          <w:b/>
          <w:szCs w:val="24"/>
        </w:rPr>
        <w:t>MARTIN ZUZE</w:t>
      </w:r>
    </w:p>
    <w:p w:rsidR="0073327C" w:rsidRPr="009D524C" w:rsidRDefault="0073327C" w:rsidP="009D524C">
      <w:pPr>
        <w:pStyle w:val="NoSpacing"/>
        <w:jc w:val="both"/>
        <w:rPr>
          <w:b/>
          <w:szCs w:val="24"/>
        </w:rPr>
      </w:pPr>
    </w:p>
    <w:p w:rsidR="0073327C" w:rsidRPr="009D524C" w:rsidRDefault="0073327C" w:rsidP="009D524C">
      <w:pPr>
        <w:pStyle w:val="NoSpacing"/>
        <w:jc w:val="both"/>
        <w:rPr>
          <w:szCs w:val="24"/>
        </w:rPr>
      </w:pPr>
      <w:r w:rsidRPr="009D524C">
        <w:rPr>
          <w:szCs w:val="24"/>
        </w:rPr>
        <w:t>IN THE HIGH COURT OF ZIMBABWE</w:t>
      </w:r>
    </w:p>
    <w:p w:rsidR="0073327C" w:rsidRPr="009D524C" w:rsidRDefault="0073327C" w:rsidP="009D524C">
      <w:pPr>
        <w:pStyle w:val="NoSpacing"/>
        <w:jc w:val="both"/>
        <w:rPr>
          <w:szCs w:val="24"/>
        </w:rPr>
      </w:pPr>
      <w:r w:rsidRPr="009D524C">
        <w:rPr>
          <w:szCs w:val="24"/>
        </w:rPr>
        <w:t>TAKUVA J</w:t>
      </w:r>
    </w:p>
    <w:p w:rsidR="0073327C" w:rsidRPr="009D524C" w:rsidRDefault="0073327C" w:rsidP="009D524C">
      <w:pPr>
        <w:pStyle w:val="NoSpacing"/>
        <w:jc w:val="both"/>
        <w:rPr>
          <w:szCs w:val="24"/>
        </w:rPr>
      </w:pPr>
      <w:r w:rsidRPr="009D524C">
        <w:rPr>
          <w:szCs w:val="24"/>
        </w:rPr>
        <w:t>BULAWAYO 4 JUNE &amp; 11 JULY 2019</w:t>
      </w:r>
    </w:p>
    <w:p w:rsidR="0073327C" w:rsidRPr="009D524C" w:rsidRDefault="0073327C" w:rsidP="009D524C">
      <w:pPr>
        <w:pStyle w:val="NoSpacing"/>
        <w:jc w:val="both"/>
        <w:rPr>
          <w:szCs w:val="24"/>
        </w:rPr>
      </w:pPr>
    </w:p>
    <w:p w:rsidR="0073327C" w:rsidRPr="009D524C" w:rsidRDefault="0073327C" w:rsidP="009D524C">
      <w:pPr>
        <w:pStyle w:val="NoSpacing"/>
        <w:jc w:val="both"/>
        <w:rPr>
          <w:b/>
          <w:szCs w:val="24"/>
        </w:rPr>
      </w:pPr>
      <w:r w:rsidRPr="009D524C">
        <w:rPr>
          <w:b/>
          <w:szCs w:val="24"/>
        </w:rPr>
        <w:t>Civil Trial</w:t>
      </w:r>
    </w:p>
    <w:p w:rsidR="0073327C" w:rsidRPr="009D524C" w:rsidRDefault="0073327C" w:rsidP="009D524C">
      <w:pPr>
        <w:pStyle w:val="NoSpacing"/>
        <w:jc w:val="both"/>
        <w:rPr>
          <w:b/>
          <w:szCs w:val="24"/>
        </w:rPr>
      </w:pPr>
    </w:p>
    <w:p w:rsidR="0073327C" w:rsidRPr="009D524C" w:rsidRDefault="0073327C" w:rsidP="009D524C">
      <w:pPr>
        <w:pStyle w:val="NoSpacing"/>
        <w:jc w:val="both"/>
        <w:rPr>
          <w:szCs w:val="24"/>
        </w:rPr>
      </w:pPr>
      <w:r w:rsidRPr="009D524C">
        <w:rPr>
          <w:i/>
          <w:szCs w:val="24"/>
        </w:rPr>
        <w:t>T. Masiye-Moyo</w:t>
      </w:r>
      <w:r w:rsidRPr="009D524C">
        <w:rPr>
          <w:szCs w:val="24"/>
        </w:rPr>
        <w:t xml:space="preserve"> for the plaintiff</w:t>
      </w:r>
    </w:p>
    <w:p w:rsidR="0073327C" w:rsidRPr="009D524C" w:rsidRDefault="0073327C" w:rsidP="009D524C">
      <w:pPr>
        <w:pStyle w:val="NoSpacing"/>
        <w:jc w:val="both"/>
        <w:rPr>
          <w:szCs w:val="24"/>
        </w:rPr>
      </w:pPr>
      <w:r w:rsidRPr="009D524C">
        <w:rPr>
          <w:i/>
          <w:szCs w:val="24"/>
        </w:rPr>
        <w:t>V. Majoko</w:t>
      </w:r>
      <w:r w:rsidRPr="009D524C">
        <w:rPr>
          <w:szCs w:val="24"/>
        </w:rPr>
        <w:t xml:space="preserve"> for the defendant</w:t>
      </w:r>
    </w:p>
    <w:p w:rsidR="0073327C" w:rsidRPr="009D524C" w:rsidRDefault="0073327C" w:rsidP="009D524C">
      <w:pPr>
        <w:jc w:val="both"/>
        <w:rPr>
          <w:szCs w:val="24"/>
        </w:rPr>
      </w:pPr>
      <w:r w:rsidRPr="009D524C">
        <w:rPr>
          <w:szCs w:val="24"/>
        </w:rPr>
        <w:tab/>
      </w:r>
      <w:r w:rsidRPr="009D524C">
        <w:rPr>
          <w:b/>
          <w:szCs w:val="24"/>
        </w:rPr>
        <w:t>TAKUVA J:</w:t>
      </w:r>
      <w:r w:rsidRPr="009D524C">
        <w:rPr>
          <w:b/>
          <w:szCs w:val="24"/>
        </w:rPr>
        <w:tab/>
      </w:r>
      <w:r w:rsidR="0022490F" w:rsidRPr="009D524C">
        <w:rPr>
          <w:szCs w:val="24"/>
        </w:rPr>
        <w:t>P</w:t>
      </w:r>
      <w:r w:rsidRPr="009D524C">
        <w:rPr>
          <w:szCs w:val="24"/>
        </w:rPr>
        <w:t>laintiff issued summons against the defendant claiming:</w:t>
      </w:r>
    </w:p>
    <w:p w:rsidR="0073327C" w:rsidRPr="009D524C" w:rsidRDefault="0073327C" w:rsidP="009D524C">
      <w:pPr>
        <w:pStyle w:val="ListParagraph"/>
        <w:numPr>
          <w:ilvl w:val="0"/>
          <w:numId w:val="1"/>
        </w:numPr>
        <w:jc w:val="both"/>
        <w:rPr>
          <w:szCs w:val="24"/>
        </w:rPr>
      </w:pPr>
      <w:r w:rsidRPr="009D524C">
        <w:rPr>
          <w:szCs w:val="24"/>
        </w:rPr>
        <w:t>The evicti</w:t>
      </w:r>
      <w:r w:rsidR="0022490F" w:rsidRPr="009D524C">
        <w:rPr>
          <w:szCs w:val="24"/>
        </w:rPr>
        <w:t>o</w:t>
      </w:r>
      <w:r w:rsidRPr="009D524C">
        <w:rPr>
          <w:szCs w:val="24"/>
        </w:rPr>
        <w:t>n of the defendant and or those claiming occupation through him from certain piece of land situate in the District of Bulawayo being stand number 8621 Nkulumane Township.</w:t>
      </w:r>
    </w:p>
    <w:p w:rsidR="0073327C" w:rsidRPr="009D524C" w:rsidRDefault="0073327C" w:rsidP="009D524C">
      <w:pPr>
        <w:pStyle w:val="ListParagraph"/>
        <w:numPr>
          <w:ilvl w:val="0"/>
          <w:numId w:val="1"/>
        </w:numPr>
        <w:jc w:val="both"/>
        <w:rPr>
          <w:szCs w:val="24"/>
        </w:rPr>
      </w:pPr>
      <w:r w:rsidRPr="009D524C">
        <w:rPr>
          <w:szCs w:val="24"/>
        </w:rPr>
        <w:t>Holdover damages of $6,50 per day from the issue of summons up to the eviction of the defendant.</w:t>
      </w:r>
    </w:p>
    <w:p w:rsidR="0073327C" w:rsidRPr="009D524C" w:rsidRDefault="0073327C" w:rsidP="009D524C">
      <w:pPr>
        <w:pStyle w:val="ListParagraph"/>
        <w:numPr>
          <w:ilvl w:val="0"/>
          <w:numId w:val="1"/>
        </w:numPr>
        <w:jc w:val="both"/>
        <w:rPr>
          <w:szCs w:val="24"/>
        </w:rPr>
      </w:pPr>
      <w:r w:rsidRPr="009D524C">
        <w:rPr>
          <w:szCs w:val="24"/>
        </w:rPr>
        <w:t>Costs on an attorney-client scale.</w:t>
      </w:r>
    </w:p>
    <w:p w:rsidR="0073327C" w:rsidRPr="009D524C" w:rsidRDefault="0073327C" w:rsidP="009D524C">
      <w:pPr>
        <w:ind w:firstLine="720"/>
        <w:jc w:val="both"/>
        <w:rPr>
          <w:szCs w:val="24"/>
        </w:rPr>
      </w:pPr>
      <w:r w:rsidRPr="009D524C">
        <w:rPr>
          <w:szCs w:val="24"/>
        </w:rPr>
        <w:t>Defendant entered appearance to defend and subsequently the matter was referred to trial on two issues captured in the jo</w:t>
      </w:r>
      <w:r w:rsidR="00FD1844">
        <w:rPr>
          <w:szCs w:val="24"/>
        </w:rPr>
        <w:t>int pre-trial conference minute</w:t>
      </w:r>
      <w:r w:rsidRPr="009D524C">
        <w:rPr>
          <w:szCs w:val="24"/>
        </w:rPr>
        <w:t xml:space="preserve"> as:</w:t>
      </w:r>
    </w:p>
    <w:p w:rsidR="0073327C" w:rsidRPr="009D524C" w:rsidRDefault="009D524C" w:rsidP="009D524C">
      <w:pPr>
        <w:pStyle w:val="NoSpacing"/>
        <w:ind w:left="1440" w:hanging="720"/>
        <w:jc w:val="both"/>
        <w:rPr>
          <w:szCs w:val="24"/>
        </w:rPr>
      </w:pPr>
      <w:r>
        <w:rPr>
          <w:szCs w:val="24"/>
        </w:rPr>
        <w:t xml:space="preserve">“1.     </w:t>
      </w:r>
      <w:r w:rsidR="0022490F" w:rsidRPr="009D524C">
        <w:rPr>
          <w:szCs w:val="24"/>
        </w:rPr>
        <w:t>Wheth</w:t>
      </w:r>
      <w:r w:rsidR="002F42C5" w:rsidRPr="009D524C">
        <w:rPr>
          <w:szCs w:val="24"/>
        </w:rPr>
        <w:t>er</w:t>
      </w:r>
      <w:r w:rsidR="0022490F" w:rsidRPr="009D524C">
        <w:rPr>
          <w:szCs w:val="24"/>
        </w:rPr>
        <w:t xml:space="preserve"> the plaintiff should evict the defendant an</w:t>
      </w:r>
      <w:r>
        <w:rPr>
          <w:szCs w:val="24"/>
        </w:rPr>
        <w:t xml:space="preserve">d all those claiming occupation </w:t>
      </w:r>
      <w:r w:rsidR="0022490F" w:rsidRPr="009D524C">
        <w:rPr>
          <w:szCs w:val="24"/>
        </w:rPr>
        <w:t>through him from stand number 8621 Nkulumane, Bulawayo.</w:t>
      </w:r>
    </w:p>
    <w:p w:rsidR="0022490F" w:rsidRPr="009D524C" w:rsidRDefault="00D94B8F" w:rsidP="009D524C">
      <w:pPr>
        <w:pStyle w:val="NoSpacing"/>
        <w:ind w:left="1440" w:hanging="720"/>
        <w:jc w:val="both"/>
        <w:rPr>
          <w:szCs w:val="24"/>
        </w:rPr>
      </w:pPr>
      <w:r w:rsidRPr="009D524C">
        <w:rPr>
          <w:szCs w:val="24"/>
        </w:rPr>
        <w:t>2.</w:t>
      </w:r>
      <w:r w:rsidRPr="009D524C">
        <w:rPr>
          <w:szCs w:val="24"/>
        </w:rPr>
        <w:tab/>
      </w:r>
      <w:r w:rsidR="0022490F" w:rsidRPr="009D524C">
        <w:rPr>
          <w:szCs w:val="24"/>
        </w:rPr>
        <w:t>Whether t</w:t>
      </w:r>
      <w:r w:rsidRPr="009D524C">
        <w:rPr>
          <w:szCs w:val="24"/>
        </w:rPr>
        <w:t>h</w:t>
      </w:r>
      <w:r w:rsidR="0022490F" w:rsidRPr="009D524C">
        <w:rPr>
          <w:szCs w:val="24"/>
        </w:rPr>
        <w:t>e defendant is liable to pay holdover damages of $6,50 per day from t</w:t>
      </w:r>
      <w:r w:rsidRPr="009D524C">
        <w:rPr>
          <w:szCs w:val="24"/>
        </w:rPr>
        <w:t>h</w:t>
      </w:r>
      <w:r w:rsidR="0022490F" w:rsidRPr="009D524C">
        <w:rPr>
          <w:szCs w:val="24"/>
        </w:rPr>
        <w:t>e issue of summons up to his eviction and all those claiming occupation</w:t>
      </w:r>
      <w:r w:rsidRPr="009D524C">
        <w:rPr>
          <w:szCs w:val="24"/>
        </w:rPr>
        <w:t xml:space="preserve"> through him.”</w:t>
      </w:r>
    </w:p>
    <w:p w:rsidR="00D94B8F" w:rsidRPr="009D524C" w:rsidRDefault="00D94B8F" w:rsidP="009D524C">
      <w:pPr>
        <w:ind w:firstLine="720"/>
        <w:jc w:val="both"/>
        <w:rPr>
          <w:szCs w:val="24"/>
        </w:rPr>
      </w:pPr>
      <w:r w:rsidRPr="009D524C">
        <w:rPr>
          <w:szCs w:val="24"/>
        </w:rPr>
        <w:t>At the hearing of this matter both parties indicated t</w:t>
      </w:r>
      <w:r w:rsidR="00FC55EB" w:rsidRPr="009D524C">
        <w:rPr>
          <w:szCs w:val="24"/>
        </w:rPr>
        <w:t>h</w:t>
      </w:r>
      <w:r w:rsidRPr="009D524C">
        <w:rPr>
          <w:szCs w:val="24"/>
        </w:rPr>
        <w:t xml:space="preserve">at they wanted to proceed by way of stated agreed facts leaving the court to make </w:t>
      </w:r>
      <w:r w:rsidR="00FD1844">
        <w:rPr>
          <w:szCs w:val="24"/>
        </w:rPr>
        <w:t xml:space="preserve">a </w:t>
      </w:r>
      <w:r w:rsidRPr="009D524C">
        <w:rPr>
          <w:szCs w:val="24"/>
        </w:rPr>
        <w:t xml:space="preserve">determination of a single question of law, namely, whether or not the defendant has a defence at law to the eviction suit on the admitted facts.  </w:t>
      </w:r>
      <w:r w:rsidRPr="009D524C">
        <w:rPr>
          <w:szCs w:val="24"/>
        </w:rPr>
        <w:lastRenderedPageBreak/>
        <w:t>Defendant agreed that in the event the or</w:t>
      </w:r>
      <w:r w:rsidR="00FC55EB" w:rsidRPr="009D524C">
        <w:rPr>
          <w:szCs w:val="24"/>
        </w:rPr>
        <w:t xml:space="preserve">der of eviction is </w:t>
      </w:r>
      <w:r w:rsidRPr="009D524C">
        <w:rPr>
          <w:szCs w:val="24"/>
        </w:rPr>
        <w:t>successful, the holdover damages claims should follow.</w:t>
      </w:r>
    </w:p>
    <w:p w:rsidR="00FC55EB" w:rsidRPr="009D524C" w:rsidRDefault="00FC55EB" w:rsidP="009D524C">
      <w:pPr>
        <w:ind w:firstLine="720"/>
        <w:jc w:val="both"/>
        <w:rPr>
          <w:szCs w:val="24"/>
        </w:rPr>
      </w:pPr>
      <w:r w:rsidRPr="009D524C">
        <w:rPr>
          <w:szCs w:val="24"/>
        </w:rPr>
        <w:t>The parties then produced a statement of agreed facts whose contents are:</w:t>
      </w:r>
    </w:p>
    <w:p w:rsidR="00FC55EB" w:rsidRPr="009D524C" w:rsidRDefault="00FC55EB" w:rsidP="009D524C">
      <w:pPr>
        <w:pStyle w:val="NoSpacing"/>
        <w:ind w:left="1440" w:hanging="720"/>
        <w:jc w:val="both"/>
        <w:rPr>
          <w:szCs w:val="24"/>
        </w:rPr>
      </w:pPr>
      <w:r w:rsidRPr="009D524C">
        <w:rPr>
          <w:szCs w:val="24"/>
        </w:rPr>
        <w:t>“</w:t>
      </w:r>
      <w:r w:rsidR="00A10D57" w:rsidRPr="009D524C">
        <w:rPr>
          <w:szCs w:val="24"/>
        </w:rPr>
        <w:t>1.</w:t>
      </w:r>
      <w:r w:rsidR="00A10D57" w:rsidRPr="009D524C">
        <w:rPr>
          <w:szCs w:val="24"/>
        </w:rPr>
        <w:tab/>
        <w:t>In case number</w:t>
      </w:r>
      <w:r w:rsidRPr="009D524C">
        <w:rPr>
          <w:szCs w:val="24"/>
        </w:rPr>
        <w:t xml:space="preserve"> </w:t>
      </w:r>
      <w:r w:rsidR="005D68B9" w:rsidRPr="009D524C">
        <w:rPr>
          <w:szCs w:val="24"/>
        </w:rPr>
        <w:t xml:space="preserve">MC </w:t>
      </w:r>
      <w:r w:rsidRPr="009D524C">
        <w:rPr>
          <w:szCs w:val="24"/>
        </w:rPr>
        <w:t>2507/14 in the Magistrates’ Court, judgment was gran</w:t>
      </w:r>
      <w:r w:rsidR="00A10D57" w:rsidRPr="009D524C">
        <w:rPr>
          <w:szCs w:val="24"/>
        </w:rPr>
        <w:t>t</w:t>
      </w:r>
      <w:r w:rsidRPr="009D524C">
        <w:rPr>
          <w:szCs w:val="24"/>
        </w:rPr>
        <w:t>ed in monetary terms against the defendant in this matter.</w:t>
      </w:r>
    </w:p>
    <w:p w:rsidR="00FC55EB" w:rsidRPr="009D524C" w:rsidRDefault="00FC55EB" w:rsidP="009D524C">
      <w:pPr>
        <w:pStyle w:val="NoSpacing"/>
        <w:ind w:left="1440" w:hanging="720"/>
        <w:jc w:val="both"/>
        <w:rPr>
          <w:szCs w:val="24"/>
        </w:rPr>
      </w:pPr>
      <w:r w:rsidRPr="009D524C">
        <w:rPr>
          <w:szCs w:val="24"/>
        </w:rPr>
        <w:t>2.</w:t>
      </w:r>
      <w:r w:rsidRPr="009D524C">
        <w:rPr>
          <w:szCs w:val="24"/>
        </w:rPr>
        <w:tab/>
        <w:t>Consequently, the defendant’s property house number 8621 Nkulumane, Bulawayo was attached in execution.</w:t>
      </w:r>
    </w:p>
    <w:p w:rsidR="00FC55EB" w:rsidRPr="009D524C" w:rsidRDefault="00FC55EB" w:rsidP="009D524C">
      <w:pPr>
        <w:pStyle w:val="NoSpacing"/>
        <w:ind w:left="1440" w:hanging="720"/>
        <w:jc w:val="both"/>
        <w:rPr>
          <w:szCs w:val="24"/>
        </w:rPr>
      </w:pPr>
      <w:r w:rsidRPr="009D524C">
        <w:rPr>
          <w:szCs w:val="24"/>
        </w:rPr>
        <w:t>3.</w:t>
      </w:r>
      <w:r w:rsidRPr="009D524C">
        <w:rPr>
          <w:szCs w:val="24"/>
        </w:rPr>
        <w:tab/>
        <w:t>The defendant’s property was put up for auction in about December 2015 but for the reason of a non-comp</w:t>
      </w:r>
      <w:r w:rsidR="00A10D57" w:rsidRPr="009D524C">
        <w:rPr>
          <w:szCs w:val="24"/>
        </w:rPr>
        <w:t>eti</w:t>
      </w:r>
      <w:r w:rsidRPr="009D524C">
        <w:rPr>
          <w:szCs w:val="24"/>
        </w:rPr>
        <w:t>tive bid</w:t>
      </w:r>
      <w:r w:rsidR="00FD1844">
        <w:rPr>
          <w:szCs w:val="24"/>
        </w:rPr>
        <w:t>,</w:t>
      </w:r>
      <w:r w:rsidRPr="009D524C">
        <w:rPr>
          <w:szCs w:val="24"/>
        </w:rPr>
        <w:t xml:space="preserve"> was not sold by auction resulting in t</w:t>
      </w:r>
      <w:r w:rsidR="00A10D57" w:rsidRPr="009D524C">
        <w:rPr>
          <w:szCs w:val="24"/>
        </w:rPr>
        <w:t>h</w:t>
      </w:r>
      <w:r w:rsidRPr="009D524C">
        <w:rPr>
          <w:szCs w:val="24"/>
        </w:rPr>
        <w:t>e Messenger of Court putting it up for sale by private treaty.  (</w:t>
      </w:r>
      <w:r w:rsidR="005D68B9" w:rsidRPr="009D524C">
        <w:rPr>
          <w:szCs w:val="24"/>
        </w:rPr>
        <w:t>S</w:t>
      </w:r>
      <w:r w:rsidRPr="009D524C">
        <w:rPr>
          <w:szCs w:val="24"/>
        </w:rPr>
        <w:t xml:space="preserve">ee page 103 paragraph 4 of the </w:t>
      </w:r>
      <w:r w:rsidR="00CE7916" w:rsidRPr="009D524C">
        <w:rPr>
          <w:szCs w:val="24"/>
        </w:rPr>
        <w:t>re</w:t>
      </w:r>
      <w:r w:rsidRPr="009D524C">
        <w:rPr>
          <w:szCs w:val="24"/>
        </w:rPr>
        <w:t>cord in HCA 55/17).</w:t>
      </w:r>
    </w:p>
    <w:p w:rsidR="00FC55EB" w:rsidRPr="009D524C" w:rsidRDefault="00FC55EB" w:rsidP="009D524C">
      <w:pPr>
        <w:pStyle w:val="NoSpacing"/>
        <w:ind w:left="1440" w:hanging="720"/>
        <w:jc w:val="both"/>
        <w:rPr>
          <w:szCs w:val="24"/>
        </w:rPr>
      </w:pPr>
      <w:r w:rsidRPr="009D524C">
        <w:rPr>
          <w:szCs w:val="24"/>
        </w:rPr>
        <w:t>4.</w:t>
      </w:r>
      <w:r w:rsidRPr="009D524C">
        <w:rPr>
          <w:szCs w:val="24"/>
        </w:rPr>
        <w:tab/>
        <w:t>Plaintiff in this mat</w:t>
      </w:r>
      <w:r w:rsidR="00CE7916" w:rsidRPr="009D524C">
        <w:rPr>
          <w:szCs w:val="24"/>
        </w:rPr>
        <w:t>t</w:t>
      </w:r>
      <w:r w:rsidRPr="009D524C">
        <w:rPr>
          <w:szCs w:val="24"/>
        </w:rPr>
        <w:t>er subsequently purchased the property by private treaty from the Messenger of Court, Bulawayo on t</w:t>
      </w:r>
      <w:r w:rsidR="00A10D57" w:rsidRPr="009D524C">
        <w:rPr>
          <w:szCs w:val="24"/>
        </w:rPr>
        <w:t>h</w:t>
      </w:r>
      <w:r w:rsidRPr="009D524C">
        <w:rPr>
          <w:szCs w:val="24"/>
        </w:rPr>
        <w:t>e 5</w:t>
      </w:r>
      <w:r w:rsidRPr="009D524C">
        <w:rPr>
          <w:szCs w:val="24"/>
          <w:vertAlign w:val="superscript"/>
        </w:rPr>
        <w:t>th</w:t>
      </w:r>
      <w:r w:rsidRPr="009D524C">
        <w:rPr>
          <w:szCs w:val="24"/>
        </w:rPr>
        <w:t xml:space="preserve"> of October 2016.  The agreement of sale is marked exhibit 1 in the plaintiff’s bundle of documents filed of record a</w:t>
      </w:r>
      <w:r w:rsidR="00CE7916" w:rsidRPr="009D524C">
        <w:rPr>
          <w:szCs w:val="24"/>
        </w:rPr>
        <w:t>t</w:t>
      </w:r>
      <w:r w:rsidRPr="009D524C">
        <w:rPr>
          <w:szCs w:val="24"/>
        </w:rPr>
        <w:t xml:space="preserve"> page 6.</w:t>
      </w:r>
    </w:p>
    <w:p w:rsidR="00FC55EB" w:rsidRPr="009D524C" w:rsidRDefault="00FC55EB" w:rsidP="009D524C">
      <w:pPr>
        <w:pStyle w:val="NoSpacing"/>
        <w:ind w:left="1440" w:hanging="720"/>
        <w:jc w:val="both"/>
        <w:rPr>
          <w:szCs w:val="24"/>
        </w:rPr>
      </w:pPr>
      <w:r w:rsidRPr="009D524C">
        <w:rPr>
          <w:szCs w:val="24"/>
        </w:rPr>
        <w:t>5.</w:t>
      </w:r>
      <w:r w:rsidRPr="009D524C">
        <w:rPr>
          <w:szCs w:val="24"/>
        </w:rPr>
        <w:tab/>
        <w:t>In March 2017, t</w:t>
      </w:r>
      <w:r w:rsidR="00A10D57" w:rsidRPr="009D524C">
        <w:rPr>
          <w:szCs w:val="24"/>
        </w:rPr>
        <w:t>h</w:t>
      </w:r>
      <w:r w:rsidRPr="009D524C">
        <w:rPr>
          <w:szCs w:val="24"/>
        </w:rPr>
        <w:t xml:space="preserve">e defendant in this matter filed a court application in the Magistrates’ Court, Bulawayo challenging the sale of the property in issue to the plaintiff herein alleging that the </w:t>
      </w:r>
      <w:r w:rsidR="00A10D57" w:rsidRPr="009D524C">
        <w:rPr>
          <w:szCs w:val="24"/>
        </w:rPr>
        <w:t>p</w:t>
      </w:r>
      <w:r w:rsidRPr="009D524C">
        <w:rPr>
          <w:szCs w:val="24"/>
        </w:rPr>
        <w:t>roperty was irregularly sold to the plaintiff – see page 89 of the record of appeal HCA 66/17.</w:t>
      </w:r>
    </w:p>
    <w:p w:rsidR="00FC55EB" w:rsidRPr="009D524C" w:rsidRDefault="00FC55EB" w:rsidP="009D524C">
      <w:pPr>
        <w:pStyle w:val="NoSpacing"/>
        <w:ind w:left="1440" w:hanging="720"/>
        <w:jc w:val="both"/>
        <w:rPr>
          <w:szCs w:val="24"/>
        </w:rPr>
      </w:pPr>
      <w:r w:rsidRPr="009D524C">
        <w:rPr>
          <w:szCs w:val="24"/>
        </w:rPr>
        <w:t>6.</w:t>
      </w:r>
      <w:r w:rsidRPr="009D524C">
        <w:rPr>
          <w:szCs w:val="24"/>
        </w:rPr>
        <w:tab/>
        <w:t>On the 20</w:t>
      </w:r>
      <w:r w:rsidRPr="009D524C">
        <w:rPr>
          <w:szCs w:val="24"/>
          <w:vertAlign w:val="superscript"/>
        </w:rPr>
        <w:t>th</w:t>
      </w:r>
      <w:r w:rsidRPr="009D524C">
        <w:rPr>
          <w:szCs w:val="24"/>
        </w:rPr>
        <w:t xml:space="preserve"> March 2017</w:t>
      </w:r>
      <w:r w:rsidR="00A10D57" w:rsidRPr="009D524C">
        <w:rPr>
          <w:szCs w:val="24"/>
        </w:rPr>
        <w:t>, plaintiff took transfer of the property by Deed of Transfer 310/2017.  Copy of the Deed of Transfer is marked exhibit 2 in the plaintiff’s bundle of documents page 2).</w:t>
      </w:r>
    </w:p>
    <w:p w:rsidR="00A10D57" w:rsidRPr="009D524C" w:rsidRDefault="00A10D57" w:rsidP="009D524C">
      <w:pPr>
        <w:pStyle w:val="NoSpacing"/>
        <w:jc w:val="both"/>
        <w:rPr>
          <w:szCs w:val="24"/>
        </w:rPr>
      </w:pPr>
    </w:p>
    <w:p w:rsidR="00A10D57" w:rsidRPr="009D524C" w:rsidRDefault="00A10D57" w:rsidP="009D524C">
      <w:pPr>
        <w:pStyle w:val="NoSpacing"/>
        <w:ind w:left="1440" w:hanging="720"/>
        <w:jc w:val="both"/>
        <w:rPr>
          <w:szCs w:val="24"/>
        </w:rPr>
      </w:pPr>
      <w:r w:rsidRPr="009D524C">
        <w:rPr>
          <w:szCs w:val="24"/>
        </w:rPr>
        <w:t>7.</w:t>
      </w:r>
      <w:r w:rsidRPr="009D524C">
        <w:rPr>
          <w:szCs w:val="24"/>
        </w:rPr>
        <w:tab/>
        <w:t>By judgment of the Magistrates’ Court handed down on the 7</w:t>
      </w:r>
      <w:r w:rsidRPr="009D524C">
        <w:rPr>
          <w:szCs w:val="24"/>
          <w:vertAlign w:val="superscript"/>
        </w:rPr>
        <w:t>th</w:t>
      </w:r>
      <w:r w:rsidRPr="009D524C">
        <w:rPr>
          <w:szCs w:val="24"/>
        </w:rPr>
        <w:t xml:space="preserve"> July in case number </w:t>
      </w:r>
      <w:r w:rsidR="00FD1844">
        <w:rPr>
          <w:szCs w:val="24"/>
        </w:rPr>
        <w:t xml:space="preserve">MC </w:t>
      </w:r>
      <w:r w:rsidRPr="009D524C">
        <w:rPr>
          <w:szCs w:val="24"/>
        </w:rPr>
        <w:t>2507/14 aforesaid, the Magistrate in that matter declined to set aside t</w:t>
      </w:r>
      <w:r w:rsidR="00341A7E" w:rsidRPr="009D524C">
        <w:rPr>
          <w:szCs w:val="24"/>
        </w:rPr>
        <w:t>h</w:t>
      </w:r>
      <w:r w:rsidRPr="009D524C">
        <w:rPr>
          <w:szCs w:val="24"/>
        </w:rPr>
        <w:t>e sale in execution holding in the operative part of the judgment that:</w:t>
      </w:r>
    </w:p>
    <w:p w:rsidR="00A10D57" w:rsidRPr="009D524C" w:rsidRDefault="00A10D57" w:rsidP="009D524C">
      <w:pPr>
        <w:pStyle w:val="NoSpacing"/>
        <w:ind w:left="2160" w:hanging="720"/>
        <w:jc w:val="both"/>
        <w:rPr>
          <w:szCs w:val="24"/>
        </w:rPr>
      </w:pPr>
      <w:r w:rsidRPr="009D524C">
        <w:rPr>
          <w:szCs w:val="24"/>
        </w:rPr>
        <w:t>“1.</w:t>
      </w:r>
      <w:r w:rsidRPr="009D524C">
        <w:rPr>
          <w:szCs w:val="24"/>
        </w:rPr>
        <w:tab/>
        <w:t xml:space="preserve">The point </w:t>
      </w:r>
      <w:r w:rsidRPr="009D524C">
        <w:rPr>
          <w:i/>
          <w:szCs w:val="24"/>
        </w:rPr>
        <w:t>in limine</w:t>
      </w:r>
      <w:r w:rsidRPr="009D524C">
        <w:rPr>
          <w:szCs w:val="24"/>
        </w:rPr>
        <w:t xml:space="preserve"> that the court cannot review the confirmation of the sale in execution be and is hereby upheld with costs.”</w:t>
      </w:r>
    </w:p>
    <w:p w:rsidR="00A10D57" w:rsidRPr="009D524C" w:rsidRDefault="00A10D57" w:rsidP="009D524C">
      <w:pPr>
        <w:pStyle w:val="NoSpacing"/>
        <w:ind w:left="1440" w:hanging="720"/>
        <w:jc w:val="both"/>
        <w:rPr>
          <w:szCs w:val="24"/>
        </w:rPr>
      </w:pPr>
      <w:r w:rsidRPr="009D524C">
        <w:rPr>
          <w:szCs w:val="24"/>
        </w:rPr>
        <w:t>8.</w:t>
      </w:r>
      <w:r w:rsidRPr="009D524C">
        <w:rPr>
          <w:szCs w:val="24"/>
        </w:rPr>
        <w:tab/>
      </w:r>
      <w:r w:rsidR="00E10955" w:rsidRPr="009D524C">
        <w:rPr>
          <w:szCs w:val="24"/>
        </w:rPr>
        <w:t xml:space="preserve">The defendant herein appealed the decision in 7 above under cover of </w:t>
      </w:r>
      <w:r w:rsidR="00CE7916" w:rsidRPr="009D524C">
        <w:rPr>
          <w:szCs w:val="24"/>
        </w:rPr>
        <w:t>H</w:t>
      </w:r>
      <w:r w:rsidR="00E10955" w:rsidRPr="009D524C">
        <w:rPr>
          <w:szCs w:val="24"/>
        </w:rPr>
        <w:t>CA 66/15.</w:t>
      </w:r>
    </w:p>
    <w:p w:rsidR="00E10955" w:rsidRPr="009D524C" w:rsidRDefault="00E10955" w:rsidP="009D524C">
      <w:pPr>
        <w:pStyle w:val="NoSpacing"/>
        <w:ind w:left="1440" w:hanging="720"/>
        <w:jc w:val="both"/>
        <w:rPr>
          <w:szCs w:val="24"/>
        </w:rPr>
      </w:pPr>
      <w:r w:rsidRPr="009D524C">
        <w:rPr>
          <w:szCs w:val="24"/>
        </w:rPr>
        <w:t>9.</w:t>
      </w:r>
      <w:r w:rsidRPr="009D524C">
        <w:rPr>
          <w:szCs w:val="24"/>
        </w:rPr>
        <w:tab/>
      </w:r>
      <w:r w:rsidR="00341A7E" w:rsidRPr="009D524C">
        <w:rPr>
          <w:szCs w:val="24"/>
        </w:rPr>
        <w:t>Meanwhile, the plaintiff herein issued summons for eviction</w:t>
      </w:r>
      <w:r w:rsidR="00A7381C" w:rsidRPr="009D524C">
        <w:rPr>
          <w:szCs w:val="24"/>
        </w:rPr>
        <w:t xml:space="preserve"> in this matter on the 28</w:t>
      </w:r>
      <w:r w:rsidR="00A7381C" w:rsidRPr="009D524C">
        <w:rPr>
          <w:szCs w:val="24"/>
          <w:vertAlign w:val="superscript"/>
        </w:rPr>
        <w:t>th</w:t>
      </w:r>
      <w:r w:rsidR="00A7381C" w:rsidRPr="009D524C">
        <w:rPr>
          <w:szCs w:val="24"/>
        </w:rPr>
        <w:t xml:space="preserve"> March 2017.  Upon entering appearance to defend, plaintiff app</w:t>
      </w:r>
      <w:r w:rsidR="00FD1844">
        <w:rPr>
          <w:szCs w:val="24"/>
        </w:rPr>
        <w:t>li</w:t>
      </w:r>
      <w:r w:rsidR="00A7381C" w:rsidRPr="009D524C">
        <w:rPr>
          <w:szCs w:val="24"/>
        </w:rPr>
        <w:t>ed for summary judgment under HC 1928/17 that application failed.</w:t>
      </w:r>
    </w:p>
    <w:p w:rsidR="00A7381C" w:rsidRPr="009D524C" w:rsidRDefault="00A7381C" w:rsidP="009D524C">
      <w:pPr>
        <w:pStyle w:val="NoSpacing"/>
        <w:ind w:left="1440" w:hanging="720"/>
        <w:jc w:val="both"/>
        <w:rPr>
          <w:szCs w:val="24"/>
        </w:rPr>
      </w:pPr>
      <w:r w:rsidRPr="009D524C">
        <w:rPr>
          <w:szCs w:val="24"/>
        </w:rPr>
        <w:t>10.</w:t>
      </w:r>
      <w:r w:rsidRPr="009D524C">
        <w:rPr>
          <w:szCs w:val="24"/>
        </w:rPr>
        <w:tab/>
        <w:t>On the 24</w:t>
      </w:r>
      <w:r w:rsidRPr="009D524C">
        <w:rPr>
          <w:szCs w:val="24"/>
          <w:vertAlign w:val="superscript"/>
        </w:rPr>
        <w:t>th</w:t>
      </w:r>
      <w:r w:rsidRPr="009D524C">
        <w:rPr>
          <w:szCs w:val="24"/>
        </w:rPr>
        <w:t xml:space="preserve"> day of January 2019, this matter was set down for trial.  On the day of the trial, the parties agreed that the resolution </w:t>
      </w:r>
      <w:r w:rsidR="00FD1844">
        <w:rPr>
          <w:szCs w:val="24"/>
        </w:rPr>
        <w:t>of the appeal in HCA 66/15</w:t>
      </w:r>
      <w:r w:rsidRPr="009D524C">
        <w:rPr>
          <w:szCs w:val="24"/>
        </w:rPr>
        <w:t xml:space="preserve"> would resolve the dispute </w:t>
      </w:r>
      <w:r w:rsidR="00CE7916" w:rsidRPr="009D524C">
        <w:rPr>
          <w:szCs w:val="24"/>
        </w:rPr>
        <w:t xml:space="preserve">of </w:t>
      </w:r>
      <w:r w:rsidRPr="009D524C">
        <w:rPr>
          <w:szCs w:val="24"/>
        </w:rPr>
        <w:t>the parties.</w:t>
      </w:r>
    </w:p>
    <w:p w:rsidR="00A7381C" w:rsidRPr="009D524C" w:rsidRDefault="00A7381C" w:rsidP="009D524C">
      <w:pPr>
        <w:pStyle w:val="NoSpacing"/>
        <w:ind w:left="1440" w:hanging="720"/>
        <w:jc w:val="both"/>
        <w:rPr>
          <w:szCs w:val="24"/>
        </w:rPr>
      </w:pPr>
      <w:r w:rsidRPr="009D524C">
        <w:rPr>
          <w:szCs w:val="24"/>
        </w:rPr>
        <w:t>11.</w:t>
      </w:r>
      <w:r w:rsidRPr="009D524C">
        <w:rPr>
          <w:szCs w:val="24"/>
        </w:rPr>
        <w:tab/>
        <w:t xml:space="preserve"> As it turned</w:t>
      </w:r>
      <w:r w:rsidR="0042643B" w:rsidRPr="009D524C">
        <w:rPr>
          <w:szCs w:val="24"/>
        </w:rPr>
        <w:t>, both parties discovered that the defendant’s appeal in HCA 66</w:t>
      </w:r>
      <w:r w:rsidR="00FD1844">
        <w:rPr>
          <w:szCs w:val="24"/>
        </w:rPr>
        <w:t>/15</w:t>
      </w:r>
      <w:r w:rsidR="0042643B" w:rsidRPr="009D524C">
        <w:rPr>
          <w:szCs w:val="24"/>
        </w:rPr>
        <w:t xml:space="preserve"> was in fact dismissed</w:t>
      </w:r>
      <w:r w:rsidR="00596225" w:rsidRPr="009D524C">
        <w:rPr>
          <w:szCs w:val="24"/>
        </w:rPr>
        <w:t xml:space="preserve"> on the 1</w:t>
      </w:r>
      <w:r w:rsidR="00596225" w:rsidRPr="009D524C">
        <w:rPr>
          <w:szCs w:val="24"/>
          <w:vertAlign w:val="superscript"/>
        </w:rPr>
        <w:t>st</w:t>
      </w:r>
      <w:r w:rsidR="00596225" w:rsidRPr="009D524C">
        <w:rPr>
          <w:szCs w:val="24"/>
        </w:rPr>
        <w:t xml:space="preserve"> of February 2018 for failure to file heads of argument in time.  The dismissal letter is marked exhibit 3 in the plaintiff’s bundle of documents (page 16).</w:t>
      </w:r>
    </w:p>
    <w:p w:rsidR="00596225" w:rsidRPr="009D524C" w:rsidRDefault="00596225" w:rsidP="009D524C">
      <w:pPr>
        <w:pStyle w:val="NoSpacing"/>
        <w:ind w:left="1440" w:hanging="720"/>
        <w:jc w:val="both"/>
        <w:rPr>
          <w:szCs w:val="24"/>
        </w:rPr>
      </w:pPr>
      <w:r w:rsidRPr="009D524C">
        <w:rPr>
          <w:szCs w:val="24"/>
        </w:rPr>
        <w:t>12.</w:t>
      </w:r>
      <w:r w:rsidRPr="009D524C">
        <w:rPr>
          <w:szCs w:val="24"/>
        </w:rPr>
        <w:tab/>
        <w:t>That following, plaintiff set this matter down for hearing.</w:t>
      </w:r>
    </w:p>
    <w:p w:rsidR="00596225" w:rsidRPr="009D524C" w:rsidRDefault="00596225" w:rsidP="009D524C">
      <w:pPr>
        <w:pStyle w:val="NoSpacing"/>
        <w:ind w:firstLine="720"/>
        <w:jc w:val="both"/>
        <w:rPr>
          <w:szCs w:val="24"/>
        </w:rPr>
      </w:pPr>
      <w:r w:rsidRPr="009D524C">
        <w:rPr>
          <w:szCs w:val="24"/>
        </w:rPr>
        <w:t>13.</w:t>
      </w:r>
      <w:r w:rsidRPr="009D524C">
        <w:rPr>
          <w:szCs w:val="24"/>
        </w:rPr>
        <w:tab/>
      </w:r>
      <w:r w:rsidR="00CE7916" w:rsidRPr="009D524C">
        <w:rPr>
          <w:szCs w:val="24"/>
        </w:rPr>
        <w:t>T</w:t>
      </w:r>
      <w:r w:rsidRPr="009D524C">
        <w:rPr>
          <w:szCs w:val="24"/>
        </w:rPr>
        <w:t>he parties further agree that:</w:t>
      </w:r>
    </w:p>
    <w:p w:rsidR="00596225" w:rsidRPr="009D524C" w:rsidRDefault="00596225" w:rsidP="009D524C">
      <w:pPr>
        <w:pStyle w:val="NoSpacing"/>
        <w:ind w:left="2880" w:hanging="1440"/>
        <w:jc w:val="both"/>
        <w:rPr>
          <w:szCs w:val="24"/>
        </w:rPr>
      </w:pPr>
      <w:r w:rsidRPr="009D524C">
        <w:rPr>
          <w:szCs w:val="24"/>
        </w:rPr>
        <w:lastRenderedPageBreak/>
        <w:t>13.1</w:t>
      </w:r>
      <w:r w:rsidRPr="009D524C">
        <w:rPr>
          <w:szCs w:val="24"/>
        </w:rPr>
        <w:tab/>
      </w:r>
      <w:r w:rsidR="00CE7916" w:rsidRPr="009D524C">
        <w:rPr>
          <w:szCs w:val="24"/>
        </w:rPr>
        <w:t>P</w:t>
      </w:r>
      <w:r w:rsidRPr="009D524C">
        <w:rPr>
          <w:szCs w:val="24"/>
        </w:rPr>
        <w:t>laintiff purchased the property by private treaty and that the property was paid for.  The admitted evidence is found in the plaintiff’s bundle of documents as exhibit 4 (page 12)</w:t>
      </w:r>
      <w:r w:rsidR="00480289" w:rsidRPr="009D524C">
        <w:rPr>
          <w:szCs w:val="24"/>
        </w:rPr>
        <w:t>, (exhibit</w:t>
      </w:r>
      <w:r w:rsidR="00FD1844">
        <w:rPr>
          <w:szCs w:val="24"/>
        </w:rPr>
        <w:t xml:space="preserve"> 5</w:t>
      </w:r>
      <w:r w:rsidR="00480289" w:rsidRPr="009D524C">
        <w:rPr>
          <w:szCs w:val="24"/>
        </w:rPr>
        <w:t xml:space="preserve"> page 13), exhibit 6 (page 14) and exhibit 7 (page 15).</w:t>
      </w:r>
    </w:p>
    <w:p w:rsidR="00480289" w:rsidRPr="009D524C" w:rsidRDefault="00480289" w:rsidP="009D524C">
      <w:pPr>
        <w:pStyle w:val="NoSpacing"/>
        <w:ind w:left="2880" w:hanging="1440"/>
        <w:jc w:val="both"/>
        <w:rPr>
          <w:szCs w:val="24"/>
        </w:rPr>
      </w:pPr>
      <w:r w:rsidRPr="009D524C">
        <w:rPr>
          <w:szCs w:val="24"/>
        </w:rPr>
        <w:t>13.2</w:t>
      </w:r>
      <w:r w:rsidRPr="009D524C">
        <w:rPr>
          <w:szCs w:val="24"/>
        </w:rPr>
        <w:tab/>
        <w:t>There is no pending challenge to the sale of the property to the plaintiff.</w:t>
      </w:r>
    </w:p>
    <w:p w:rsidR="00480289" w:rsidRPr="009D524C" w:rsidRDefault="00480289" w:rsidP="009D524C">
      <w:pPr>
        <w:pStyle w:val="NoSpacing"/>
        <w:ind w:left="2880" w:hanging="1440"/>
        <w:jc w:val="both"/>
        <w:rPr>
          <w:szCs w:val="24"/>
        </w:rPr>
      </w:pPr>
      <w:r w:rsidRPr="009D524C">
        <w:rPr>
          <w:szCs w:val="24"/>
        </w:rPr>
        <w:t>13.3</w:t>
      </w:r>
      <w:r w:rsidRPr="009D524C">
        <w:rPr>
          <w:szCs w:val="24"/>
        </w:rPr>
        <w:tab/>
        <w:t>There is no counter claim by the defendant in this matter.</w:t>
      </w:r>
    </w:p>
    <w:p w:rsidR="00480289" w:rsidRPr="009D524C" w:rsidRDefault="00480289" w:rsidP="009D524C">
      <w:pPr>
        <w:pStyle w:val="NoSpacing"/>
        <w:ind w:left="2880" w:hanging="1440"/>
        <w:jc w:val="both"/>
        <w:rPr>
          <w:szCs w:val="24"/>
        </w:rPr>
      </w:pPr>
      <w:r w:rsidRPr="009D524C">
        <w:rPr>
          <w:szCs w:val="24"/>
        </w:rPr>
        <w:t>13.4</w:t>
      </w:r>
      <w:r w:rsidRPr="009D524C">
        <w:rPr>
          <w:szCs w:val="24"/>
        </w:rPr>
        <w:tab/>
        <w:t>Should the</w:t>
      </w:r>
      <w:r w:rsidR="00CE7916" w:rsidRPr="009D524C">
        <w:rPr>
          <w:szCs w:val="24"/>
        </w:rPr>
        <w:t xml:space="preserve"> </w:t>
      </w:r>
      <w:r w:rsidRPr="009D524C">
        <w:rPr>
          <w:szCs w:val="24"/>
        </w:rPr>
        <w:t>court find in plaintiff’s favour, the quantum of holdover damages claimed by the plaintiff is not contested.</w:t>
      </w:r>
    </w:p>
    <w:p w:rsidR="00480289" w:rsidRPr="009D524C" w:rsidRDefault="00480289" w:rsidP="009D524C">
      <w:pPr>
        <w:pStyle w:val="NoSpacing"/>
        <w:ind w:left="720"/>
        <w:jc w:val="both"/>
        <w:rPr>
          <w:szCs w:val="24"/>
        </w:rPr>
      </w:pPr>
      <w:r w:rsidRPr="009D524C">
        <w:rPr>
          <w:szCs w:val="24"/>
        </w:rPr>
        <w:t>The legal issue for the determination of this matter is whether the defendant has any defence, at law against an order for eviction and subsequent relief.”</w:t>
      </w:r>
    </w:p>
    <w:p w:rsidR="00480289" w:rsidRPr="009D524C" w:rsidRDefault="00480289" w:rsidP="009D524C">
      <w:pPr>
        <w:jc w:val="both"/>
        <w:rPr>
          <w:szCs w:val="24"/>
        </w:rPr>
      </w:pPr>
      <w:r w:rsidRPr="009D524C">
        <w:rPr>
          <w:szCs w:val="24"/>
        </w:rPr>
        <w:tab/>
        <w:t xml:space="preserve">The statement of agreed facts was signed by both parties’ legal practitioners.  Plaintiff’s argument is simply that the defendant’s challenge to a sale in execution does not constitute a defence against a claim for eviction by the plaintiff who is a registered owner of the property.  Plaintiff relied on the Supreme Court decision in </w:t>
      </w:r>
      <w:r w:rsidRPr="009D524C">
        <w:rPr>
          <w:i/>
          <w:szCs w:val="24"/>
        </w:rPr>
        <w:t>Twin Wire Agencies (Pvt) Ltd</w:t>
      </w:r>
      <w:r w:rsidRPr="009D524C">
        <w:rPr>
          <w:szCs w:val="24"/>
        </w:rPr>
        <w:t xml:space="preserve"> v </w:t>
      </w:r>
      <w:r w:rsidRPr="009D524C">
        <w:rPr>
          <w:i/>
          <w:szCs w:val="24"/>
        </w:rPr>
        <w:t>CABS</w:t>
      </w:r>
      <w:r w:rsidRPr="009D524C">
        <w:rPr>
          <w:szCs w:val="24"/>
        </w:rPr>
        <w:t xml:space="preserve"> SC-46-05.</w:t>
      </w:r>
    </w:p>
    <w:p w:rsidR="00480289" w:rsidRPr="009D524C" w:rsidRDefault="00480289" w:rsidP="009D524C">
      <w:pPr>
        <w:jc w:val="both"/>
        <w:rPr>
          <w:szCs w:val="24"/>
        </w:rPr>
      </w:pPr>
      <w:r w:rsidRPr="009D524C">
        <w:rPr>
          <w:szCs w:val="24"/>
        </w:rPr>
        <w:tab/>
        <w:t>The brief facts were that, the</w:t>
      </w:r>
      <w:r w:rsidR="00766056" w:rsidRPr="009D524C">
        <w:rPr>
          <w:szCs w:val="24"/>
        </w:rPr>
        <w:t xml:space="preserve"> appellant’s property had been sold </w:t>
      </w:r>
      <w:r w:rsidR="00201219" w:rsidRPr="009D524C">
        <w:rPr>
          <w:szCs w:val="24"/>
        </w:rPr>
        <w:t>in execution but appellant refused to vacate the premises causing respondent to issue summons for eviction against the appellant.  Appellant entered appearance to defend and respondent applied and obtained an order for eviction by summary judgment.</w:t>
      </w:r>
    </w:p>
    <w:p w:rsidR="009D524C" w:rsidRDefault="00201219" w:rsidP="009D524C">
      <w:pPr>
        <w:jc w:val="both"/>
        <w:rPr>
          <w:szCs w:val="24"/>
        </w:rPr>
      </w:pPr>
      <w:r w:rsidRPr="009D524C">
        <w:rPr>
          <w:szCs w:val="24"/>
        </w:rPr>
        <w:tab/>
        <w:t xml:space="preserve">The Supreme Court held that, </w:t>
      </w:r>
    </w:p>
    <w:p w:rsidR="00201219" w:rsidRPr="009D524C" w:rsidRDefault="00201219" w:rsidP="009D524C">
      <w:pPr>
        <w:pStyle w:val="NoSpacing"/>
        <w:ind w:left="720"/>
      </w:pPr>
      <w:r w:rsidRPr="009D524C">
        <w:t>“A challenge to a sale in execution does not constitute a defence agains</w:t>
      </w:r>
      <w:r w:rsidR="00133EC1" w:rsidRPr="009D524C">
        <w:t>t</w:t>
      </w:r>
      <w:r w:rsidRPr="009D524C">
        <w:t xml:space="preserve"> a claim for eviction by the registered owner of the property.  Once the sale is properly confirmed by t</w:t>
      </w:r>
      <w:r w:rsidR="00133EC1" w:rsidRPr="009D524C">
        <w:t>h</w:t>
      </w:r>
      <w:r w:rsidRPr="009D524C">
        <w:t>e Sheriff and transfer effected by him to the purchaser against payment of the price any application to set aside the transfer falls outside …”</w:t>
      </w:r>
    </w:p>
    <w:p w:rsidR="00201219" w:rsidRPr="009D524C" w:rsidRDefault="00201219" w:rsidP="009D524C">
      <w:pPr>
        <w:jc w:val="both"/>
        <w:rPr>
          <w:szCs w:val="24"/>
        </w:rPr>
      </w:pPr>
      <w:r w:rsidRPr="009D524C">
        <w:rPr>
          <w:szCs w:val="24"/>
        </w:rPr>
        <w:tab/>
        <w:t>The court went further to state that even if the challenge to the sale is pending elsewhere, as long as there has been transfer of the property, that challenge to the sale does not constitute a defence to a claim of eviction.</w:t>
      </w:r>
    </w:p>
    <w:p w:rsidR="00201219" w:rsidRPr="009D524C" w:rsidRDefault="00133EC1" w:rsidP="009D524C">
      <w:pPr>
        <w:jc w:val="both"/>
        <w:rPr>
          <w:szCs w:val="24"/>
        </w:rPr>
      </w:pPr>
      <w:r w:rsidRPr="009D524C">
        <w:rPr>
          <w:szCs w:val="24"/>
        </w:rPr>
        <w:tab/>
        <w:t>In arguing his case</w:t>
      </w:r>
      <w:r w:rsidR="00201219" w:rsidRPr="009D524C">
        <w:rPr>
          <w:szCs w:val="24"/>
        </w:rPr>
        <w:t xml:space="preserve"> further, plaintiff emphasized that the law jealously protects the right of ownership including the correlative right of the owner over his property.  In so doing, reliance </w:t>
      </w:r>
      <w:r w:rsidR="00201219" w:rsidRPr="009D524C">
        <w:rPr>
          <w:szCs w:val="24"/>
        </w:rPr>
        <w:lastRenderedPageBreak/>
        <w:t xml:space="preserve">was placed on </w:t>
      </w:r>
      <w:r w:rsidR="00201219" w:rsidRPr="009D524C">
        <w:rPr>
          <w:i/>
          <w:szCs w:val="24"/>
        </w:rPr>
        <w:t>Oakland Nomine</w:t>
      </w:r>
      <w:r w:rsidRPr="009D524C">
        <w:rPr>
          <w:i/>
          <w:szCs w:val="24"/>
        </w:rPr>
        <w:t>e</w:t>
      </w:r>
      <w:r w:rsidR="00201219" w:rsidRPr="009D524C">
        <w:rPr>
          <w:i/>
          <w:szCs w:val="24"/>
        </w:rPr>
        <w:t>s Ltd</w:t>
      </w:r>
      <w:r w:rsidR="00201219" w:rsidRPr="009D524C">
        <w:rPr>
          <w:szCs w:val="24"/>
        </w:rPr>
        <w:t xml:space="preserve"> vs </w:t>
      </w:r>
      <w:r w:rsidR="00201219" w:rsidRPr="009D524C">
        <w:rPr>
          <w:i/>
          <w:szCs w:val="24"/>
        </w:rPr>
        <w:t xml:space="preserve">Gerlia </w:t>
      </w:r>
      <w:r w:rsidRPr="009D524C">
        <w:rPr>
          <w:i/>
          <w:szCs w:val="24"/>
        </w:rPr>
        <w:t>M</w:t>
      </w:r>
      <w:r w:rsidR="00201219" w:rsidRPr="009D524C">
        <w:rPr>
          <w:i/>
          <w:szCs w:val="24"/>
        </w:rPr>
        <w:t>ining and Investment</w:t>
      </w:r>
      <w:r w:rsidR="00201219" w:rsidRPr="009D524C">
        <w:rPr>
          <w:szCs w:val="24"/>
        </w:rPr>
        <w:t xml:space="preserve"> </w:t>
      </w:r>
      <w:r w:rsidR="00201219" w:rsidRPr="009D524C">
        <w:rPr>
          <w:i/>
          <w:szCs w:val="24"/>
        </w:rPr>
        <w:t>Co. Ltd</w:t>
      </w:r>
      <w:r w:rsidR="00201219" w:rsidRPr="009D524C">
        <w:rPr>
          <w:szCs w:val="24"/>
        </w:rPr>
        <w:t xml:space="preserve"> 1976 SA 441 (A) where the presiding judge had this to say;</w:t>
      </w:r>
    </w:p>
    <w:p w:rsidR="00201219" w:rsidRPr="009D524C" w:rsidRDefault="00484ACB" w:rsidP="009D524C">
      <w:pPr>
        <w:pStyle w:val="NoSpacing"/>
        <w:ind w:left="720"/>
        <w:jc w:val="both"/>
        <w:rPr>
          <w:szCs w:val="24"/>
        </w:rPr>
      </w:pPr>
      <w:r w:rsidRPr="009D524C">
        <w:rPr>
          <w:szCs w:val="24"/>
        </w:rPr>
        <w:t>“The legal principle em</w:t>
      </w:r>
      <w:r w:rsidR="003E7536" w:rsidRPr="009D524C">
        <w:rPr>
          <w:szCs w:val="24"/>
        </w:rPr>
        <w:t>un</w:t>
      </w:r>
      <w:r w:rsidR="00FD1844">
        <w:rPr>
          <w:szCs w:val="24"/>
        </w:rPr>
        <w:t>ciated above is solidly noble</w:t>
      </w:r>
      <w:r w:rsidRPr="009D524C">
        <w:rPr>
          <w:szCs w:val="24"/>
        </w:rPr>
        <w:t xml:space="preserve"> because since time immemorial, at every stage of human evolution, societies have suffered the inevitable unfortunate phenomenon of having in their midst, an array of thieves, fraudsters, robbers, cutthroats, the throwbacks in evolution etc with applying no qualms whatsoever in force or chicanery to disposes fellow humans of ownership of their property.  If the law did not jealously guard and protect the right of ownership and </w:t>
      </w:r>
      <w:r w:rsidR="00FD1844">
        <w:rPr>
          <w:szCs w:val="24"/>
        </w:rPr>
        <w:t>the correlative right of the owner</w:t>
      </w:r>
      <w:r w:rsidRPr="009D524C">
        <w:rPr>
          <w:szCs w:val="24"/>
        </w:rPr>
        <w:t>, it could be meaningless and the jungle law could prevail to the detriment of legality and good order.”</w:t>
      </w:r>
    </w:p>
    <w:p w:rsidR="00484ACB" w:rsidRPr="009D524C" w:rsidRDefault="00484ACB" w:rsidP="009D524C">
      <w:pPr>
        <w:jc w:val="both"/>
        <w:rPr>
          <w:szCs w:val="24"/>
        </w:rPr>
      </w:pPr>
      <w:r w:rsidRPr="009D524C">
        <w:rPr>
          <w:szCs w:val="24"/>
        </w:rPr>
        <w:tab/>
        <w:t xml:space="preserve">Finally, by way of authority, plaintiff cited a passage in Willie’s </w:t>
      </w:r>
      <w:r w:rsidRPr="009D524C">
        <w:rPr>
          <w:i/>
          <w:szCs w:val="24"/>
        </w:rPr>
        <w:t xml:space="preserve">Principles of South African Law </w:t>
      </w:r>
      <w:r w:rsidRPr="009D524C">
        <w:rPr>
          <w:szCs w:val="24"/>
        </w:rPr>
        <w:t>8</w:t>
      </w:r>
      <w:r w:rsidRPr="009D524C">
        <w:rPr>
          <w:szCs w:val="24"/>
          <w:vertAlign w:val="superscript"/>
        </w:rPr>
        <w:t>th</w:t>
      </w:r>
      <w:r w:rsidRPr="009D524C">
        <w:rPr>
          <w:szCs w:val="24"/>
        </w:rPr>
        <w:t xml:space="preserve"> ed page 255 where the author states:</w:t>
      </w:r>
    </w:p>
    <w:p w:rsidR="00164527" w:rsidRPr="009D524C" w:rsidRDefault="00484ACB" w:rsidP="009D524C">
      <w:pPr>
        <w:ind w:firstLine="720"/>
        <w:jc w:val="both"/>
        <w:rPr>
          <w:szCs w:val="24"/>
        </w:rPr>
      </w:pPr>
      <w:r w:rsidRPr="009D524C">
        <w:rPr>
          <w:szCs w:val="24"/>
        </w:rPr>
        <w:t xml:space="preserve">“The real right of ownership </w:t>
      </w:r>
      <w:r w:rsidRPr="00B121EB">
        <w:rPr>
          <w:szCs w:val="24"/>
        </w:rPr>
        <w:t>or</w:t>
      </w:r>
      <w:r w:rsidR="00B121EB">
        <w:rPr>
          <w:i/>
          <w:szCs w:val="24"/>
        </w:rPr>
        <w:t xml:space="preserve"> </w:t>
      </w:r>
      <w:r w:rsidRPr="009D524C">
        <w:rPr>
          <w:i/>
          <w:szCs w:val="24"/>
        </w:rPr>
        <w:t>ius in re propia</w:t>
      </w:r>
      <w:r w:rsidRPr="009D524C">
        <w:rPr>
          <w:szCs w:val="24"/>
        </w:rPr>
        <w:t xml:space="preserve"> is the sum total of all possible rights in a thing.”  It is trite that these rights include</w:t>
      </w:r>
      <w:r w:rsidR="00164527" w:rsidRPr="009D524C">
        <w:rPr>
          <w:szCs w:val="24"/>
        </w:rPr>
        <w:t xml:space="preserve"> right to possess, mortgage and alienate.  It is indeed a principle of our system of land registration that a registered owner remains owner until he formally loses his ownership by operation </w:t>
      </w:r>
      <w:r w:rsidR="00FD1844">
        <w:rPr>
          <w:szCs w:val="24"/>
        </w:rPr>
        <w:t xml:space="preserve">of </w:t>
      </w:r>
      <w:r w:rsidR="00164527" w:rsidRPr="009D524C">
        <w:rPr>
          <w:szCs w:val="24"/>
        </w:rPr>
        <w:t>law.  Ownership embraces the power to alter, destroy or alienate the thing concerned to enjoy the fruits thereof</w:t>
      </w:r>
      <w:r w:rsidR="00FD1844">
        <w:rPr>
          <w:szCs w:val="24"/>
        </w:rPr>
        <w:t>,</w:t>
      </w:r>
      <w:r w:rsidR="00164527" w:rsidRPr="009D524C">
        <w:rPr>
          <w:szCs w:val="24"/>
        </w:rPr>
        <w:t xml:space="preserve"> to prevent others from using it and to transfer rights to the thing.</w:t>
      </w:r>
    </w:p>
    <w:p w:rsidR="00164527" w:rsidRPr="009D524C" w:rsidRDefault="00164527" w:rsidP="009D524C">
      <w:pPr>
        <w:jc w:val="both"/>
        <w:rPr>
          <w:szCs w:val="24"/>
        </w:rPr>
      </w:pPr>
      <w:r w:rsidRPr="009D524C">
        <w:rPr>
          <w:szCs w:val="24"/>
        </w:rPr>
        <w:tab/>
        <w:t>The object of a real right is a thing.  The thing itself is bound to the holder of the right.  A real right consequently estab</w:t>
      </w:r>
      <w:r w:rsidR="00FD1844">
        <w:rPr>
          <w:szCs w:val="24"/>
        </w:rPr>
        <w:t>lishes a direct legal connection</w:t>
      </w:r>
      <w:r w:rsidRPr="009D524C">
        <w:rPr>
          <w:szCs w:val="24"/>
        </w:rPr>
        <w:t xml:space="preserve"> between a person and a thing, the holder of a real right being entitled to control that thing within the limits of his right – </w:t>
      </w:r>
      <w:r w:rsidRPr="006327F0">
        <w:rPr>
          <w:szCs w:val="24"/>
        </w:rPr>
        <w:t>Silbe</w:t>
      </w:r>
      <w:r w:rsidR="006327F0" w:rsidRPr="006327F0">
        <w:rPr>
          <w:szCs w:val="24"/>
        </w:rPr>
        <w:t>r</w:t>
      </w:r>
      <w:r w:rsidR="00FD1844" w:rsidRPr="006327F0">
        <w:rPr>
          <w:szCs w:val="24"/>
        </w:rPr>
        <w:t>be</w:t>
      </w:r>
      <w:r w:rsidRPr="006327F0">
        <w:rPr>
          <w:szCs w:val="24"/>
        </w:rPr>
        <w:t xml:space="preserve">rg </w:t>
      </w:r>
      <w:r w:rsidRPr="009D524C">
        <w:rPr>
          <w:szCs w:val="24"/>
        </w:rPr>
        <w:t xml:space="preserve">Schoeman – </w:t>
      </w:r>
      <w:r w:rsidRPr="009D524C">
        <w:rPr>
          <w:i/>
          <w:szCs w:val="24"/>
        </w:rPr>
        <w:t>The Law of Property in South Africa</w:t>
      </w:r>
      <w:r w:rsidR="00B121EB">
        <w:rPr>
          <w:i/>
          <w:szCs w:val="24"/>
        </w:rPr>
        <w:t xml:space="preserve"> </w:t>
      </w:r>
      <w:r w:rsidR="00B121EB">
        <w:rPr>
          <w:szCs w:val="24"/>
        </w:rPr>
        <w:t>Second Edition 1983</w:t>
      </w:r>
      <w:r w:rsidRPr="009D524C">
        <w:rPr>
          <w:szCs w:val="24"/>
        </w:rPr>
        <w:t>.</w:t>
      </w:r>
    </w:p>
    <w:p w:rsidR="00455084" w:rsidRPr="009D524C" w:rsidRDefault="00164527" w:rsidP="009D524C">
      <w:pPr>
        <w:jc w:val="both"/>
        <w:rPr>
          <w:szCs w:val="24"/>
        </w:rPr>
      </w:pPr>
      <w:r w:rsidRPr="009D524C">
        <w:rPr>
          <w:szCs w:val="24"/>
        </w:rPr>
        <w:tab/>
      </w:r>
      <w:r w:rsidRPr="009D524C">
        <w:rPr>
          <w:i/>
          <w:szCs w:val="24"/>
        </w:rPr>
        <w:t>In casu</w:t>
      </w:r>
      <w:r w:rsidRPr="009D524C">
        <w:rPr>
          <w:szCs w:val="24"/>
        </w:rPr>
        <w:t xml:space="preserve">, it is common cause that plaintiff is the registered owner of the property in dispute.  Defendant accepts that plaintiff acquired the rights to the property, not fraudulently, not by way of forgery, duress, undue influence, mistake or any form of </w:t>
      </w:r>
      <w:r w:rsidR="0062526C">
        <w:rPr>
          <w:i/>
          <w:szCs w:val="24"/>
        </w:rPr>
        <w:t>animu</w:t>
      </w:r>
      <w:r w:rsidR="00A152E1">
        <w:rPr>
          <w:i/>
          <w:szCs w:val="24"/>
        </w:rPr>
        <w:t>s</w:t>
      </w:r>
      <w:r w:rsidRPr="009D524C">
        <w:rPr>
          <w:i/>
          <w:szCs w:val="24"/>
        </w:rPr>
        <w:t xml:space="preserve"> f</w:t>
      </w:r>
      <w:r w:rsidRPr="00170C2C">
        <w:rPr>
          <w:i/>
          <w:szCs w:val="24"/>
        </w:rPr>
        <w:t>urandi</w:t>
      </w:r>
      <w:r w:rsidRPr="00170C2C">
        <w:rPr>
          <w:sz w:val="44"/>
          <w:szCs w:val="44"/>
        </w:rPr>
        <w:t xml:space="preserve"> </w:t>
      </w:r>
      <w:r w:rsidRPr="009D524C">
        <w:rPr>
          <w:szCs w:val="24"/>
        </w:rPr>
        <w:t>but by irregular sale of the property</w:t>
      </w:r>
      <w:r w:rsidR="00455084" w:rsidRPr="009D524C">
        <w:rPr>
          <w:szCs w:val="24"/>
        </w:rPr>
        <w:t xml:space="preserve"> by the Messenger of Court.  That being so</w:t>
      </w:r>
      <w:r w:rsidR="00FD1844">
        <w:rPr>
          <w:szCs w:val="24"/>
        </w:rPr>
        <w:t>,</w:t>
      </w:r>
      <w:r w:rsidR="00455084" w:rsidRPr="009D524C">
        <w:rPr>
          <w:szCs w:val="24"/>
        </w:rPr>
        <w:t xml:space="preserve"> plaintiff’s acquisition of the right to the property is not void </w:t>
      </w:r>
      <w:r w:rsidR="00455084" w:rsidRPr="009D524C">
        <w:rPr>
          <w:i/>
          <w:szCs w:val="24"/>
        </w:rPr>
        <w:t>ab initio</w:t>
      </w:r>
      <w:r w:rsidR="00455084" w:rsidRPr="009D524C">
        <w:rPr>
          <w:szCs w:val="24"/>
        </w:rPr>
        <w:t xml:space="preserve"> but voidable at most.</w:t>
      </w:r>
    </w:p>
    <w:p w:rsidR="005245B5" w:rsidRPr="009D524C" w:rsidRDefault="005245B5" w:rsidP="009D524C">
      <w:pPr>
        <w:jc w:val="both"/>
        <w:rPr>
          <w:szCs w:val="24"/>
        </w:rPr>
      </w:pPr>
      <w:r w:rsidRPr="009D524C">
        <w:rPr>
          <w:szCs w:val="24"/>
        </w:rPr>
        <w:lastRenderedPageBreak/>
        <w:tab/>
        <w:t xml:space="preserve">On the other hand defendant argued that </w:t>
      </w:r>
      <w:r w:rsidR="003E7536" w:rsidRPr="009D524C">
        <w:rPr>
          <w:szCs w:val="24"/>
        </w:rPr>
        <w:t>h</w:t>
      </w:r>
      <w:r w:rsidRPr="009D524C">
        <w:rPr>
          <w:szCs w:val="24"/>
        </w:rPr>
        <w:t>is defence is premised on the allegation that the purchase and subsequent acquisition of rights by the plaintiff is irregular in that the sale was never confirmed with the result that the resultant transfer was equally irregular.  Therefore, so that argument went</w:t>
      </w:r>
      <w:r w:rsidR="00170C2C">
        <w:rPr>
          <w:szCs w:val="24"/>
        </w:rPr>
        <w:t>, p</w:t>
      </w:r>
      <w:r w:rsidRPr="009D524C">
        <w:rPr>
          <w:szCs w:val="24"/>
        </w:rPr>
        <w:t>laintiff is not entitled to evict th</w:t>
      </w:r>
      <w:r w:rsidR="00170C2C">
        <w:rPr>
          <w:szCs w:val="24"/>
        </w:rPr>
        <w:t>e</w:t>
      </w:r>
      <w:r w:rsidRPr="009D524C">
        <w:rPr>
          <w:szCs w:val="24"/>
        </w:rPr>
        <w:t xml:space="preserve"> defendant.  In order to emphasise his case defendant relied on </w:t>
      </w:r>
      <w:r w:rsidRPr="009D524C">
        <w:rPr>
          <w:i/>
          <w:szCs w:val="24"/>
        </w:rPr>
        <w:t>McFoy</w:t>
      </w:r>
      <w:r w:rsidRPr="009D524C">
        <w:rPr>
          <w:szCs w:val="24"/>
        </w:rPr>
        <w:t xml:space="preserve"> v </w:t>
      </w:r>
      <w:r w:rsidR="003E7536" w:rsidRPr="009D524C">
        <w:rPr>
          <w:i/>
          <w:szCs w:val="24"/>
        </w:rPr>
        <w:t>U</w:t>
      </w:r>
      <w:r w:rsidRPr="009D524C">
        <w:rPr>
          <w:i/>
          <w:szCs w:val="24"/>
        </w:rPr>
        <w:t>nited Africa</w:t>
      </w:r>
      <w:r w:rsidRPr="009D524C">
        <w:rPr>
          <w:szCs w:val="24"/>
        </w:rPr>
        <w:t xml:space="preserve"> </w:t>
      </w:r>
      <w:r w:rsidRPr="009D524C">
        <w:rPr>
          <w:i/>
          <w:szCs w:val="24"/>
        </w:rPr>
        <w:t>Co.  Ltd</w:t>
      </w:r>
      <w:r w:rsidRPr="009D524C">
        <w:rPr>
          <w:szCs w:val="24"/>
        </w:rPr>
        <w:t xml:space="preserve"> [1961] 3 ALLER 1169 at 1172 where it was stated per L</w:t>
      </w:r>
      <w:r w:rsidRPr="009D524C">
        <w:rPr>
          <w:sz w:val="20"/>
          <w:szCs w:val="20"/>
        </w:rPr>
        <w:t>ORD</w:t>
      </w:r>
      <w:r w:rsidRPr="009D524C">
        <w:rPr>
          <w:szCs w:val="24"/>
        </w:rPr>
        <w:t xml:space="preserve"> D</w:t>
      </w:r>
      <w:r w:rsidRPr="009D524C">
        <w:rPr>
          <w:sz w:val="20"/>
          <w:szCs w:val="20"/>
        </w:rPr>
        <w:t>ENNNING</w:t>
      </w:r>
      <w:r w:rsidRPr="009D524C">
        <w:rPr>
          <w:szCs w:val="24"/>
        </w:rPr>
        <w:t xml:space="preserve"> th</w:t>
      </w:r>
      <w:r w:rsidR="003E7536" w:rsidRPr="009D524C">
        <w:rPr>
          <w:szCs w:val="24"/>
        </w:rPr>
        <w:t>a</w:t>
      </w:r>
      <w:r w:rsidRPr="009D524C">
        <w:rPr>
          <w:szCs w:val="24"/>
        </w:rPr>
        <w:t>t:</w:t>
      </w:r>
    </w:p>
    <w:p w:rsidR="002036E2" w:rsidRPr="009D524C" w:rsidRDefault="005245B5" w:rsidP="009D524C">
      <w:pPr>
        <w:pStyle w:val="NoSpacing"/>
        <w:ind w:left="720"/>
        <w:jc w:val="both"/>
        <w:rPr>
          <w:szCs w:val="24"/>
        </w:rPr>
      </w:pPr>
      <w:r w:rsidRPr="009D524C">
        <w:rPr>
          <w:szCs w:val="24"/>
        </w:rPr>
        <w:t>“If an act is void, then in law it is a nullity.  It is not only</w:t>
      </w:r>
      <w:r w:rsidR="002036E2" w:rsidRPr="009D524C">
        <w:rPr>
          <w:szCs w:val="24"/>
        </w:rPr>
        <w:t xml:space="preserve"> bad, but invariably bad.  There is no need for an order of the court to set it aside.  It is automatically null and void without more ado, though it is sometimes convenient to have the </w:t>
      </w:r>
      <w:r w:rsidR="003E7536" w:rsidRPr="009D524C">
        <w:rPr>
          <w:szCs w:val="24"/>
        </w:rPr>
        <w:t>c</w:t>
      </w:r>
      <w:r w:rsidR="002036E2" w:rsidRPr="009D524C">
        <w:rPr>
          <w:szCs w:val="24"/>
        </w:rPr>
        <w:t xml:space="preserve">ourt declare it to be so.  And every proceeding which is founded on it is not bad </w:t>
      </w:r>
      <w:r w:rsidR="00B121EB">
        <w:rPr>
          <w:szCs w:val="24"/>
        </w:rPr>
        <w:t>but</w:t>
      </w:r>
      <w:r w:rsidR="002036E2" w:rsidRPr="009D524C">
        <w:rPr>
          <w:szCs w:val="24"/>
        </w:rPr>
        <w:t xml:space="preserve"> incurably bad.  You cannot put something </w:t>
      </w:r>
      <w:r w:rsidR="00170C2C">
        <w:rPr>
          <w:szCs w:val="24"/>
        </w:rPr>
        <w:t>o</w:t>
      </w:r>
      <w:r w:rsidR="002036E2" w:rsidRPr="009D524C">
        <w:rPr>
          <w:szCs w:val="24"/>
        </w:rPr>
        <w:t>n nothing and expect it to stay there.  It will collapse.”</w:t>
      </w:r>
    </w:p>
    <w:p w:rsidR="00484ACB" w:rsidRPr="009D524C" w:rsidRDefault="00484ACB" w:rsidP="009D524C">
      <w:pPr>
        <w:pStyle w:val="NoSpacing"/>
        <w:jc w:val="both"/>
        <w:rPr>
          <w:szCs w:val="24"/>
        </w:rPr>
      </w:pPr>
      <w:r w:rsidRPr="009D524C">
        <w:rPr>
          <w:szCs w:val="24"/>
        </w:rPr>
        <w:tab/>
      </w:r>
    </w:p>
    <w:p w:rsidR="00D94B8F" w:rsidRPr="009D524C" w:rsidRDefault="00D86FB9" w:rsidP="009D524C">
      <w:pPr>
        <w:jc w:val="both"/>
        <w:rPr>
          <w:szCs w:val="24"/>
        </w:rPr>
      </w:pPr>
      <w:r w:rsidRPr="009D524C">
        <w:rPr>
          <w:szCs w:val="24"/>
        </w:rPr>
        <w:tab/>
        <w:t xml:space="preserve">Defendant also relied on the authority of </w:t>
      </w:r>
      <w:r w:rsidRPr="009D524C">
        <w:rPr>
          <w:i/>
          <w:szCs w:val="24"/>
        </w:rPr>
        <w:t>Mapedzamombe</w:t>
      </w:r>
      <w:r w:rsidRPr="009D524C">
        <w:rPr>
          <w:szCs w:val="24"/>
        </w:rPr>
        <w:t xml:space="preserve"> vs </w:t>
      </w:r>
      <w:r w:rsidRPr="009D524C">
        <w:rPr>
          <w:i/>
          <w:szCs w:val="24"/>
        </w:rPr>
        <w:t>Commercial Bank of Zimbabwe &amp; Anor</w:t>
      </w:r>
      <w:r w:rsidRPr="009D524C">
        <w:rPr>
          <w:szCs w:val="24"/>
        </w:rPr>
        <w:t xml:space="preserve"> 1996 AD ZLR 257 at 259-60 where it was stated that:</w:t>
      </w:r>
    </w:p>
    <w:p w:rsidR="00D86FB9" w:rsidRPr="009D524C" w:rsidRDefault="003E7536" w:rsidP="009D524C">
      <w:pPr>
        <w:pStyle w:val="NoSpacing"/>
        <w:ind w:left="720"/>
        <w:jc w:val="both"/>
        <w:rPr>
          <w:szCs w:val="24"/>
        </w:rPr>
      </w:pPr>
      <w:r w:rsidRPr="009D524C">
        <w:rPr>
          <w:szCs w:val="24"/>
        </w:rPr>
        <w:t>“</w:t>
      </w:r>
      <w:r w:rsidR="00D86FB9" w:rsidRPr="009D524C">
        <w:rPr>
          <w:szCs w:val="24"/>
        </w:rPr>
        <w:t xml:space="preserve">When the sale of the property not only been properly confirmed by the Sheriff but transferred by him to the purchaser against payment of the purchase price, any application to set aside </w:t>
      </w:r>
      <w:r w:rsidR="00170C2C">
        <w:rPr>
          <w:szCs w:val="24"/>
        </w:rPr>
        <w:t>the transfer falls outside rule 3</w:t>
      </w:r>
      <w:r w:rsidR="00D86FB9" w:rsidRPr="009D524C">
        <w:rPr>
          <w:szCs w:val="24"/>
        </w:rPr>
        <w:t>59 …”</w:t>
      </w:r>
    </w:p>
    <w:p w:rsidR="00D86FB9" w:rsidRPr="009D524C" w:rsidRDefault="00D86FB9" w:rsidP="009D524C">
      <w:pPr>
        <w:ind w:firstLine="720"/>
        <w:jc w:val="both"/>
        <w:rPr>
          <w:szCs w:val="24"/>
        </w:rPr>
      </w:pPr>
      <w:r w:rsidRPr="009D524C">
        <w:rPr>
          <w:szCs w:val="24"/>
        </w:rPr>
        <w:t xml:space="preserve">What is clear from defendant’s submissions is that </w:t>
      </w:r>
      <w:r w:rsidR="00B121EB">
        <w:rPr>
          <w:szCs w:val="24"/>
        </w:rPr>
        <w:t>he</w:t>
      </w:r>
      <w:r w:rsidRPr="009D524C">
        <w:rPr>
          <w:szCs w:val="24"/>
        </w:rPr>
        <w:t xml:space="preserve"> wants th</w:t>
      </w:r>
      <w:r w:rsidR="00170C2C">
        <w:rPr>
          <w:szCs w:val="24"/>
        </w:rPr>
        <w:t>is</w:t>
      </w:r>
      <w:r w:rsidRPr="009D524C">
        <w:rPr>
          <w:szCs w:val="24"/>
        </w:rPr>
        <w:t xml:space="preserve"> court to enquire on whether the sale was confirmed and if it was, properly confirmed.  The </w:t>
      </w:r>
      <w:r w:rsidRPr="009D524C">
        <w:rPr>
          <w:i/>
          <w:szCs w:val="24"/>
        </w:rPr>
        <w:t>Mapedzamombe</w:t>
      </w:r>
      <w:r w:rsidRPr="009D524C">
        <w:rPr>
          <w:szCs w:val="24"/>
        </w:rPr>
        <w:t xml:space="preserve"> case </w:t>
      </w:r>
      <w:r w:rsidRPr="009D524C">
        <w:rPr>
          <w:i/>
          <w:szCs w:val="24"/>
        </w:rPr>
        <w:t>supra</w:t>
      </w:r>
      <w:r w:rsidRPr="009D524C">
        <w:rPr>
          <w:szCs w:val="24"/>
        </w:rPr>
        <w:t xml:space="preserve"> was an appeal against the dismissal with costs of an application brought before the High Court to set aside the sale in execution of an immovable property.  Transfer of the property was registered in the name of the purchaser.  The sale to the purchaser was therefore </w:t>
      </w:r>
      <w:r w:rsidRPr="009D524C">
        <w:rPr>
          <w:i/>
          <w:szCs w:val="24"/>
        </w:rPr>
        <w:t>perfecta</w:t>
      </w:r>
      <w:r w:rsidRPr="009D524C">
        <w:rPr>
          <w:szCs w:val="24"/>
        </w:rPr>
        <w:t>.  The applicant wanted the sale set aside on the grounds that the</w:t>
      </w:r>
      <w:r w:rsidR="00170C2C">
        <w:rPr>
          <w:szCs w:val="24"/>
        </w:rPr>
        <w:t xml:space="preserve"> purchase price was unreasonably</w:t>
      </w:r>
      <w:r w:rsidRPr="009D524C">
        <w:rPr>
          <w:szCs w:val="24"/>
        </w:rPr>
        <w:t xml:space="preserve"> low and therefore unfair.  He also contended that he had a prospect of being able to settle the judgment debt</w:t>
      </w:r>
      <w:r w:rsidR="00F31E29" w:rsidRPr="009D524C">
        <w:rPr>
          <w:szCs w:val="24"/>
        </w:rPr>
        <w:t xml:space="preserve"> by the grant of a loan without there being the need of having reco</w:t>
      </w:r>
      <w:r w:rsidR="003E7536" w:rsidRPr="009D524C">
        <w:rPr>
          <w:szCs w:val="24"/>
        </w:rPr>
        <w:t>u</w:t>
      </w:r>
      <w:r w:rsidR="00170C2C">
        <w:rPr>
          <w:szCs w:val="24"/>
        </w:rPr>
        <w:t>rse to the dire expedient</w:t>
      </w:r>
      <w:r w:rsidR="00F31E29" w:rsidRPr="009D524C">
        <w:rPr>
          <w:szCs w:val="24"/>
        </w:rPr>
        <w:t xml:space="preserve"> of taking the roof over his head.</w:t>
      </w:r>
    </w:p>
    <w:p w:rsidR="00F31E29" w:rsidRPr="009D524C" w:rsidRDefault="00F31E29" w:rsidP="009D524C">
      <w:pPr>
        <w:ind w:firstLine="720"/>
        <w:jc w:val="both"/>
        <w:rPr>
          <w:szCs w:val="24"/>
        </w:rPr>
      </w:pPr>
      <w:r w:rsidRPr="009D524C">
        <w:rPr>
          <w:szCs w:val="24"/>
        </w:rPr>
        <w:t>G</w:t>
      </w:r>
      <w:r w:rsidRPr="009D524C">
        <w:rPr>
          <w:sz w:val="20"/>
          <w:szCs w:val="20"/>
        </w:rPr>
        <w:t>UBBAY</w:t>
      </w:r>
      <w:r w:rsidRPr="009D524C">
        <w:rPr>
          <w:szCs w:val="24"/>
        </w:rPr>
        <w:t xml:space="preserve"> CJ (as he then was) in dismissing the appeal held that:</w:t>
      </w:r>
    </w:p>
    <w:p w:rsidR="00F31E29" w:rsidRPr="00170C2C" w:rsidRDefault="00F31E29" w:rsidP="009D524C">
      <w:pPr>
        <w:pStyle w:val="NoSpacing"/>
        <w:ind w:left="720"/>
        <w:jc w:val="both"/>
        <w:rPr>
          <w:szCs w:val="24"/>
          <w:u w:val="single"/>
        </w:rPr>
      </w:pPr>
      <w:r w:rsidRPr="009D524C">
        <w:rPr>
          <w:szCs w:val="24"/>
        </w:rPr>
        <w:lastRenderedPageBreak/>
        <w:t xml:space="preserve">“A sale in execution effected in terms of the High Court Rules is, until it has been confirmed by the Sheriff in terms of r360 of the High Court Rules, a conditional sale only and any interested party may apply to the court for it to be set aside.  At that stage even though the court has a discretion to set aside the sale in certain circumstances, it will not readily do so.  </w:t>
      </w:r>
      <w:r w:rsidRPr="009D524C">
        <w:rPr>
          <w:szCs w:val="24"/>
          <w:u w:val="single"/>
        </w:rPr>
        <w:t>Once the sale is confirmed, however, it is no longer conditional</w:t>
      </w:r>
      <w:r w:rsidRPr="009D524C">
        <w:rPr>
          <w:szCs w:val="24"/>
        </w:rPr>
        <w:t xml:space="preserve"> and a court would be even more reluctant to set it aside pursuant to an application under r359.  Where the sale </w:t>
      </w:r>
      <w:r w:rsidRPr="00170C2C">
        <w:rPr>
          <w:szCs w:val="24"/>
          <w:u w:val="single"/>
        </w:rPr>
        <w:t>not only has been properly confirmed but transfer effected by the Sheriff to the purchaser against payment of the price</w:t>
      </w:r>
      <w:r w:rsidR="00A452F0" w:rsidRPr="00170C2C">
        <w:rPr>
          <w:szCs w:val="24"/>
          <w:u w:val="single"/>
        </w:rPr>
        <w:t xml:space="preserve"> </w:t>
      </w:r>
      <w:r w:rsidRPr="00170C2C">
        <w:rPr>
          <w:szCs w:val="24"/>
          <w:u w:val="single"/>
        </w:rPr>
        <w:t>any application to set aside the transfer falls outside r359 and must conform strictly with the principles of the common law.</w:t>
      </w:r>
    </w:p>
    <w:p w:rsidR="00F31E29" w:rsidRPr="009D524C" w:rsidRDefault="00F31E29" w:rsidP="009D524C">
      <w:pPr>
        <w:pStyle w:val="NoSpacing"/>
        <w:jc w:val="both"/>
        <w:rPr>
          <w:szCs w:val="24"/>
        </w:rPr>
      </w:pPr>
    </w:p>
    <w:p w:rsidR="00F31E29" w:rsidRPr="009D524C" w:rsidRDefault="00170C2C" w:rsidP="009D524C">
      <w:pPr>
        <w:pStyle w:val="NoSpacing"/>
        <w:ind w:left="720"/>
        <w:jc w:val="both"/>
        <w:rPr>
          <w:szCs w:val="24"/>
        </w:rPr>
      </w:pPr>
      <w:r>
        <w:rPr>
          <w:szCs w:val="24"/>
        </w:rPr>
        <w:t xml:space="preserve">Features such as an </w:t>
      </w:r>
      <w:r w:rsidRPr="00170C2C">
        <w:rPr>
          <w:szCs w:val="24"/>
          <w:u w:val="single"/>
        </w:rPr>
        <w:t>unreasonably</w:t>
      </w:r>
      <w:r w:rsidR="00F31E29" w:rsidRPr="00170C2C">
        <w:rPr>
          <w:szCs w:val="24"/>
          <w:u w:val="single"/>
        </w:rPr>
        <w:t xml:space="preserve"> low</w:t>
      </w:r>
      <w:r w:rsidR="00F31E29" w:rsidRPr="009D524C">
        <w:rPr>
          <w:szCs w:val="24"/>
        </w:rPr>
        <w:t xml:space="preserve"> price being obtained</w:t>
      </w:r>
      <w:r w:rsidR="00A8615F" w:rsidRPr="009D524C">
        <w:rPr>
          <w:szCs w:val="24"/>
        </w:rPr>
        <w:t xml:space="preserve"> at the auction and the prospects of the </w:t>
      </w:r>
      <w:r w:rsidR="00A452F0" w:rsidRPr="00170C2C">
        <w:rPr>
          <w:szCs w:val="24"/>
          <w:u w:val="single"/>
        </w:rPr>
        <w:t>d</w:t>
      </w:r>
      <w:r w:rsidR="00A8615F" w:rsidRPr="00170C2C">
        <w:rPr>
          <w:szCs w:val="24"/>
          <w:u w:val="single"/>
        </w:rPr>
        <w:t>ebtor being able to settle his debt</w:t>
      </w:r>
      <w:r w:rsidR="00A8615F" w:rsidRPr="009D524C">
        <w:rPr>
          <w:szCs w:val="24"/>
        </w:rPr>
        <w:t xml:space="preserve"> without having his property sold are </w:t>
      </w:r>
      <w:r w:rsidR="00A8615F" w:rsidRPr="009D524C">
        <w:rPr>
          <w:szCs w:val="24"/>
          <w:u w:val="single"/>
        </w:rPr>
        <w:t>n</w:t>
      </w:r>
      <w:r w:rsidR="00A452F0" w:rsidRPr="009D524C">
        <w:rPr>
          <w:szCs w:val="24"/>
          <w:u w:val="single"/>
        </w:rPr>
        <w:t>o</w:t>
      </w:r>
      <w:r w:rsidR="00A8615F" w:rsidRPr="009D524C">
        <w:rPr>
          <w:szCs w:val="24"/>
          <w:u w:val="single"/>
        </w:rPr>
        <w:t xml:space="preserve"> longer relevant because under common law immovable property sold by judicial decree cannot after transfer has been passed be impeached on the absence of an allegation of bad faith or knowledge of prior irregularities in the sale, or fraud.”</w:t>
      </w:r>
      <w:r w:rsidR="00A8615F" w:rsidRPr="009D524C">
        <w:rPr>
          <w:szCs w:val="24"/>
        </w:rPr>
        <w:t xml:space="preserve"> (my emphasis)</w:t>
      </w:r>
    </w:p>
    <w:p w:rsidR="00A8615F" w:rsidRPr="009D524C" w:rsidRDefault="00A8615F" w:rsidP="009D524C">
      <w:pPr>
        <w:jc w:val="both"/>
        <w:rPr>
          <w:szCs w:val="24"/>
        </w:rPr>
      </w:pPr>
      <w:r w:rsidRPr="009D524C">
        <w:rPr>
          <w:szCs w:val="24"/>
        </w:rPr>
        <w:tab/>
        <w:t xml:space="preserve">I do not see how this case advances defendant’s argument since I am not </w:t>
      </w:r>
      <w:r w:rsidRPr="009D524C">
        <w:rPr>
          <w:i/>
          <w:szCs w:val="24"/>
        </w:rPr>
        <w:t>in casu</w:t>
      </w:r>
      <w:r w:rsidRPr="009D524C">
        <w:rPr>
          <w:szCs w:val="24"/>
        </w:rPr>
        <w:t xml:space="preserve">, determining the validity of the sale and the subsequent transfer of the property to the plaintiff.  Defendant feels that the manner in which plaintiff acquired title is at the </w:t>
      </w:r>
      <w:r w:rsidR="00170C2C">
        <w:rPr>
          <w:szCs w:val="24"/>
        </w:rPr>
        <w:t>h</w:t>
      </w:r>
      <w:r w:rsidRPr="009D524C">
        <w:rPr>
          <w:szCs w:val="24"/>
        </w:rPr>
        <w:t>ea</w:t>
      </w:r>
      <w:r w:rsidR="00170C2C">
        <w:rPr>
          <w:szCs w:val="24"/>
        </w:rPr>
        <w:t>r</w:t>
      </w:r>
      <w:r w:rsidRPr="009D524C">
        <w:rPr>
          <w:szCs w:val="24"/>
        </w:rPr>
        <w:t xml:space="preserve">t of the defendant’s defence to a claim for eviction.  I disagree for a number of reasons.  Firstly, an analogy between defendant’s situation and </w:t>
      </w:r>
      <w:r w:rsidR="00170C2C">
        <w:rPr>
          <w:szCs w:val="24"/>
        </w:rPr>
        <w:t xml:space="preserve">that of </w:t>
      </w:r>
      <w:r w:rsidRPr="009D524C">
        <w:rPr>
          <w:szCs w:val="24"/>
        </w:rPr>
        <w:t xml:space="preserve">an ex-employee resisting eviction from his employer’s house will show the glaring fallacy of defendant’s argument.  Dismissed or suspended employees cannot validly oppose a claim for their eviction on the grounds that they intend to challenge or are challenging the lawfulness of the dismissal or that they had a </w:t>
      </w:r>
      <w:r w:rsidR="00170C2C">
        <w:rPr>
          <w:szCs w:val="24"/>
        </w:rPr>
        <w:t>lie</w:t>
      </w:r>
      <w:r w:rsidRPr="009D524C">
        <w:rPr>
          <w:szCs w:val="24"/>
        </w:rPr>
        <w:t>n of some sort due to non-payment of wages.</w:t>
      </w:r>
    </w:p>
    <w:p w:rsidR="00A8615F" w:rsidRPr="009D524C" w:rsidRDefault="00A8615F" w:rsidP="009D524C">
      <w:pPr>
        <w:jc w:val="both"/>
        <w:rPr>
          <w:szCs w:val="24"/>
        </w:rPr>
      </w:pPr>
      <w:r w:rsidRPr="009D524C">
        <w:rPr>
          <w:szCs w:val="24"/>
        </w:rPr>
        <w:tab/>
        <w:t xml:space="preserve">In </w:t>
      </w:r>
      <w:r w:rsidRPr="009D524C">
        <w:rPr>
          <w:i/>
          <w:szCs w:val="24"/>
        </w:rPr>
        <w:t>Chis</w:t>
      </w:r>
      <w:r w:rsidR="00A452F0" w:rsidRPr="009D524C">
        <w:rPr>
          <w:i/>
          <w:szCs w:val="24"/>
        </w:rPr>
        <w:t>i</w:t>
      </w:r>
      <w:r w:rsidRPr="009D524C">
        <w:rPr>
          <w:i/>
          <w:szCs w:val="24"/>
        </w:rPr>
        <w:t>pite School Trust (Pvt) Ltd</w:t>
      </w:r>
      <w:r w:rsidRPr="009D524C">
        <w:rPr>
          <w:szCs w:val="24"/>
        </w:rPr>
        <w:t xml:space="preserve"> vs </w:t>
      </w:r>
      <w:r w:rsidRPr="009D524C">
        <w:rPr>
          <w:i/>
          <w:szCs w:val="24"/>
        </w:rPr>
        <w:t xml:space="preserve">Clark </w:t>
      </w:r>
      <w:r w:rsidRPr="009D524C">
        <w:rPr>
          <w:szCs w:val="24"/>
        </w:rPr>
        <w:t>1992 (2) ZLR 324 it was held that “Pending the removal of the suspension</w:t>
      </w:r>
      <w:r w:rsidR="00170C2C">
        <w:rPr>
          <w:szCs w:val="24"/>
        </w:rPr>
        <w:t>,</w:t>
      </w:r>
      <w:r w:rsidRPr="009D524C">
        <w:rPr>
          <w:szCs w:val="24"/>
        </w:rPr>
        <w:t xml:space="preserve"> </w:t>
      </w:r>
      <w:r w:rsidR="00F05000" w:rsidRPr="009D524C">
        <w:rPr>
          <w:szCs w:val="24"/>
        </w:rPr>
        <w:t>respondent was not entitled to the continued enjoyment of benefits comprising the free occupation of t</w:t>
      </w:r>
      <w:r w:rsidR="00A452F0" w:rsidRPr="009D524C">
        <w:rPr>
          <w:szCs w:val="24"/>
        </w:rPr>
        <w:t>h</w:t>
      </w:r>
      <w:r w:rsidR="00F05000" w:rsidRPr="009D524C">
        <w:rPr>
          <w:szCs w:val="24"/>
        </w:rPr>
        <w:t>e headmistress</w:t>
      </w:r>
      <w:r w:rsidR="00A452F0" w:rsidRPr="009D524C">
        <w:rPr>
          <w:szCs w:val="24"/>
        </w:rPr>
        <w:t>’</w:t>
      </w:r>
      <w:r w:rsidR="00F05000" w:rsidRPr="009D524C">
        <w:rPr>
          <w:szCs w:val="24"/>
        </w:rPr>
        <w:t xml:space="preserve"> </w:t>
      </w:r>
      <w:r w:rsidR="00A452F0" w:rsidRPr="009D524C">
        <w:rPr>
          <w:szCs w:val="24"/>
        </w:rPr>
        <w:t>h</w:t>
      </w:r>
      <w:r w:rsidR="00F05000" w:rsidRPr="009D524C">
        <w:rPr>
          <w:szCs w:val="24"/>
        </w:rPr>
        <w:t>ouse and continued use of the  motor vehicle.  No residual rights that entitled one to the continued enjoyment of such benefits remain once a contract of employment has been suspended or terminated.”</w:t>
      </w:r>
    </w:p>
    <w:p w:rsidR="009D524C" w:rsidRDefault="00F05000" w:rsidP="009D524C">
      <w:pPr>
        <w:jc w:val="both"/>
        <w:rPr>
          <w:szCs w:val="24"/>
        </w:rPr>
      </w:pPr>
      <w:r w:rsidRPr="009D524C">
        <w:rPr>
          <w:szCs w:val="24"/>
        </w:rPr>
        <w:tab/>
        <w:t xml:space="preserve">In </w:t>
      </w:r>
      <w:r w:rsidRPr="009D524C">
        <w:rPr>
          <w:i/>
          <w:szCs w:val="24"/>
        </w:rPr>
        <w:t>Hamtex Investments (Pvt) Ltd</w:t>
      </w:r>
      <w:r w:rsidRPr="009D524C">
        <w:rPr>
          <w:szCs w:val="24"/>
        </w:rPr>
        <w:t xml:space="preserve"> vs </w:t>
      </w:r>
      <w:r w:rsidRPr="009D524C">
        <w:rPr>
          <w:i/>
          <w:szCs w:val="24"/>
        </w:rPr>
        <w:t>King</w:t>
      </w:r>
      <w:r w:rsidRPr="009D524C">
        <w:rPr>
          <w:szCs w:val="24"/>
        </w:rPr>
        <w:t xml:space="preserve"> 2012 (2) ZLR 334 (H).  M</w:t>
      </w:r>
      <w:r w:rsidRPr="009D524C">
        <w:rPr>
          <w:sz w:val="20"/>
          <w:szCs w:val="20"/>
        </w:rPr>
        <w:t>ATHO</w:t>
      </w:r>
      <w:r w:rsidR="00A452F0" w:rsidRPr="009D524C">
        <w:rPr>
          <w:sz w:val="20"/>
          <w:szCs w:val="20"/>
        </w:rPr>
        <w:t>NSI</w:t>
      </w:r>
      <w:r w:rsidR="00A452F0" w:rsidRPr="009D524C">
        <w:rPr>
          <w:szCs w:val="24"/>
        </w:rPr>
        <w:t xml:space="preserve"> J (as he then was) held that, </w:t>
      </w:r>
    </w:p>
    <w:p w:rsidR="00F05000" w:rsidRPr="009D524C" w:rsidRDefault="00A452F0" w:rsidP="009D524C">
      <w:pPr>
        <w:pStyle w:val="NoSpacing"/>
        <w:ind w:left="720"/>
      </w:pPr>
      <w:r w:rsidRPr="009D524C">
        <w:lastRenderedPageBreak/>
        <w:t>“</w:t>
      </w:r>
      <w:r w:rsidR="00F05000" w:rsidRPr="009D524C">
        <w:t>… so exclusive is the right of an owner to possess his property that at law he is entitled to recover it from wherever found and from whomsoever is holding it without alleging anything further than that he is the owner and that t</w:t>
      </w:r>
      <w:r w:rsidRPr="009D524C">
        <w:t>he defendant is in possession o</w:t>
      </w:r>
      <w:r w:rsidR="00F05000" w:rsidRPr="009D524C">
        <w:t xml:space="preserve">f the property.  It is an action </w:t>
      </w:r>
      <w:r w:rsidR="00F05000" w:rsidRPr="009D524C">
        <w:rPr>
          <w:i/>
        </w:rPr>
        <w:t>in rem</w:t>
      </w:r>
      <w:r w:rsidR="00F05000" w:rsidRPr="009D524C">
        <w:t xml:space="preserve"> enforceable agains</w:t>
      </w:r>
      <w:r w:rsidRPr="009D524C">
        <w:t>t</w:t>
      </w:r>
      <w:r w:rsidR="00F05000" w:rsidRPr="009D524C">
        <w:t xml:space="preserve"> the world at large.”</w:t>
      </w:r>
    </w:p>
    <w:p w:rsidR="009D524C" w:rsidRDefault="00F05000" w:rsidP="009D524C">
      <w:pPr>
        <w:jc w:val="both"/>
        <w:rPr>
          <w:szCs w:val="24"/>
        </w:rPr>
      </w:pPr>
      <w:r w:rsidRPr="009D524C">
        <w:rPr>
          <w:szCs w:val="24"/>
        </w:rPr>
        <w:tab/>
        <w:t xml:space="preserve">In </w:t>
      </w:r>
      <w:r w:rsidRPr="009D524C">
        <w:rPr>
          <w:i/>
          <w:szCs w:val="24"/>
        </w:rPr>
        <w:t>Alspite Investments (Pvt) Ltd</w:t>
      </w:r>
      <w:r w:rsidRPr="009D524C">
        <w:rPr>
          <w:szCs w:val="24"/>
        </w:rPr>
        <w:t xml:space="preserve"> v </w:t>
      </w:r>
      <w:r w:rsidRPr="009D524C">
        <w:rPr>
          <w:i/>
          <w:szCs w:val="24"/>
        </w:rPr>
        <w:t>Westernhof</w:t>
      </w:r>
      <w:r w:rsidRPr="009D524C">
        <w:rPr>
          <w:szCs w:val="24"/>
        </w:rPr>
        <w:t xml:space="preserve"> 2009 (2) ZLR 226</w:t>
      </w:r>
      <w:r w:rsidR="00A452F0" w:rsidRPr="009D524C">
        <w:rPr>
          <w:szCs w:val="24"/>
        </w:rPr>
        <w:t xml:space="preserve"> M</w:t>
      </w:r>
      <w:r w:rsidR="00A452F0" w:rsidRPr="009D524C">
        <w:rPr>
          <w:sz w:val="20"/>
          <w:szCs w:val="20"/>
        </w:rPr>
        <w:t>AKARAU</w:t>
      </w:r>
      <w:r w:rsidR="00A452F0" w:rsidRPr="009D524C">
        <w:rPr>
          <w:szCs w:val="24"/>
        </w:rPr>
        <w:t xml:space="preserve"> JP (as she then was) hel</w:t>
      </w:r>
      <w:r w:rsidR="009D524C">
        <w:rPr>
          <w:szCs w:val="24"/>
        </w:rPr>
        <w:t>d that</w:t>
      </w:r>
      <w:r w:rsidRPr="009D524C">
        <w:rPr>
          <w:szCs w:val="24"/>
        </w:rPr>
        <w:t xml:space="preserve">; </w:t>
      </w:r>
    </w:p>
    <w:p w:rsidR="00F05000" w:rsidRPr="009D524C" w:rsidRDefault="00F05000" w:rsidP="009D524C">
      <w:pPr>
        <w:pStyle w:val="NoSpacing"/>
        <w:ind w:left="720"/>
      </w:pPr>
      <w:r w:rsidRPr="009D524C">
        <w:t xml:space="preserve">“There are no equities in the application of the </w:t>
      </w:r>
      <w:r w:rsidRPr="009D524C">
        <w:rPr>
          <w:i/>
        </w:rPr>
        <w:t xml:space="preserve">rei </w:t>
      </w:r>
      <w:r w:rsidR="00A452F0" w:rsidRPr="009D524C">
        <w:rPr>
          <w:i/>
        </w:rPr>
        <w:t>vindicati</w:t>
      </w:r>
      <w:r w:rsidR="00B121EB">
        <w:rPr>
          <w:i/>
        </w:rPr>
        <w:t>o</w:t>
      </w:r>
      <w:r w:rsidR="00170C2C">
        <w:rPr>
          <w:i/>
        </w:rPr>
        <w:t xml:space="preserve">. </w:t>
      </w:r>
      <w:r w:rsidR="00170C2C" w:rsidRPr="00170C2C">
        <w:t>T</w:t>
      </w:r>
      <w:r w:rsidRPr="009D524C">
        <w:t>hus in applying the principle, the court may not accept and grant pleas of mercy or for exclusion of possession</w:t>
      </w:r>
      <w:r w:rsidR="00543E20" w:rsidRPr="009D524C">
        <w:t xml:space="preserve"> of the property by the defendant against an owner for the convenience or comfort of the possessor once it is accepted that the plaintiff is the owner of the property and does not consent to the </w:t>
      </w:r>
      <w:r w:rsidR="00A452F0" w:rsidRPr="009D524C">
        <w:t xml:space="preserve">defendant holding it.  It is a </w:t>
      </w:r>
      <w:r w:rsidR="00543E20" w:rsidRPr="009D524C">
        <w:t>rule or principle of law that admits no discretion on the part</w:t>
      </w:r>
      <w:r w:rsidR="00F927BA" w:rsidRPr="009D524C">
        <w:t xml:space="preserve"> of the court.  It is a legal principle heavily weighted in favour of property owners against the world at large and is used to ruthlessly protect ownership.”  See also </w:t>
      </w:r>
      <w:r w:rsidR="00F927BA" w:rsidRPr="009D524C">
        <w:rPr>
          <w:i/>
        </w:rPr>
        <w:t>Zimbabwe Broadcasting Holdings</w:t>
      </w:r>
      <w:r w:rsidR="00F927BA" w:rsidRPr="009D524C">
        <w:t xml:space="preserve"> vs </w:t>
      </w:r>
      <w:r w:rsidR="00F927BA" w:rsidRPr="009D524C">
        <w:rPr>
          <w:i/>
        </w:rPr>
        <w:t>Goso</w:t>
      </w:r>
      <w:r w:rsidR="00F927BA" w:rsidRPr="009D524C">
        <w:t xml:space="preserve"> 2010 (1) ZLR 8 (H); </w:t>
      </w:r>
      <w:r w:rsidR="00F927BA" w:rsidRPr="009D524C">
        <w:rPr>
          <w:i/>
        </w:rPr>
        <w:t>Paul Mundaandi</w:t>
      </w:r>
      <w:r w:rsidR="00F927BA" w:rsidRPr="009D524C">
        <w:t xml:space="preserve"> vs </w:t>
      </w:r>
      <w:r w:rsidR="00F927BA" w:rsidRPr="009D524C">
        <w:rPr>
          <w:i/>
        </w:rPr>
        <w:t>The Administrator SMM Holdings (Pvt) Ltd</w:t>
      </w:r>
      <w:r w:rsidR="00F927BA" w:rsidRPr="009D524C">
        <w:t xml:space="preserve"> H</w:t>
      </w:r>
      <w:r w:rsidR="00A452F0" w:rsidRPr="009D524C">
        <w:t>H</w:t>
      </w:r>
      <w:r w:rsidR="00F927BA" w:rsidRPr="009D524C">
        <w:t>-173-15.</w:t>
      </w:r>
    </w:p>
    <w:p w:rsidR="009D524C" w:rsidRDefault="00F927BA" w:rsidP="009D524C">
      <w:pPr>
        <w:jc w:val="both"/>
        <w:rPr>
          <w:szCs w:val="24"/>
        </w:rPr>
      </w:pPr>
      <w:r w:rsidRPr="009D524C">
        <w:rPr>
          <w:szCs w:val="24"/>
        </w:rPr>
        <w:tab/>
        <w:t>Secondly, the alleged irregularity in the acquisition of rights by the plaintiff arises from the provisions of the Magistrates’ Court (Civil) Rules 1980, SI 290/1980.  It is common cause that the sale in dispute was conducted by the Messenger of Court in terms of the above rules.  Specifically, t</w:t>
      </w:r>
      <w:r w:rsidR="00A452F0" w:rsidRPr="009D524C">
        <w:rPr>
          <w:szCs w:val="24"/>
        </w:rPr>
        <w:t>h</w:t>
      </w:r>
      <w:r w:rsidRPr="009D524C">
        <w:rPr>
          <w:szCs w:val="24"/>
        </w:rPr>
        <w:t>e sale was conducted in terms of o26 r7 of SI 290/1980.  These rules provide in (15</w:t>
      </w:r>
      <w:r w:rsidR="004F061B" w:rsidRPr="009D524C">
        <w:rPr>
          <w:szCs w:val="24"/>
        </w:rPr>
        <w:t>c</w:t>
      </w:r>
      <w:r w:rsidRPr="009D524C">
        <w:rPr>
          <w:szCs w:val="24"/>
        </w:rPr>
        <w:t xml:space="preserve">) that; </w:t>
      </w:r>
    </w:p>
    <w:p w:rsidR="009D524C" w:rsidRDefault="00F927BA" w:rsidP="009D524C">
      <w:pPr>
        <w:pStyle w:val="NoSpacing"/>
        <w:ind w:left="720"/>
      </w:pPr>
      <w:r w:rsidRPr="009D524C">
        <w:t>“Any person having an interest in a sale ma</w:t>
      </w:r>
      <w:r w:rsidR="00A452F0" w:rsidRPr="009D524C">
        <w:t>y</w:t>
      </w:r>
      <w:r w:rsidRPr="009D524C">
        <w:t xml:space="preserve"> apply to court to have it set asid</w:t>
      </w:r>
      <w:r w:rsidR="00A452F0" w:rsidRPr="009D524C">
        <w:t>e</w:t>
      </w:r>
      <w:r w:rsidRPr="009D524C">
        <w:t xml:space="preserve"> on the ground that the sale was improperly conducted or that the property was sold </w:t>
      </w:r>
      <w:r w:rsidR="00F53603">
        <w:t xml:space="preserve">for an unreasonably low sum </w:t>
      </w:r>
      <w:r w:rsidRPr="009D524C">
        <w:t xml:space="preserve">or on any other reasonable ground.  </w:t>
      </w:r>
    </w:p>
    <w:p w:rsidR="009D524C" w:rsidRDefault="009D524C" w:rsidP="009D524C">
      <w:pPr>
        <w:pStyle w:val="NoSpacing"/>
        <w:ind w:left="720"/>
      </w:pPr>
    </w:p>
    <w:p w:rsidR="00F927BA" w:rsidRPr="009D524C" w:rsidRDefault="00F927BA" w:rsidP="009D524C">
      <w:pPr>
        <w:pStyle w:val="NoSpacing"/>
        <w:ind w:left="720"/>
      </w:pPr>
      <w:r w:rsidRPr="009D524C">
        <w:t>Provided t</w:t>
      </w:r>
      <w:r w:rsidR="00A229D9" w:rsidRPr="009D524C">
        <w:t>h</w:t>
      </w:r>
      <w:r w:rsidRPr="009D524C">
        <w:t>at any person making such appli</w:t>
      </w:r>
      <w:r w:rsidR="00891C5F" w:rsidRPr="009D524C">
        <w:t>cation</w:t>
      </w:r>
      <w:r w:rsidR="00A229D9" w:rsidRPr="009D524C">
        <w:t xml:space="preserve"> </w:t>
      </w:r>
      <w:r w:rsidR="00891C5F" w:rsidRPr="009D524C">
        <w:rPr>
          <w:u w:val="single"/>
        </w:rPr>
        <w:t>shall give due notice of the application to the messenger stating</w:t>
      </w:r>
      <w:r w:rsidR="00891C5F" w:rsidRPr="009D524C">
        <w:t xml:space="preserve"> the grounds of his objection to the confirmation of the sale.” (my emphasis).</w:t>
      </w:r>
    </w:p>
    <w:p w:rsidR="00891C5F" w:rsidRPr="009D524C" w:rsidRDefault="00891C5F" w:rsidP="009D524C">
      <w:pPr>
        <w:jc w:val="both"/>
        <w:rPr>
          <w:szCs w:val="24"/>
        </w:rPr>
      </w:pPr>
      <w:r w:rsidRPr="009D524C">
        <w:rPr>
          <w:szCs w:val="24"/>
        </w:rPr>
        <w:tab/>
        <w:t>Where the property is sold by a Messenger of Court in terms of the Magistrates</w:t>
      </w:r>
      <w:r w:rsidR="00A229D9" w:rsidRPr="009D524C">
        <w:rPr>
          <w:szCs w:val="24"/>
        </w:rPr>
        <w:t>’</w:t>
      </w:r>
      <w:r w:rsidRPr="009D524C">
        <w:rPr>
          <w:szCs w:val="24"/>
        </w:rPr>
        <w:t xml:space="preserve"> Court Civil Rules, any challenge to the propriety of such a sale should be made by way of a court application to the Magistrates’ Court.  When, however the sale is by the Sheriff in terms of the High Court Rules 1971, such a challenge would be directed to the </w:t>
      </w:r>
      <w:r w:rsidR="00A229D9" w:rsidRPr="009D524C">
        <w:rPr>
          <w:szCs w:val="24"/>
        </w:rPr>
        <w:t>H</w:t>
      </w:r>
      <w:r w:rsidRPr="009D524C">
        <w:rPr>
          <w:szCs w:val="24"/>
        </w:rPr>
        <w:t xml:space="preserve">igh Court in terms of rule 359.  See </w:t>
      </w:r>
      <w:r w:rsidRPr="009D524C">
        <w:rPr>
          <w:i/>
          <w:szCs w:val="24"/>
        </w:rPr>
        <w:t>Smith &amp; Anor</w:t>
      </w:r>
      <w:r w:rsidRPr="009D524C">
        <w:rPr>
          <w:szCs w:val="24"/>
        </w:rPr>
        <w:t xml:space="preserve"> v </w:t>
      </w:r>
      <w:r w:rsidRPr="009D524C">
        <w:rPr>
          <w:i/>
          <w:szCs w:val="24"/>
        </w:rPr>
        <w:t xml:space="preserve">Acting Sheriff of Zimbabwe &amp; Anor </w:t>
      </w:r>
      <w:r w:rsidRPr="009D524C">
        <w:rPr>
          <w:szCs w:val="24"/>
        </w:rPr>
        <w:t xml:space="preserve">1995 (1) ZLR 158 (S) and </w:t>
      </w:r>
      <w:r w:rsidRPr="009D524C">
        <w:rPr>
          <w:i/>
          <w:szCs w:val="24"/>
        </w:rPr>
        <w:t>Zviranda</w:t>
      </w:r>
      <w:r w:rsidRPr="009D524C">
        <w:rPr>
          <w:szCs w:val="24"/>
        </w:rPr>
        <w:t xml:space="preserve"> v </w:t>
      </w:r>
      <w:r w:rsidRPr="009D524C">
        <w:rPr>
          <w:i/>
          <w:szCs w:val="24"/>
        </w:rPr>
        <w:t>Makoni &amp; Anor</w:t>
      </w:r>
      <w:r w:rsidRPr="009D524C">
        <w:rPr>
          <w:szCs w:val="24"/>
        </w:rPr>
        <w:t xml:space="preserve"> 1988 (2) ZLR 15 (SC).</w:t>
      </w:r>
    </w:p>
    <w:p w:rsidR="00891C5F" w:rsidRPr="009D524C" w:rsidRDefault="004F061B" w:rsidP="009D524C">
      <w:pPr>
        <w:jc w:val="both"/>
        <w:rPr>
          <w:szCs w:val="24"/>
        </w:rPr>
      </w:pPr>
      <w:r w:rsidRPr="009D524C">
        <w:rPr>
          <w:szCs w:val="24"/>
        </w:rPr>
        <w:lastRenderedPageBreak/>
        <w:tab/>
        <w:t>I take the view that it would be improper for this court to sit as a Magistrates</w:t>
      </w:r>
      <w:r w:rsidR="00A229D9" w:rsidRPr="009D524C">
        <w:rPr>
          <w:szCs w:val="24"/>
        </w:rPr>
        <w:t>’</w:t>
      </w:r>
      <w:r w:rsidRPr="009D524C">
        <w:rPr>
          <w:szCs w:val="24"/>
        </w:rPr>
        <w:t xml:space="preserve"> Court in determining the compliance or otherwise of a sale in execution in that court.  This court can only do that in an appeal against a magistrate’s decision to confirm or not to confirm the sale in terms of the rules.  I am fortified in this view by the fact that defendant in fact correctly utilized the provisions of o26 r7</w:t>
      </w:r>
      <w:r w:rsidR="00A229D9" w:rsidRPr="009D524C">
        <w:rPr>
          <w:szCs w:val="24"/>
        </w:rPr>
        <w:t xml:space="preserve"> </w:t>
      </w:r>
      <w:r w:rsidRPr="009D524C">
        <w:rPr>
          <w:szCs w:val="24"/>
        </w:rPr>
        <w:t>(15c) of the</w:t>
      </w:r>
      <w:r w:rsidR="00F06051" w:rsidRPr="009D524C">
        <w:rPr>
          <w:szCs w:val="24"/>
        </w:rPr>
        <w:t xml:space="preserve"> </w:t>
      </w:r>
      <w:r w:rsidRPr="009D524C">
        <w:rPr>
          <w:szCs w:val="24"/>
        </w:rPr>
        <w:t>Magistrates’ Court (Civil)</w:t>
      </w:r>
      <w:r w:rsidR="00F06051" w:rsidRPr="009D524C">
        <w:rPr>
          <w:szCs w:val="24"/>
        </w:rPr>
        <w:t xml:space="preserve"> Rules under cover of case number MC 2509/14.  That challenge was unsuccessful leaving the sale </w:t>
      </w:r>
      <w:r w:rsidR="00F06051" w:rsidRPr="009D524C">
        <w:rPr>
          <w:i/>
          <w:szCs w:val="24"/>
        </w:rPr>
        <w:t>perfecta</w:t>
      </w:r>
      <w:r w:rsidR="00F06051" w:rsidRPr="009D524C">
        <w:rPr>
          <w:szCs w:val="24"/>
        </w:rPr>
        <w:t>.  Dissatisfied, defendant appealed against t</w:t>
      </w:r>
      <w:r w:rsidR="00B52E45" w:rsidRPr="009D524C">
        <w:rPr>
          <w:szCs w:val="24"/>
        </w:rPr>
        <w:t>h</w:t>
      </w:r>
      <w:r w:rsidR="00F06051" w:rsidRPr="009D524C">
        <w:rPr>
          <w:szCs w:val="24"/>
        </w:rPr>
        <w:t>e decision of the magistrate aforesaid under cover of HCA 66/17.  That appeal also failed and the sale and transfer remained standing.</w:t>
      </w:r>
    </w:p>
    <w:p w:rsidR="00F06051" w:rsidRPr="009D524C" w:rsidRDefault="00B52E45" w:rsidP="009D524C">
      <w:pPr>
        <w:jc w:val="both"/>
        <w:rPr>
          <w:szCs w:val="24"/>
        </w:rPr>
      </w:pPr>
      <w:r w:rsidRPr="009D524C">
        <w:rPr>
          <w:szCs w:val="24"/>
        </w:rPr>
        <w:tab/>
        <w:t>To entertain any argument that relates to compliance by the Messenger of Court outside the provisions of that court’s rules would be tantamount to trying the Messenger of Court in his absence.  This arises because the Messenger of Court is not a party to these proceedings.  He has not been cited as a party.  Therefore it would be in my view improper to make an adverse finding on an officer of court in respect of matters arising from his execution of his official duties without hearing that officer.</w:t>
      </w:r>
    </w:p>
    <w:p w:rsidR="00B52E45" w:rsidRPr="009D524C" w:rsidRDefault="00B52E45" w:rsidP="009D524C">
      <w:pPr>
        <w:jc w:val="both"/>
        <w:rPr>
          <w:szCs w:val="24"/>
        </w:rPr>
      </w:pPr>
      <w:r w:rsidRPr="009D524C">
        <w:rPr>
          <w:szCs w:val="24"/>
        </w:rPr>
        <w:tab/>
        <w:t xml:space="preserve">As regards </w:t>
      </w:r>
      <w:r w:rsidRPr="009D524C">
        <w:rPr>
          <w:i/>
          <w:szCs w:val="24"/>
        </w:rPr>
        <w:t>res judicata</w:t>
      </w:r>
      <w:r w:rsidRPr="009D524C">
        <w:rPr>
          <w:szCs w:val="24"/>
        </w:rPr>
        <w:t xml:space="preserve">, there </w:t>
      </w:r>
      <w:r w:rsidR="00A229D9" w:rsidRPr="009D524C">
        <w:rPr>
          <w:szCs w:val="24"/>
        </w:rPr>
        <w:t>i</w:t>
      </w:r>
      <w:r w:rsidRPr="009D524C">
        <w:rPr>
          <w:szCs w:val="24"/>
        </w:rPr>
        <w:t xml:space="preserve">s some considerable </w:t>
      </w:r>
      <w:r w:rsidR="00A229D9" w:rsidRPr="009D524C">
        <w:rPr>
          <w:szCs w:val="24"/>
        </w:rPr>
        <w:t>uncertain</w:t>
      </w:r>
      <w:r w:rsidRPr="009D524C">
        <w:rPr>
          <w:szCs w:val="24"/>
        </w:rPr>
        <w:t xml:space="preserve">ty about the invocation of the principle of </w:t>
      </w:r>
      <w:r w:rsidRPr="009D524C">
        <w:rPr>
          <w:i/>
          <w:szCs w:val="24"/>
        </w:rPr>
        <w:t>res judicata</w:t>
      </w:r>
      <w:r w:rsidRPr="009D524C">
        <w:rPr>
          <w:szCs w:val="24"/>
        </w:rPr>
        <w:t xml:space="preserve"> by a plaintiff against a defence by </w:t>
      </w:r>
      <w:r w:rsidR="00AD3D53">
        <w:rPr>
          <w:szCs w:val="24"/>
        </w:rPr>
        <w:t>a</w:t>
      </w:r>
      <w:r w:rsidRPr="009D524C">
        <w:rPr>
          <w:szCs w:val="24"/>
        </w:rPr>
        <w:t xml:space="preserve"> defendant.  See </w:t>
      </w:r>
      <w:r w:rsidRPr="009D524C">
        <w:rPr>
          <w:i/>
          <w:szCs w:val="24"/>
        </w:rPr>
        <w:t>Tsvangirai &amp; Ors</w:t>
      </w:r>
      <w:r w:rsidRPr="009D524C">
        <w:rPr>
          <w:szCs w:val="24"/>
        </w:rPr>
        <w:t xml:space="preserve"> v </w:t>
      </w:r>
      <w:r w:rsidRPr="009D524C">
        <w:rPr>
          <w:i/>
          <w:szCs w:val="24"/>
        </w:rPr>
        <w:t>Registrar General</w:t>
      </w:r>
      <w:r w:rsidRPr="009D524C">
        <w:rPr>
          <w:szCs w:val="24"/>
        </w:rPr>
        <w:t xml:space="preserve"> 2002 (2) ZLR 653 at 665 -667 (S).</w:t>
      </w:r>
    </w:p>
    <w:p w:rsidR="00B52E45" w:rsidRPr="009D524C" w:rsidRDefault="00B52E45" w:rsidP="009D524C">
      <w:pPr>
        <w:jc w:val="both"/>
        <w:rPr>
          <w:szCs w:val="24"/>
        </w:rPr>
      </w:pPr>
      <w:r w:rsidRPr="009D524C">
        <w:rPr>
          <w:szCs w:val="24"/>
        </w:rPr>
        <w:tab/>
      </w:r>
      <w:r w:rsidR="00AD3D53">
        <w:rPr>
          <w:szCs w:val="24"/>
        </w:rPr>
        <w:t>I t</w:t>
      </w:r>
      <w:r w:rsidRPr="009D524C">
        <w:rPr>
          <w:szCs w:val="24"/>
        </w:rPr>
        <w:t>herefore leav</w:t>
      </w:r>
      <w:r w:rsidR="00AD3D53">
        <w:rPr>
          <w:szCs w:val="24"/>
        </w:rPr>
        <w:t>e</w:t>
      </w:r>
      <w:r w:rsidRPr="009D524C">
        <w:rPr>
          <w:szCs w:val="24"/>
        </w:rPr>
        <w:t xml:space="preserve"> the question open</w:t>
      </w:r>
      <w:r w:rsidR="00AD3D53">
        <w:rPr>
          <w:szCs w:val="24"/>
        </w:rPr>
        <w:t>,</w:t>
      </w:r>
      <w:r w:rsidRPr="009D524C">
        <w:rPr>
          <w:szCs w:val="24"/>
        </w:rPr>
        <w:t xml:space="preserve"> suffice to say that currently, the Registrar dismissed the defendant’s appeal and the sale and transfer remain good in law.  Further, it is common cause that the defendant is not presently challenging the sale in execution in any court or forum whatsoever.  Accordingly, there is no </w:t>
      </w:r>
      <w:r w:rsidR="00A229D9" w:rsidRPr="009D524C">
        <w:rPr>
          <w:szCs w:val="24"/>
        </w:rPr>
        <w:t>imp</w:t>
      </w:r>
      <w:r w:rsidRPr="009D524C">
        <w:rPr>
          <w:szCs w:val="24"/>
        </w:rPr>
        <w:t>ediment or defence to the cl</w:t>
      </w:r>
      <w:r w:rsidR="00A229D9" w:rsidRPr="009D524C">
        <w:rPr>
          <w:szCs w:val="24"/>
        </w:rPr>
        <w:t>a</w:t>
      </w:r>
      <w:r w:rsidRPr="009D524C">
        <w:rPr>
          <w:szCs w:val="24"/>
        </w:rPr>
        <w:t>im for eviction.  In any ev</w:t>
      </w:r>
      <w:r w:rsidR="003E0405" w:rsidRPr="009D524C">
        <w:rPr>
          <w:szCs w:val="24"/>
        </w:rPr>
        <w:t>ent, should the defendant wish at his own</w:t>
      </w:r>
      <w:r w:rsidR="00A229D9" w:rsidRPr="009D524C">
        <w:rPr>
          <w:szCs w:val="24"/>
        </w:rPr>
        <w:t xml:space="preserve"> </w:t>
      </w:r>
      <w:r w:rsidR="00AD3D53">
        <w:rPr>
          <w:szCs w:val="24"/>
        </w:rPr>
        <w:t>tim</w:t>
      </w:r>
      <w:r w:rsidR="003E0405" w:rsidRPr="009D524C">
        <w:rPr>
          <w:szCs w:val="24"/>
        </w:rPr>
        <w:t>e to mount a challenge of the sale in execution, he may still do so without the property, not within.  Put differently his eviction does not extinguish his right to challenge the sale and transfer of the property.</w:t>
      </w:r>
    </w:p>
    <w:p w:rsidR="003E0405" w:rsidRPr="009D524C" w:rsidRDefault="003E0405" w:rsidP="009D524C">
      <w:pPr>
        <w:jc w:val="both"/>
        <w:rPr>
          <w:szCs w:val="24"/>
        </w:rPr>
      </w:pPr>
      <w:r w:rsidRPr="009D524C">
        <w:rPr>
          <w:szCs w:val="24"/>
        </w:rPr>
        <w:tab/>
        <w:t>What should also be noted is that defendant (judgment debtor</w:t>
      </w:r>
      <w:r w:rsidR="00A229D9" w:rsidRPr="009D524C">
        <w:rPr>
          <w:szCs w:val="24"/>
        </w:rPr>
        <w:t>)</w:t>
      </w:r>
      <w:r w:rsidRPr="009D524C">
        <w:rPr>
          <w:szCs w:val="24"/>
        </w:rPr>
        <w:t xml:space="preserve"> </w:t>
      </w:r>
      <w:r w:rsidRPr="009D524C">
        <w:rPr>
          <w:i/>
          <w:szCs w:val="24"/>
        </w:rPr>
        <w:t>in casu</w:t>
      </w:r>
      <w:r w:rsidRPr="009D524C">
        <w:rPr>
          <w:szCs w:val="24"/>
        </w:rPr>
        <w:t xml:space="preserve"> unlike the judgment </w:t>
      </w:r>
      <w:r w:rsidR="00AD3D53">
        <w:rPr>
          <w:szCs w:val="24"/>
        </w:rPr>
        <w:t>deb</w:t>
      </w:r>
      <w:r w:rsidRPr="009D524C">
        <w:rPr>
          <w:szCs w:val="24"/>
        </w:rPr>
        <w:t xml:space="preserve">tor in </w:t>
      </w:r>
      <w:r w:rsidRPr="009D524C">
        <w:rPr>
          <w:i/>
          <w:szCs w:val="24"/>
        </w:rPr>
        <w:t>Smith’s</w:t>
      </w:r>
      <w:r w:rsidRPr="009D524C">
        <w:rPr>
          <w:szCs w:val="24"/>
        </w:rPr>
        <w:t xml:space="preserve"> case </w:t>
      </w:r>
      <w:r w:rsidRPr="009D524C">
        <w:rPr>
          <w:i/>
          <w:szCs w:val="24"/>
        </w:rPr>
        <w:t>supra</w:t>
      </w:r>
      <w:r w:rsidRPr="009D524C">
        <w:rPr>
          <w:szCs w:val="24"/>
        </w:rPr>
        <w:t xml:space="preserve"> has refrained from taking any steps to save his property.  </w:t>
      </w:r>
      <w:r w:rsidR="00A229D9" w:rsidRPr="009D524C">
        <w:rPr>
          <w:szCs w:val="24"/>
        </w:rPr>
        <w:t>He</w:t>
      </w:r>
      <w:r w:rsidRPr="009D524C">
        <w:rPr>
          <w:szCs w:val="24"/>
        </w:rPr>
        <w:t xml:space="preserve"> has not said of any arrangements to satisfy the judgment creditor.  He is obviously content </w:t>
      </w:r>
      <w:r w:rsidRPr="009D524C">
        <w:rPr>
          <w:szCs w:val="24"/>
        </w:rPr>
        <w:lastRenderedPageBreak/>
        <w:t xml:space="preserve">with the </w:t>
      </w:r>
      <w:r w:rsidRPr="009D524C">
        <w:rPr>
          <w:i/>
          <w:szCs w:val="24"/>
        </w:rPr>
        <w:t>status quo</w:t>
      </w:r>
      <w:r w:rsidRPr="009D524C">
        <w:rPr>
          <w:szCs w:val="24"/>
        </w:rPr>
        <w:t xml:space="preserve"> where the purchase price paid by the plaintiff </w:t>
      </w:r>
      <w:r w:rsidR="00A229D9" w:rsidRPr="009D524C">
        <w:rPr>
          <w:szCs w:val="24"/>
        </w:rPr>
        <w:t>h</w:t>
      </w:r>
      <w:r w:rsidRPr="009D524C">
        <w:rPr>
          <w:szCs w:val="24"/>
        </w:rPr>
        <w:t xml:space="preserve">as already been </w:t>
      </w:r>
      <w:r w:rsidR="00AD3D53">
        <w:rPr>
          <w:szCs w:val="24"/>
        </w:rPr>
        <w:t>utilized by him</w:t>
      </w:r>
      <w:r w:rsidRPr="009D524C">
        <w:rPr>
          <w:szCs w:val="24"/>
        </w:rPr>
        <w:t xml:space="preserve"> in paying his monetary obligations to the judgment</w:t>
      </w:r>
      <w:r w:rsidR="00A229D9" w:rsidRPr="009D524C">
        <w:rPr>
          <w:szCs w:val="24"/>
        </w:rPr>
        <w:t xml:space="preserve"> creditor due by a judgment of </w:t>
      </w:r>
      <w:r w:rsidRPr="009D524C">
        <w:rPr>
          <w:szCs w:val="24"/>
        </w:rPr>
        <w:t xml:space="preserve">a </w:t>
      </w:r>
      <w:r w:rsidR="00A229D9" w:rsidRPr="009D524C">
        <w:rPr>
          <w:szCs w:val="24"/>
        </w:rPr>
        <w:t>c</w:t>
      </w:r>
      <w:r w:rsidRPr="009D524C">
        <w:rPr>
          <w:szCs w:val="24"/>
        </w:rPr>
        <w:t>ourt.  It cannot be de</w:t>
      </w:r>
      <w:r w:rsidR="00AD3D53">
        <w:rPr>
          <w:szCs w:val="24"/>
        </w:rPr>
        <w:t>nie</w:t>
      </w:r>
      <w:r w:rsidRPr="009D524C">
        <w:rPr>
          <w:szCs w:val="24"/>
        </w:rPr>
        <w:t>d that defendant</w:t>
      </w:r>
      <w:r w:rsidR="00AD3D53">
        <w:rPr>
          <w:szCs w:val="24"/>
        </w:rPr>
        <w:t>,</w:t>
      </w:r>
      <w:r w:rsidRPr="009D524C">
        <w:rPr>
          <w:szCs w:val="24"/>
        </w:rPr>
        <w:t xml:space="preserve"> literally</w:t>
      </w:r>
      <w:r w:rsidR="000503BA" w:rsidRPr="009D524C">
        <w:rPr>
          <w:szCs w:val="24"/>
        </w:rPr>
        <w:t xml:space="preserve"> has the money and the house</w:t>
      </w:r>
      <w:r w:rsidR="00AD3D53">
        <w:rPr>
          <w:szCs w:val="24"/>
        </w:rPr>
        <w:t>,</w:t>
      </w:r>
      <w:r w:rsidR="000503BA" w:rsidRPr="009D524C">
        <w:rPr>
          <w:szCs w:val="24"/>
        </w:rPr>
        <w:t xml:space="preserve"> while plaintiff has nothing.  T</w:t>
      </w:r>
      <w:r w:rsidR="00A229D9" w:rsidRPr="009D524C">
        <w:rPr>
          <w:szCs w:val="24"/>
        </w:rPr>
        <w:t>h</w:t>
      </w:r>
      <w:r w:rsidR="000503BA" w:rsidRPr="009D524C">
        <w:rPr>
          <w:szCs w:val="24"/>
        </w:rPr>
        <w:t>is distorts plaintiff’</w:t>
      </w:r>
      <w:r w:rsidR="00A229D9" w:rsidRPr="009D524C">
        <w:rPr>
          <w:szCs w:val="24"/>
        </w:rPr>
        <w:t>s ownershi</w:t>
      </w:r>
      <w:r w:rsidR="000503BA" w:rsidRPr="009D524C">
        <w:rPr>
          <w:szCs w:val="24"/>
        </w:rPr>
        <w:t>p rights in that if his claim for eviction is dismissed as prayed by the defendant</w:t>
      </w:r>
      <w:r w:rsidR="00AD3D53">
        <w:rPr>
          <w:szCs w:val="24"/>
        </w:rPr>
        <w:t>,</w:t>
      </w:r>
      <w:r w:rsidR="000503BA" w:rsidRPr="009D524C">
        <w:rPr>
          <w:szCs w:val="24"/>
        </w:rPr>
        <w:t xml:space="preserve"> it will result in an absurd and anomal</w:t>
      </w:r>
      <w:r w:rsidR="00AD3D53">
        <w:rPr>
          <w:szCs w:val="24"/>
        </w:rPr>
        <w:t>ous</w:t>
      </w:r>
      <w:r w:rsidR="000503BA" w:rsidRPr="009D524C">
        <w:rPr>
          <w:szCs w:val="24"/>
        </w:rPr>
        <w:t xml:space="preserve"> situation where plaintiff remains the owner of property without rights provided for at law and a defendant who</w:t>
      </w:r>
      <w:r w:rsidR="00A229D9" w:rsidRPr="009D524C">
        <w:rPr>
          <w:szCs w:val="24"/>
        </w:rPr>
        <w:t xml:space="preserve"> </w:t>
      </w:r>
      <w:r w:rsidR="000503BA" w:rsidRPr="009D524C">
        <w:rPr>
          <w:szCs w:val="24"/>
        </w:rPr>
        <w:t>has possession without title.  This is what has prevailed for years now and it must come to an end.</w:t>
      </w:r>
    </w:p>
    <w:p w:rsidR="000503BA" w:rsidRPr="009D524C" w:rsidRDefault="000503BA" w:rsidP="009D524C">
      <w:pPr>
        <w:jc w:val="both"/>
        <w:rPr>
          <w:szCs w:val="24"/>
        </w:rPr>
      </w:pPr>
      <w:r w:rsidRPr="009D524C">
        <w:rPr>
          <w:szCs w:val="24"/>
        </w:rPr>
        <w:tab/>
        <w:t>In the circumstances, I come to the conclusion t</w:t>
      </w:r>
      <w:r w:rsidR="00A229D9" w:rsidRPr="009D524C">
        <w:rPr>
          <w:szCs w:val="24"/>
        </w:rPr>
        <w:t>h</w:t>
      </w:r>
      <w:r w:rsidRPr="009D524C">
        <w:rPr>
          <w:szCs w:val="24"/>
        </w:rPr>
        <w:t>at a challenge or purported challenge to the sale in execution does not constitute a defence against a claim for defendant’s eviction by plaintiff who is the registered owner of the property.</w:t>
      </w:r>
    </w:p>
    <w:p w:rsidR="000503BA" w:rsidRPr="009D524C" w:rsidRDefault="000503BA" w:rsidP="009D524C">
      <w:pPr>
        <w:jc w:val="both"/>
        <w:rPr>
          <w:szCs w:val="24"/>
        </w:rPr>
      </w:pPr>
      <w:r w:rsidRPr="009D524C">
        <w:rPr>
          <w:szCs w:val="24"/>
        </w:rPr>
        <w:tab/>
        <w:t>Accordingly, it is ordered that:</w:t>
      </w:r>
    </w:p>
    <w:p w:rsidR="000503BA" w:rsidRPr="009D524C" w:rsidRDefault="000503BA" w:rsidP="009D524C">
      <w:pPr>
        <w:pStyle w:val="ListParagraph"/>
        <w:numPr>
          <w:ilvl w:val="0"/>
          <w:numId w:val="3"/>
        </w:numPr>
        <w:jc w:val="both"/>
        <w:rPr>
          <w:szCs w:val="24"/>
        </w:rPr>
      </w:pPr>
      <w:r w:rsidRPr="009D524C">
        <w:rPr>
          <w:szCs w:val="24"/>
        </w:rPr>
        <w:t>The defendant and/or those claiming occupation through him be evicted from certai</w:t>
      </w:r>
      <w:r w:rsidR="00A229D9" w:rsidRPr="009D524C">
        <w:rPr>
          <w:szCs w:val="24"/>
        </w:rPr>
        <w:t xml:space="preserve">n piece of land situate in the </w:t>
      </w:r>
      <w:r w:rsidRPr="009D524C">
        <w:rPr>
          <w:szCs w:val="24"/>
        </w:rPr>
        <w:t>District of Bulawayo being stand number 8621 Nkulumane Township.</w:t>
      </w:r>
    </w:p>
    <w:p w:rsidR="000503BA" w:rsidRPr="009D524C" w:rsidRDefault="000503BA" w:rsidP="009D524C">
      <w:pPr>
        <w:pStyle w:val="ListParagraph"/>
        <w:numPr>
          <w:ilvl w:val="0"/>
          <w:numId w:val="3"/>
        </w:numPr>
        <w:jc w:val="both"/>
        <w:rPr>
          <w:szCs w:val="24"/>
        </w:rPr>
      </w:pPr>
      <w:r w:rsidRPr="009D524C">
        <w:rPr>
          <w:szCs w:val="24"/>
        </w:rPr>
        <w:t>The defendant pays holdo</w:t>
      </w:r>
      <w:r w:rsidR="00A229D9" w:rsidRPr="009D524C">
        <w:rPr>
          <w:szCs w:val="24"/>
        </w:rPr>
        <w:t>v</w:t>
      </w:r>
      <w:r w:rsidRPr="009D524C">
        <w:rPr>
          <w:szCs w:val="24"/>
        </w:rPr>
        <w:t xml:space="preserve">er damages of </w:t>
      </w:r>
      <w:r w:rsidR="00A229D9" w:rsidRPr="009D524C">
        <w:rPr>
          <w:szCs w:val="24"/>
        </w:rPr>
        <w:t>$</w:t>
      </w:r>
      <w:r w:rsidRPr="009D524C">
        <w:rPr>
          <w:szCs w:val="24"/>
        </w:rPr>
        <w:t>6,50 per day from the issue of summons up to the eviction of the defendant.</w:t>
      </w:r>
    </w:p>
    <w:p w:rsidR="000503BA" w:rsidRPr="009D524C" w:rsidRDefault="000503BA" w:rsidP="009D524C">
      <w:pPr>
        <w:pStyle w:val="ListParagraph"/>
        <w:numPr>
          <w:ilvl w:val="0"/>
          <w:numId w:val="3"/>
        </w:numPr>
        <w:jc w:val="both"/>
        <w:rPr>
          <w:szCs w:val="24"/>
        </w:rPr>
      </w:pPr>
      <w:r w:rsidRPr="009D524C">
        <w:rPr>
          <w:szCs w:val="24"/>
        </w:rPr>
        <w:t>The defendant pays costs of suit.</w:t>
      </w:r>
    </w:p>
    <w:p w:rsidR="000503BA" w:rsidRDefault="000503BA" w:rsidP="009D524C">
      <w:pPr>
        <w:jc w:val="both"/>
        <w:rPr>
          <w:szCs w:val="24"/>
        </w:rPr>
      </w:pPr>
    </w:p>
    <w:p w:rsidR="009D524C" w:rsidRPr="009D524C" w:rsidRDefault="009D524C" w:rsidP="009D524C">
      <w:pPr>
        <w:jc w:val="both"/>
        <w:rPr>
          <w:szCs w:val="24"/>
        </w:rPr>
      </w:pPr>
    </w:p>
    <w:p w:rsidR="000503BA" w:rsidRPr="009D524C" w:rsidRDefault="0019701F" w:rsidP="009D524C">
      <w:pPr>
        <w:pStyle w:val="NoSpacing"/>
        <w:jc w:val="both"/>
        <w:rPr>
          <w:szCs w:val="24"/>
        </w:rPr>
      </w:pPr>
      <w:r w:rsidRPr="009D524C">
        <w:rPr>
          <w:i/>
          <w:szCs w:val="24"/>
        </w:rPr>
        <w:t xml:space="preserve">Messrs </w:t>
      </w:r>
      <w:r w:rsidR="009D524C" w:rsidRPr="009D524C">
        <w:rPr>
          <w:i/>
          <w:szCs w:val="24"/>
        </w:rPr>
        <w:t>M</w:t>
      </w:r>
      <w:r w:rsidRPr="009D524C">
        <w:rPr>
          <w:i/>
          <w:szCs w:val="24"/>
        </w:rPr>
        <w:t>asiye-Moyo &amp; Associates</w:t>
      </w:r>
      <w:r w:rsidRPr="009D524C">
        <w:rPr>
          <w:szCs w:val="24"/>
        </w:rPr>
        <w:t>, plaintiff’s legal practitioners</w:t>
      </w:r>
    </w:p>
    <w:p w:rsidR="0019701F" w:rsidRPr="009D524C" w:rsidRDefault="0019701F" w:rsidP="009D524C">
      <w:pPr>
        <w:pStyle w:val="NoSpacing"/>
        <w:jc w:val="both"/>
        <w:rPr>
          <w:szCs w:val="24"/>
        </w:rPr>
      </w:pPr>
      <w:r w:rsidRPr="009D524C">
        <w:rPr>
          <w:i/>
          <w:szCs w:val="24"/>
        </w:rPr>
        <w:t>Messrs Majoko &amp; Majoko</w:t>
      </w:r>
      <w:r w:rsidRPr="009D524C">
        <w:rPr>
          <w:szCs w:val="24"/>
        </w:rPr>
        <w:t>, defendant’s legal practitioners</w:t>
      </w:r>
    </w:p>
    <w:p w:rsidR="0019701F" w:rsidRPr="009D524C" w:rsidRDefault="0019701F" w:rsidP="009D524C">
      <w:pPr>
        <w:pStyle w:val="NoSpacing"/>
        <w:jc w:val="both"/>
        <w:rPr>
          <w:szCs w:val="24"/>
        </w:rPr>
      </w:pPr>
    </w:p>
    <w:sectPr w:rsidR="0019701F" w:rsidRPr="009D524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DB1" w:rsidRDefault="00822DB1" w:rsidP="009D524C">
      <w:pPr>
        <w:spacing w:before="0" w:after="0" w:line="240" w:lineRule="auto"/>
      </w:pPr>
      <w:r>
        <w:separator/>
      </w:r>
    </w:p>
  </w:endnote>
  <w:endnote w:type="continuationSeparator" w:id="1">
    <w:p w:rsidR="00822DB1" w:rsidRDefault="00822DB1" w:rsidP="009D524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DB1" w:rsidRDefault="00822DB1" w:rsidP="009D524C">
      <w:pPr>
        <w:spacing w:before="0" w:after="0" w:line="240" w:lineRule="auto"/>
      </w:pPr>
      <w:r>
        <w:separator/>
      </w:r>
    </w:p>
  </w:footnote>
  <w:footnote w:type="continuationSeparator" w:id="1">
    <w:p w:rsidR="00822DB1" w:rsidRDefault="00822DB1" w:rsidP="009D524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0391"/>
      <w:docPartObj>
        <w:docPartGallery w:val="Page Numbers (Top of Page)"/>
        <w:docPartUnique/>
      </w:docPartObj>
    </w:sdtPr>
    <w:sdtContent>
      <w:p w:rsidR="009D524C" w:rsidRDefault="001852FB">
        <w:pPr>
          <w:pStyle w:val="Header"/>
          <w:jc w:val="right"/>
        </w:pPr>
        <w:fldSimple w:instr=" PAGE   \* MERGEFORMAT ">
          <w:r w:rsidR="0062526C">
            <w:rPr>
              <w:noProof/>
            </w:rPr>
            <w:t>4</w:t>
          </w:r>
        </w:fldSimple>
      </w:p>
      <w:p w:rsidR="009D524C" w:rsidRDefault="009D524C" w:rsidP="009D524C">
        <w:pPr>
          <w:pStyle w:val="NoSpacing"/>
          <w:ind w:left="7920"/>
        </w:pPr>
        <w:r>
          <w:t xml:space="preserve">      HB 105/19</w:t>
        </w:r>
      </w:p>
      <w:p w:rsidR="009D524C" w:rsidRDefault="009D524C" w:rsidP="009D524C">
        <w:pPr>
          <w:pStyle w:val="NoSpacing"/>
          <w:ind w:left="7920"/>
        </w:pPr>
        <w:r>
          <w:t xml:space="preserve">      HC 890/17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62EC"/>
    <w:multiLevelType w:val="hybridMultilevel"/>
    <w:tmpl w:val="DC343DFA"/>
    <w:lvl w:ilvl="0" w:tplc="98464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DF74BA"/>
    <w:multiLevelType w:val="hybridMultilevel"/>
    <w:tmpl w:val="F5401F3A"/>
    <w:lvl w:ilvl="0" w:tplc="F4DC5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5B75E1"/>
    <w:multiLevelType w:val="hybridMultilevel"/>
    <w:tmpl w:val="23EA0DFA"/>
    <w:lvl w:ilvl="0" w:tplc="663EB8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327C"/>
    <w:rsid w:val="000503BA"/>
    <w:rsid w:val="00071147"/>
    <w:rsid w:val="000A5B52"/>
    <w:rsid w:val="0012266A"/>
    <w:rsid w:val="00125720"/>
    <w:rsid w:val="00133EC1"/>
    <w:rsid w:val="00150877"/>
    <w:rsid w:val="00164527"/>
    <w:rsid w:val="00170C2C"/>
    <w:rsid w:val="001852FB"/>
    <w:rsid w:val="0019701F"/>
    <w:rsid w:val="001D126B"/>
    <w:rsid w:val="00201219"/>
    <w:rsid w:val="002036E2"/>
    <w:rsid w:val="0022490F"/>
    <w:rsid w:val="002C7F8A"/>
    <w:rsid w:val="002F42C5"/>
    <w:rsid w:val="00341A7E"/>
    <w:rsid w:val="003A3365"/>
    <w:rsid w:val="003C2222"/>
    <w:rsid w:val="003E0405"/>
    <w:rsid w:val="003E5BAA"/>
    <w:rsid w:val="003E7536"/>
    <w:rsid w:val="0042643B"/>
    <w:rsid w:val="00455084"/>
    <w:rsid w:val="00477B02"/>
    <w:rsid w:val="00480289"/>
    <w:rsid w:val="00484ACB"/>
    <w:rsid w:val="004F061B"/>
    <w:rsid w:val="00512850"/>
    <w:rsid w:val="005245B5"/>
    <w:rsid w:val="0054317D"/>
    <w:rsid w:val="00543E20"/>
    <w:rsid w:val="00596225"/>
    <w:rsid w:val="005D68B9"/>
    <w:rsid w:val="0062526C"/>
    <w:rsid w:val="006327F0"/>
    <w:rsid w:val="0068662E"/>
    <w:rsid w:val="006A03C9"/>
    <w:rsid w:val="00701C30"/>
    <w:rsid w:val="0073327C"/>
    <w:rsid w:val="00766056"/>
    <w:rsid w:val="007B49A6"/>
    <w:rsid w:val="007D0B26"/>
    <w:rsid w:val="007D2790"/>
    <w:rsid w:val="00822DB1"/>
    <w:rsid w:val="00891C5F"/>
    <w:rsid w:val="008A7672"/>
    <w:rsid w:val="008C0E1F"/>
    <w:rsid w:val="008C3209"/>
    <w:rsid w:val="009009E6"/>
    <w:rsid w:val="0098212F"/>
    <w:rsid w:val="009D524C"/>
    <w:rsid w:val="009E5C1A"/>
    <w:rsid w:val="00A10D57"/>
    <w:rsid w:val="00A152E1"/>
    <w:rsid w:val="00A229D9"/>
    <w:rsid w:val="00A452F0"/>
    <w:rsid w:val="00A50BC8"/>
    <w:rsid w:val="00A7381C"/>
    <w:rsid w:val="00A8615F"/>
    <w:rsid w:val="00AA27B2"/>
    <w:rsid w:val="00AD3D53"/>
    <w:rsid w:val="00B121EB"/>
    <w:rsid w:val="00B52E45"/>
    <w:rsid w:val="00B72C3F"/>
    <w:rsid w:val="00C61900"/>
    <w:rsid w:val="00C6719B"/>
    <w:rsid w:val="00CB2188"/>
    <w:rsid w:val="00CE7916"/>
    <w:rsid w:val="00D01517"/>
    <w:rsid w:val="00D20B4C"/>
    <w:rsid w:val="00D86FB9"/>
    <w:rsid w:val="00D94B8F"/>
    <w:rsid w:val="00DE6155"/>
    <w:rsid w:val="00E10955"/>
    <w:rsid w:val="00E10C27"/>
    <w:rsid w:val="00F05000"/>
    <w:rsid w:val="00F06051"/>
    <w:rsid w:val="00F31E29"/>
    <w:rsid w:val="00F53603"/>
    <w:rsid w:val="00F56CB6"/>
    <w:rsid w:val="00F927BA"/>
    <w:rsid w:val="00FC55EB"/>
    <w:rsid w:val="00FD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73327C"/>
    <w:pPr>
      <w:ind w:left="720"/>
      <w:contextualSpacing/>
    </w:pPr>
  </w:style>
  <w:style w:type="paragraph" w:styleId="Header">
    <w:name w:val="header"/>
    <w:basedOn w:val="Normal"/>
    <w:link w:val="HeaderChar"/>
    <w:uiPriority w:val="99"/>
    <w:unhideWhenUsed/>
    <w:rsid w:val="009D52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524C"/>
    <w:rPr>
      <w:rFonts w:ascii="Times New Roman" w:hAnsi="Times New Roman"/>
      <w:sz w:val="24"/>
    </w:rPr>
  </w:style>
  <w:style w:type="paragraph" w:styleId="Footer">
    <w:name w:val="footer"/>
    <w:basedOn w:val="Normal"/>
    <w:link w:val="FooterChar"/>
    <w:uiPriority w:val="99"/>
    <w:semiHidden/>
    <w:unhideWhenUsed/>
    <w:rsid w:val="009D524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D524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2019-07-09T13:24:00Z</cp:lastPrinted>
  <dcterms:created xsi:type="dcterms:W3CDTF">2019-07-04T06:55:00Z</dcterms:created>
  <dcterms:modified xsi:type="dcterms:W3CDTF">2019-07-09T13:25:00Z</dcterms:modified>
</cp:coreProperties>
</file>