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331" w:rsidRPr="00967746" w:rsidRDefault="00011E92" w:rsidP="001B1331">
      <w:pPr>
        <w:spacing w:after="0" w:line="240" w:lineRule="auto"/>
        <w:rPr>
          <w:rFonts w:ascii="Times New Roman" w:hAnsi="Times New Roman" w:cs="Times New Roman"/>
          <w:b/>
          <w:sz w:val="24"/>
          <w:szCs w:val="24"/>
        </w:rPr>
      </w:pPr>
      <w:r w:rsidRPr="00967746">
        <w:rPr>
          <w:rFonts w:ascii="Times New Roman" w:hAnsi="Times New Roman" w:cs="Times New Roman"/>
          <w:b/>
          <w:sz w:val="24"/>
          <w:szCs w:val="24"/>
          <w:u w:val="single"/>
        </w:rPr>
        <w:t>REPORTABLE</w:t>
      </w:r>
      <w:r w:rsidR="00967746" w:rsidRPr="00967746">
        <w:rPr>
          <w:rFonts w:ascii="Times New Roman" w:hAnsi="Times New Roman" w:cs="Times New Roman"/>
          <w:b/>
          <w:sz w:val="24"/>
          <w:szCs w:val="24"/>
        </w:rPr>
        <w:t xml:space="preserve">  </w:t>
      </w:r>
      <w:r w:rsidRPr="00967746">
        <w:rPr>
          <w:rFonts w:ascii="Times New Roman" w:hAnsi="Times New Roman" w:cs="Times New Roman"/>
          <w:b/>
          <w:sz w:val="24"/>
          <w:szCs w:val="24"/>
        </w:rPr>
        <w:t>(</w:t>
      </w:r>
      <w:r w:rsidR="00967746" w:rsidRPr="00967746">
        <w:rPr>
          <w:rFonts w:ascii="Times New Roman" w:hAnsi="Times New Roman" w:cs="Times New Roman"/>
          <w:b/>
          <w:sz w:val="24"/>
          <w:szCs w:val="24"/>
        </w:rPr>
        <w:t>46</w:t>
      </w:r>
      <w:r w:rsidRPr="00967746">
        <w:rPr>
          <w:rFonts w:ascii="Times New Roman" w:hAnsi="Times New Roman" w:cs="Times New Roman"/>
          <w:b/>
          <w:sz w:val="24"/>
          <w:szCs w:val="24"/>
        </w:rPr>
        <w:t>)</w:t>
      </w:r>
      <w:r w:rsidR="0092548D" w:rsidRPr="00967746">
        <w:rPr>
          <w:rFonts w:ascii="Times New Roman" w:hAnsi="Times New Roman" w:cs="Times New Roman"/>
          <w:b/>
          <w:sz w:val="24"/>
          <w:szCs w:val="24"/>
        </w:rPr>
        <w:t xml:space="preserve"> </w:t>
      </w:r>
    </w:p>
    <w:p w:rsidR="00086C3B" w:rsidRPr="00967746" w:rsidRDefault="00086C3B" w:rsidP="001B1331">
      <w:pPr>
        <w:spacing w:after="0" w:line="240" w:lineRule="auto"/>
        <w:rPr>
          <w:rFonts w:ascii="Times New Roman" w:hAnsi="Times New Roman" w:cs="Times New Roman"/>
          <w:b/>
          <w:sz w:val="24"/>
          <w:szCs w:val="24"/>
        </w:rPr>
      </w:pPr>
    </w:p>
    <w:p w:rsidR="00474D08" w:rsidRPr="00967746" w:rsidRDefault="00474D08" w:rsidP="001B1331">
      <w:pPr>
        <w:spacing w:after="0" w:line="240" w:lineRule="auto"/>
        <w:rPr>
          <w:rFonts w:ascii="Times New Roman" w:hAnsi="Times New Roman" w:cs="Times New Roman"/>
          <w:b/>
          <w:sz w:val="24"/>
          <w:szCs w:val="24"/>
          <w:u w:val="single"/>
        </w:rPr>
      </w:pPr>
    </w:p>
    <w:p w:rsidR="001B1331" w:rsidRPr="00967746" w:rsidRDefault="001B1331" w:rsidP="004339B1">
      <w:pPr>
        <w:spacing w:after="0" w:line="240" w:lineRule="auto"/>
        <w:jc w:val="center"/>
        <w:rPr>
          <w:rFonts w:ascii="Times New Roman" w:hAnsi="Times New Roman" w:cs="Times New Roman"/>
          <w:b/>
          <w:sz w:val="24"/>
          <w:szCs w:val="24"/>
        </w:rPr>
      </w:pPr>
    </w:p>
    <w:p w:rsidR="00C202C6" w:rsidRPr="00967746" w:rsidRDefault="00D32359" w:rsidP="000F3BD7">
      <w:pPr>
        <w:spacing w:after="0" w:line="276" w:lineRule="auto"/>
        <w:jc w:val="center"/>
        <w:rPr>
          <w:rFonts w:ascii="Times New Roman" w:hAnsi="Times New Roman" w:cs="Times New Roman"/>
          <w:b/>
          <w:sz w:val="24"/>
          <w:szCs w:val="24"/>
        </w:rPr>
      </w:pPr>
      <w:r w:rsidRPr="00967746">
        <w:rPr>
          <w:rFonts w:ascii="Times New Roman" w:hAnsi="Times New Roman" w:cs="Times New Roman"/>
          <w:b/>
          <w:sz w:val="24"/>
          <w:szCs w:val="24"/>
        </w:rPr>
        <w:t>CHARLES     MWALE</w:t>
      </w:r>
    </w:p>
    <w:p w:rsidR="003857DE" w:rsidRPr="00967746" w:rsidRDefault="003857DE" w:rsidP="000F3BD7">
      <w:pPr>
        <w:spacing w:after="0" w:line="276" w:lineRule="auto"/>
        <w:jc w:val="center"/>
        <w:rPr>
          <w:rFonts w:ascii="Times New Roman" w:hAnsi="Times New Roman" w:cs="Times New Roman"/>
          <w:b/>
          <w:sz w:val="24"/>
          <w:szCs w:val="24"/>
        </w:rPr>
      </w:pPr>
      <w:r w:rsidRPr="00967746">
        <w:rPr>
          <w:rFonts w:ascii="Times New Roman" w:hAnsi="Times New Roman" w:cs="Times New Roman"/>
          <w:b/>
          <w:sz w:val="24"/>
          <w:szCs w:val="24"/>
        </w:rPr>
        <w:t>v</w:t>
      </w:r>
    </w:p>
    <w:p w:rsidR="003857DE" w:rsidRPr="00967746" w:rsidRDefault="00D32359" w:rsidP="000F3BD7">
      <w:pPr>
        <w:spacing w:after="0" w:line="276" w:lineRule="auto"/>
        <w:jc w:val="center"/>
        <w:rPr>
          <w:rFonts w:ascii="Times New Roman" w:hAnsi="Times New Roman" w:cs="Times New Roman"/>
          <w:b/>
          <w:sz w:val="24"/>
          <w:szCs w:val="24"/>
        </w:rPr>
      </w:pPr>
      <w:r w:rsidRPr="00967746">
        <w:rPr>
          <w:rFonts w:ascii="Times New Roman" w:hAnsi="Times New Roman" w:cs="Times New Roman"/>
          <w:b/>
          <w:sz w:val="24"/>
          <w:szCs w:val="24"/>
        </w:rPr>
        <w:t>THE     STATE</w:t>
      </w:r>
    </w:p>
    <w:p w:rsidR="004339B1" w:rsidRPr="00967746" w:rsidRDefault="004339B1" w:rsidP="004339B1">
      <w:pPr>
        <w:spacing w:after="0" w:line="480" w:lineRule="auto"/>
        <w:jc w:val="both"/>
        <w:rPr>
          <w:rFonts w:ascii="Times New Roman" w:hAnsi="Times New Roman" w:cs="Times New Roman"/>
          <w:sz w:val="24"/>
          <w:szCs w:val="24"/>
        </w:rPr>
      </w:pPr>
      <w:bookmarkStart w:id="0" w:name="_GoBack"/>
      <w:bookmarkEnd w:id="0"/>
    </w:p>
    <w:p w:rsidR="000F3BD7" w:rsidRPr="00967746" w:rsidRDefault="000F3BD7" w:rsidP="004339B1">
      <w:pPr>
        <w:spacing w:after="0" w:line="480" w:lineRule="auto"/>
        <w:jc w:val="both"/>
        <w:rPr>
          <w:rFonts w:ascii="Times New Roman" w:hAnsi="Times New Roman" w:cs="Times New Roman"/>
          <w:sz w:val="24"/>
          <w:szCs w:val="24"/>
        </w:rPr>
      </w:pPr>
    </w:p>
    <w:p w:rsidR="004339B1" w:rsidRPr="00967746" w:rsidRDefault="004339B1" w:rsidP="004339B1">
      <w:pPr>
        <w:spacing w:after="0" w:line="240" w:lineRule="auto"/>
        <w:jc w:val="both"/>
        <w:rPr>
          <w:rFonts w:ascii="Times New Roman" w:hAnsi="Times New Roman" w:cs="Times New Roman"/>
          <w:b/>
          <w:sz w:val="24"/>
          <w:szCs w:val="24"/>
        </w:rPr>
      </w:pPr>
      <w:r w:rsidRPr="00967746">
        <w:rPr>
          <w:rFonts w:ascii="Times New Roman" w:hAnsi="Times New Roman" w:cs="Times New Roman"/>
          <w:b/>
          <w:sz w:val="24"/>
          <w:szCs w:val="24"/>
        </w:rPr>
        <w:t>SUPREME COURT OF ZIMBABWE</w:t>
      </w:r>
      <w:r w:rsidR="00465170" w:rsidRPr="00967746">
        <w:rPr>
          <w:rFonts w:ascii="Times New Roman" w:hAnsi="Times New Roman" w:cs="Times New Roman"/>
          <w:b/>
          <w:sz w:val="24"/>
          <w:szCs w:val="24"/>
        </w:rPr>
        <w:t xml:space="preserve"> </w:t>
      </w:r>
    </w:p>
    <w:p w:rsidR="004339B1" w:rsidRPr="00967746" w:rsidRDefault="00D32359" w:rsidP="004339B1">
      <w:pPr>
        <w:spacing w:after="0" w:line="240" w:lineRule="auto"/>
        <w:jc w:val="both"/>
        <w:rPr>
          <w:rFonts w:ascii="Times New Roman" w:hAnsi="Times New Roman" w:cs="Times New Roman"/>
          <w:b/>
          <w:sz w:val="24"/>
          <w:szCs w:val="24"/>
        </w:rPr>
      </w:pPr>
      <w:r w:rsidRPr="00967746">
        <w:rPr>
          <w:rFonts w:ascii="Times New Roman" w:hAnsi="Times New Roman" w:cs="Times New Roman"/>
          <w:b/>
          <w:sz w:val="24"/>
          <w:szCs w:val="24"/>
        </w:rPr>
        <w:t xml:space="preserve">MAVANGIRA JA, MATHONSI JA &amp; </w:t>
      </w:r>
      <w:r w:rsidR="00FA4893" w:rsidRPr="00967746">
        <w:rPr>
          <w:rFonts w:ascii="Times New Roman" w:hAnsi="Times New Roman" w:cs="Times New Roman"/>
          <w:b/>
          <w:sz w:val="24"/>
          <w:szCs w:val="24"/>
        </w:rPr>
        <w:t>KUD</w:t>
      </w:r>
      <w:r w:rsidRPr="00967746">
        <w:rPr>
          <w:rFonts w:ascii="Times New Roman" w:hAnsi="Times New Roman" w:cs="Times New Roman"/>
          <w:b/>
          <w:sz w:val="24"/>
          <w:szCs w:val="24"/>
        </w:rPr>
        <w:t>YA AJA</w:t>
      </w:r>
    </w:p>
    <w:p w:rsidR="004339B1" w:rsidRPr="00967746" w:rsidRDefault="004339B1" w:rsidP="004339B1">
      <w:pPr>
        <w:spacing w:after="0" w:line="240" w:lineRule="auto"/>
        <w:jc w:val="both"/>
        <w:rPr>
          <w:rFonts w:ascii="Times New Roman" w:hAnsi="Times New Roman" w:cs="Times New Roman"/>
          <w:b/>
          <w:sz w:val="24"/>
          <w:szCs w:val="24"/>
        </w:rPr>
      </w:pPr>
      <w:r w:rsidRPr="00967746">
        <w:rPr>
          <w:rFonts w:ascii="Times New Roman" w:hAnsi="Times New Roman" w:cs="Times New Roman"/>
          <w:b/>
          <w:sz w:val="24"/>
          <w:szCs w:val="24"/>
        </w:rPr>
        <w:t xml:space="preserve">HARARE: </w:t>
      </w:r>
      <w:r w:rsidR="00593B39" w:rsidRPr="00967746">
        <w:rPr>
          <w:rFonts w:ascii="Times New Roman" w:hAnsi="Times New Roman" w:cs="Times New Roman"/>
          <w:b/>
          <w:sz w:val="24"/>
          <w:szCs w:val="24"/>
        </w:rPr>
        <w:t xml:space="preserve">MARCH 19, 2021 &amp; MAY 17, 2021 </w:t>
      </w:r>
    </w:p>
    <w:p w:rsidR="004339B1" w:rsidRPr="00967746" w:rsidRDefault="004339B1" w:rsidP="004339B1">
      <w:pPr>
        <w:tabs>
          <w:tab w:val="left" w:pos="8145"/>
        </w:tabs>
        <w:spacing w:after="0" w:line="240" w:lineRule="auto"/>
        <w:jc w:val="both"/>
        <w:rPr>
          <w:rFonts w:ascii="Times New Roman" w:hAnsi="Times New Roman" w:cs="Times New Roman"/>
          <w:b/>
          <w:sz w:val="24"/>
          <w:szCs w:val="24"/>
        </w:rPr>
      </w:pPr>
      <w:r w:rsidRPr="00967746">
        <w:rPr>
          <w:rFonts w:ascii="Times New Roman" w:hAnsi="Times New Roman" w:cs="Times New Roman"/>
          <w:b/>
          <w:sz w:val="24"/>
          <w:szCs w:val="24"/>
        </w:rPr>
        <w:tab/>
      </w:r>
    </w:p>
    <w:p w:rsidR="004339B1" w:rsidRPr="00967746" w:rsidRDefault="004339B1" w:rsidP="004339B1">
      <w:pPr>
        <w:spacing w:after="0" w:line="480" w:lineRule="auto"/>
        <w:jc w:val="both"/>
        <w:rPr>
          <w:rFonts w:ascii="Times New Roman" w:hAnsi="Times New Roman" w:cs="Times New Roman"/>
          <w:sz w:val="24"/>
          <w:szCs w:val="24"/>
        </w:rPr>
      </w:pPr>
    </w:p>
    <w:p w:rsidR="004339B1" w:rsidRPr="00967746" w:rsidRDefault="00D32359" w:rsidP="00967746">
      <w:pPr>
        <w:spacing w:after="0" w:line="480" w:lineRule="auto"/>
        <w:jc w:val="both"/>
        <w:rPr>
          <w:rFonts w:ascii="Times New Roman" w:hAnsi="Times New Roman" w:cs="Times New Roman"/>
          <w:sz w:val="24"/>
          <w:szCs w:val="24"/>
        </w:rPr>
      </w:pPr>
      <w:r w:rsidRPr="00967746">
        <w:rPr>
          <w:rFonts w:ascii="Times New Roman" w:hAnsi="Times New Roman" w:cs="Times New Roman"/>
          <w:i/>
          <w:sz w:val="24"/>
          <w:szCs w:val="24"/>
        </w:rPr>
        <w:t>K. Siyeba</w:t>
      </w:r>
      <w:r w:rsidR="004339B1" w:rsidRPr="00967746">
        <w:rPr>
          <w:rFonts w:ascii="Times New Roman" w:hAnsi="Times New Roman" w:cs="Times New Roman"/>
          <w:sz w:val="24"/>
          <w:szCs w:val="24"/>
        </w:rPr>
        <w:t xml:space="preserve">, for the </w:t>
      </w:r>
      <w:r w:rsidR="00F35B45" w:rsidRPr="00967746">
        <w:rPr>
          <w:rFonts w:ascii="Times New Roman" w:hAnsi="Times New Roman" w:cs="Times New Roman"/>
          <w:sz w:val="24"/>
          <w:szCs w:val="24"/>
        </w:rPr>
        <w:t>A</w:t>
      </w:r>
      <w:r w:rsidR="004339B1" w:rsidRPr="00967746">
        <w:rPr>
          <w:rFonts w:ascii="Times New Roman" w:hAnsi="Times New Roman" w:cs="Times New Roman"/>
          <w:sz w:val="24"/>
          <w:szCs w:val="24"/>
        </w:rPr>
        <w:t>pp</w:t>
      </w:r>
      <w:r w:rsidR="00281932" w:rsidRPr="00967746">
        <w:rPr>
          <w:rFonts w:ascii="Times New Roman" w:hAnsi="Times New Roman" w:cs="Times New Roman"/>
          <w:sz w:val="24"/>
          <w:szCs w:val="24"/>
        </w:rPr>
        <w:t xml:space="preserve">ellant </w:t>
      </w:r>
      <w:r w:rsidR="004339B1" w:rsidRPr="00967746">
        <w:rPr>
          <w:rFonts w:ascii="Times New Roman" w:hAnsi="Times New Roman" w:cs="Times New Roman"/>
          <w:sz w:val="24"/>
          <w:szCs w:val="24"/>
        </w:rPr>
        <w:t xml:space="preserve"> </w:t>
      </w:r>
    </w:p>
    <w:p w:rsidR="004339B1" w:rsidRPr="00967746" w:rsidRDefault="00D32359" w:rsidP="00967746">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 xml:space="preserve">Ms </w:t>
      </w:r>
      <w:r w:rsidRPr="00967746">
        <w:rPr>
          <w:rFonts w:ascii="Times New Roman" w:hAnsi="Times New Roman" w:cs="Times New Roman"/>
          <w:i/>
          <w:sz w:val="24"/>
          <w:szCs w:val="24"/>
        </w:rPr>
        <w:t>K. Kunaka</w:t>
      </w:r>
      <w:r w:rsidR="003857DE" w:rsidRPr="00967746">
        <w:rPr>
          <w:rFonts w:ascii="Times New Roman" w:hAnsi="Times New Roman" w:cs="Times New Roman"/>
          <w:sz w:val="24"/>
          <w:szCs w:val="24"/>
        </w:rPr>
        <w:t>, for the</w:t>
      </w:r>
      <w:r w:rsidR="00F35B45" w:rsidRPr="00967746">
        <w:rPr>
          <w:rFonts w:ascii="Times New Roman" w:hAnsi="Times New Roman" w:cs="Times New Roman"/>
          <w:sz w:val="24"/>
          <w:szCs w:val="24"/>
        </w:rPr>
        <w:t xml:space="preserve"> R</w:t>
      </w:r>
      <w:r w:rsidR="004339B1" w:rsidRPr="00967746">
        <w:rPr>
          <w:rFonts w:ascii="Times New Roman" w:hAnsi="Times New Roman" w:cs="Times New Roman"/>
          <w:sz w:val="24"/>
          <w:szCs w:val="24"/>
        </w:rPr>
        <w:t>espondent</w:t>
      </w:r>
    </w:p>
    <w:p w:rsidR="004339B1" w:rsidRPr="00967746" w:rsidRDefault="004339B1" w:rsidP="004339B1">
      <w:pPr>
        <w:spacing w:after="0" w:line="360" w:lineRule="auto"/>
        <w:jc w:val="both"/>
        <w:rPr>
          <w:rFonts w:ascii="Times New Roman" w:hAnsi="Times New Roman" w:cs="Times New Roman"/>
          <w:sz w:val="24"/>
          <w:szCs w:val="24"/>
        </w:rPr>
      </w:pPr>
    </w:p>
    <w:p w:rsidR="004339B1" w:rsidRPr="00967746" w:rsidRDefault="00281932" w:rsidP="004339B1">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 xml:space="preserve"> </w:t>
      </w:r>
    </w:p>
    <w:p w:rsidR="00973260" w:rsidRPr="00967746" w:rsidRDefault="004339B1" w:rsidP="00D32359">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b/>
          <w:sz w:val="24"/>
          <w:szCs w:val="24"/>
        </w:rPr>
        <w:t>MATHONSI JA</w:t>
      </w:r>
      <w:r w:rsidRPr="00967746">
        <w:rPr>
          <w:rFonts w:ascii="Times New Roman" w:hAnsi="Times New Roman" w:cs="Times New Roman"/>
          <w:sz w:val="24"/>
          <w:szCs w:val="24"/>
        </w:rPr>
        <w:t xml:space="preserve">: </w:t>
      </w:r>
      <w:r w:rsidRPr="00967746">
        <w:rPr>
          <w:rFonts w:ascii="Times New Roman" w:hAnsi="Times New Roman" w:cs="Times New Roman"/>
          <w:sz w:val="24"/>
          <w:szCs w:val="24"/>
        </w:rPr>
        <w:tab/>
      </w:r>
      <w:r w:rsidR="001F18B3" w:rsidRPr="00967746">
        <w:rPr>
          <w:rFonts w:ascii="Times New Roman" w:hAnsi="Times New Roman" w:cs="Times New Roman"/>
          <w:sz w:val="24"/>
          <w:szCs w:val="24"/>
        </w:rPr>
        <w:t>This is an automatic appeal against conviction and the sentence of death imposed on the appellant by the High Court on 30 July 2020 following his conviction of murder with actual intent.</w:t>
      </w:r>
    </w:p>
    <w:p w:rsidR="001F18B3" w:rsidRPr="00967746" w:rsidRDefault="001F18B3" w:rsidP="001F18B3">
      <w:pPr>
        <w:spacing w:after="0" w:line="480" w:lineRule="auto"/>
        <w:jc w:val="both"/>
        <w:rPr>
          <w:rFonts w:ascii="Times New Roman" w:hAnsi="Times New Roman" w:cs="Times New Roman"/>
          <w:sz w:val="24"/>
          <w:szCs w:val="24"/>
        </w:rPr>
      </w:pPr>
    </w:p>
    <w:p w:rsidR="001F18B3" w:rsidRPr="00967746" w:rsidRDefault="007F05D7" w:rsidP="001F18B3">
      <w:pPr>
        <w:spacing w:after="0" w:line="480" w:lineRule="auto"/>
        <w:jc w:val="both"/>
        <w:rPr>
          <w:rFonts w:ascii="Times New Roman" w:hAnsi="Times New Roman" w:cs="Times New Roman"/>
          <w:b/>
          <w:sz w:val="24"/>
          <w:szCs w:val="24"/>
          <w:u w:val="single"/>
        </w:rPr>
      </w:pPr>
      <w:r w:rsidRPr="00967746">
        <w:rPr>
          <w:rFonts w:ascii="Times New Roman" w:hAnsi="Times New Roman" w:cs="Times New Roman"/>
          <w:b/>
          <w:sz w:val="24"/>
          <w:szCs w:val="24"/>
          <w:u w:val="single"/>
        </w:rPr>
        <w:t>THE FACTS</w:t>
      </w:r>
    </w:p>
    <w:p w:rsidR="001F18B3" w:rsidRPr="00967746" w:rsidRDefault="001F18B3" w:rsidP="001F18B3">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The facts of the matter are generally common cause. At the time that he met his death Stephen Matiza (the deceased) was aged 49 years while the appellant was 25 years old.</w:t>
      </w:r>
    </w:p>
    <w:p w:rsidR="007F05D7" w:rsidRPr="00967746" w:rsidRDefault="007F05D7" w:rsidP="001F18B3">
      <w:pPr>
        <w:spacing w:after="0" w:line="480" w:lineRule="auto"/>
        <w:jc w:val="both"/>
        <w:rPr>
          <w:rFonts w:ascii="Times New Roman" w:hAnsi="Times New Roman" w:cs="Times New Roman"/>
          <w:sz w:val="24"/>
          <w:szCs w:val="24"/>
        </w:rPr>
      </w:pPr>
    </w:p>
    <w:p w:rsidR="001F18B3" w:rsidRPr="00967746" w:rsidRDefault="001F18B3" w:rsidP="001F18B3">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On 30 October 2018 the deceased was in the company of the appellant and Enock Siliya while they were drinking alcohol at Margie B</w:t>
      </w:r>
      <w:r w:rsidR="00D66850" w:rsidRPr="00967746">
        <w:rPr>
          <w:rFonts w:ascii="Times New Roman" w:hAnsi="Times New Roman" w:cs="Times New Roman"/>
          <w:sz w:val="24"/>
          <w:szCs w:val="24"/>
        </w:rPr>
        <w:t>anda</w:t>
      </w:r>
      <w:r w:rsidRPr="00967746">
        <w:rPr>
          <w:rFonts w:ascii="Times New Roman" w:hAnsi="Times New Roman" w:cs="Times New Roman"/>
          <w:sz w:val="24"/>
          <w:szCs w:val="24"/>
        </w:rPr>
        <w:t>’s house loca</w:t>
      </w:r>
      <w:r w:rsidR="00FA4893" w:rsidRPr="00967746">
        <w:rPr>
          <w:rFonts w:ascii="Times New Roman" w:hAnsi="Times New Roman" w:cs="Times New Roman"/>
          <w:sz w:val="24"/>
          <w:szCs w:val="24"/>
        </w:rPr>
        <w:t>ted at a compound at Deru</w:t>
      </w:r>
      <w:r w:rsidRPr="00967746">
        <w:rPr>
          <w:rFonts w:ascii="Times New Roman" w:hAnsi="Times New Roman" w:cs="Times New Roman"/>
          <w:sz w:val="24"/>
          <w:szCs w:val="24"/>
        </w:rPr>
        <w:t xml:space="preserve">s </w:t>
      </w:r>
      <w:r w:rsidRPr="00967746">
        <w:rPr>
          <w:rFonts w:ascii="Times New Roman" w:hAnsi="Times New Roman" w:cs="Times New Roman"/>
          <w:sz w:val="24"/>
          <w:szCs w:val="24"/>
        </w:rPr>
        <w:lastRenderedPageBreak/>
        <w:t xml:space="preserve">Farm in Chegutu. At about 2000 hours the three of them decided to call it a day </w:t>
      </w:r>
      <w:r w:rsidR="00D66850" w:rsidRPr="00967746">
        <w:rPr>
          <w:rFonts w:ascii="Times New Roman" w:hAnsi="Times New Roman" w:cs="Times New Roman"/>
          <w:sz w:val="24"/>
          <w:szCs w:val="24"/>
        </w:rPr>
        <w:t>and left the drinking place heading to their homes. Enock Siliya was the first to get to his homestead and when the trio were at his home, the appellant a</w:t>
      </w:r>
      <w:r w:rsidR="00FA4893" w:rsidRPr="00967746">
        <w:rPr>
          <w:rFonts w:ascii="Times New Roman" w:hAnsi="Times New Roman" w:cs="Times New Roman"/>
          <w:sz w:val="24"/>
          <w:szCs w:val="24"/>
        </w:rPr>
        <w:t>sked for an iron bar ostensibly</w:t>
      </w:r>
      <w:r w:rsidR="00D66850" w:rsidRPr="00967746">
        <w:rPr>
          <w:rFonts w:ascii="Times New Roman" w:hAnsi="Times New Roman" w:cs="Times New Roman"/>
          <w:sz w:val="24"/>
          <w:szCs w:val="24"/>
        </w:rPr>
        <w:t xml:space="preserve"> for use as an object of self defence given that himself and the deceased were proceeding further to their homes through the night.</w:t>
      </w:r>
    </w:p>
    <w:p w:rsidR="00D66850" w:rsidRPr="00967746" w:rsidRDefault="00D66850" w:rsidP="001F18B3">
      <w:pPr>
        <w:spacing w:after="0" w:line="480" w:lineRule="auto"/>
        <w:ind w:firstLine="1440"/>
        <w:jc w:val="both"/>
        <w:rPr>
          <w:rFonts w:ascii="Times New Roman" w:hAnsi="Times New Roman" w:cs="Times New Roman"/>
          <w:sz w:val="24"/>
          <w:szCs w:val="24"/>
        </w:rPr>
      </w:pPr>
    </w:p>
    <w:p w:rsidR="003E2129" w:rsidRPr="00967746" w:rsidRDefault="00D66850" w:rsidP="001F18B3">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Once he was armed with the iron bar, the appellant rushed to catch up with </w:t>
      </w:r>
      <w:r w:rsidR="009D1088" w:rsidRPr="00967746">
        <w:rPr>
          <w:rFonts w:ascii="Times New Roman" w:hAnsi="Times New Roman" w:cs="Times New Roman"/>
          <w:sz w:val="24"/>
          <w:szCs w:val="24"/>
        </w:rPr>
        <w:t>the deceased who had continued pushing his red mountain bicycle proceeding home. The two of them walked along a path passing through a bushy area and as they approached a built up area, the appellant struck the deceased several times on the head with the iron bar forcing th</w:t>
      </w:r>
      <w:r w:rsidR="00FA4893" w:rsidRPr="00967746">
        <w:rPr>
          <w:rFonts w:ascii="Times New Roman" w:hAnsi="Times New Roman" w:cs="Times New Roman"/>
          <w:sz w:val="24"/>
          <w:szCs w:val="24"/>
        </w:rPr>
        <w:t>e deceased to stagger before fal</w:t>
      </w:r>
      <w:r w:rsidR="009D1088" w:rsidRPr="00967746">
        <w:rPr>
          <w:rFonts w:ascii="Times New Roman" w:hAnsi="Times New Roman" w:cs="Times New Roman"/>
          <w:sz w:val="24"/>
          <w:szCs w:val="24"/>
        </w:rPr>
        <w:t>ling to the ground. In doing so the appellant inflicted injuries from which the deceased later died.</w:t>
      </w:r>
    </w:p>
    <w:p w:rsidR="003E2129" w:rsidRPr="00967746" w:rsidRDefault="003E2129" w:rsidP="001F18B3">
      <w:pPr>
        <w:spacing w:after="0" w:line="480" w:lineRule="auto"/>
        <w:ind w:firstLine="1440"/>
        <w:jc w:val="both"/>
        <w:rPr>
          <w:rFonts w:ascii="Times New Roman" w:hAnsi="Times New Roman" w:cs="Times New Roman"/>
          <w:sz w:val="24"/>
          <w:szCs w:val="24"/>
        </w:rPr>
      </w:pPr>
    </w:p>
    <w:p w:rsidR="003E2129" w:rsidRPr="00967746" w:rsidRDefault="003E2129" w:rsidP="001F18B3">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The appellant robbed the deceased of his red mountain bicycle and black </w:t>
      </w:r>
      <w:r w:rsidR="00FA4893" w:rsidRPr="00967746">
        <w:rPr>
          <w:rFonts w:ascii="Times New Roman" w:hAnsi="Times New Roman" w:cs="Times New Roman"/>
          <w:sz w:val="24"/>
          <w:szCs w:val="24"/>
        </w:rPr>
        <w:t xml:space="preserve">Microsoft </w:t>
      </w:r>
      <w:r w:rsidRPr="00967746">
        <w:rPr>
          <w:rFonts w:ascii="Times New Roman" w:hAnsi="Times New Roman" w:cs="Times New Roman"/>
          <w:sz w:val="24"/>
          <w:szCs w:val="24"/>
        </w:rPr>
        <w:t xml:space="preserve">cellphone. </w:t>
      </w:r>
      <w:r w:rsidR="001F0086" w:rsidRPr="00967746">
        <w:rPr>
          <w:rFonts w:ascii="Times New Roman" w:hAnsi="Times New Roman" w:cs="Times New Roman"/>
          <w:sz w:val="24"/>
          <w:szCs w:val="24"/>
        </w:rPr>
        <w:t>He left</w:t>
      </w:r>
      <w:r w:rsidRPr="00967746">
        <w:rPr>
          <w:rFonts w:ascii="Times New Roman" w:hAnsi="Times New Roman" w:cs="Times New Roman"/>
          <w:sz w:val="24"/>
          <w:szCs w:val="24"/>
        </w:rPr>
        <w:t xml:space="preserve"> the deceased battling for life in the bushy area, </w:t>
      </w:r>
      <w:r w:rsidR="001F0086" w:rsidRPr="00967746">
        <w:rPr>
          <w:rFonts w:ascii="Times New Roman" w:hAnsi="Times New Roman" w:cs="Times New Roman"/>
          <w:sz w:val="24"/>
          <w:szCs w:val="24"/>
        </w:rPr>
        <w:t>while he beat a hasty retreat from</w:t>
      </w:r>
      <w:r w:rsidRPr="00967746">
        <w:rPr>
          <w:rFonts w:ascii="Times New Roman" w:hAnsi="Times New Roman" w:cs="Times New Roman"/>
          <w:sz w:val="24"/>
          <w:szCs w:val="24"/>
        </w:rPr>
        <w:t xml:space="preserve"> the scene and proceeded to his house. As is usually the case where a crime has been committed, in his haste the appellant left his pair of slippers and the iron bar used to strike the deceased, lying at the scene of the attack.</w:t>
      </w:r>
    </w:p>
    <w:p w:rsidR="003E2129" w:rsidRPr="00967746" w:rsidRDefault="003E2129" w:rsidP="001F18B3">
      <w:pPr>
        <w:spacing w:after="0" w:line="480" w:lineRule="auto"/>
        <w:ind w:firstLine="1440"/>
        <w:jc w:val="both"/>
        <w:rPr>
          <w:rFonts w:ascii="Times New Roman" w:hAnsi="Times New Roman" w:cs="Times New Roman"/>
          <w:sz w:val="24"/>
          <w:szCs w:val="24"/>
        </w:rPr>
      </w:pPr>
    </w:p>
    <w:p w:rsidR="001F0086" w:rsidRPr="00967746" w:rsidRDefault="003E2129" w:rsidP="00967746">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Upon his arrest on 31 </w:t>
      </w:r>
      <w:r w:rsidR="008403C6" w:rsidRPr="00967746">
        <w:rPr>
          <w:rFonts w:ascii="Times New Roman" w:hAnsi="Times New Roman" w:cs="Times New Roman"/>
          <w:sz w:val="24"/>
          <w:szCs w:val="24"/>
        </w:rPr>
        <w:t>October</w:t>
      </w:r>
      <w:r w:rsidRPr="00967746">
        <w:rPr>
          <w:rFonts w:ascii="Times New Roman" w:hAnsi="Times New Roman" w:cs="Times New Roman"/>
          <w:sz w:val="24"/>
          <w:szCs w:val="24"/>
        </w:rPr>
        <w:t xml:space="preserve"> 2018 the a</w:t>
      </w:r>
      <w:r w:rsidR="00FA4893" w:rsidRPr="00967746">
        <w:rPr>
          <w:rFonts w:ascii="Times New Roman" w:hAnsi="Times New Roman" w:cs="Times New Roman"/>
          <w:sz w:val="24"/>
          <w:szCs w:val="24"/>
        </w:rPr>
        <w:t>ppellant</w:t>
      </w:r>
      <w:r w:rsidRPr="00967746">
        <w:rPr>
          <w:rFonts w:ascii="Times New Roman" w:hAnsi="Times New Roman" w:cs="Times New Roman"/>
          <w:sz w:val="24"/>
          <w:szCs w:val="24"/>
        </w:rPr>
        <w:t xml:space="preserve"> was found in possession of the deceased’s red mountain bicycle which he had loc</w:t>
      </w:r>
      <w:r w:rsidR="008403C6" w:rsidRPr="00967746">
        <w:rPr>
          <w:rFonts w:ascii="Times New Roman" w:hAnsi="Times New Roman" w:cs="Times New Roman"/>
          <w:sz w:val="24"/>
          <w:szCs w:val="24"/>
        </w:rPr>
        <w:t xml:space="preserve">ked in </w:t>
      </w:r>
      <w:r w:rsidRPr="00967746">
        <w:rPr>
          <w:rFonts w:ascii="Times New Roman" w:hAnsi="Times New Roman" w:cs="Times New Roman"/>
          <w:sz w:val="24"/>
          <w:szCs w:val="24"/>
        </w:rPr>
        <w:t>his house</w:t>
      </w:r>
      <w:r w:rsidR="00FA4893" w:rsidRPr="00967746">
        <w:rPr>
          <w:rFonts w:ascii="Times New Roman" w:hAnsi="Times New Roman" w:cs="Times New Roman"/>
          <w:sz w:val="24"/>
          <w:szCs w:val="24"/>
        </w:rPr>
        <w:t>,</w:t>
      </w:r>
      <w:r w:rsidRPr="00967746">
        <w:rPr>
          <w:rFonts w:ascii="Times New Roman" w:hAnsi="Times New Roman" w:cs="Times New Roman"/>
          <w:sz w:val="24"/>
          <w:szCs w:val="24"/>
        </w:rPr>
        <w:t xml:space="preserve"> the deceased’s Microsoft cellphone with buddie line 0784 441 181 and a pair of blood-stained</w:t>
      </w:r>
      <w:r w:rsidR="008403C6" w:rsidRPr="00967746">
        <w:rPr>
          <w:rFonts w:ascii="Times New Roman" w:hAnsi="Times New Roman" w:cs="Times New Roman"/>
          <w:sz w:val="24"/>
          <w:szCs w:val="24"/>
        </w:rPr>
        <w:t xml:space="preserve"> jeans. On</w:t>
      </w:r>
      <w:r w:rsidR="00FA4893" w:rsidRPr="00967746">
        <w:rPr>
          <w:rFonts w:ascii="Times New Roman" w:hAnsi="Times New Roman" w:cs="Times New Roman"/>
          <w:sz w:val="24"/>
          <w:szCs w:val="24"/>
        </w:rPr>
        <w:t xml:space="preserve"> </w:t>
      </w:r>
      <w:r w:rsidR="008403C6" w:rsidRPr="00967746">
        <w:rPr>
          <w:rFonts w:ascii="Times New Roman" w:hAnsi="Times New Roman" w:cs="Times New Roman"/>
          <w:sz w:val="24"/>
          <w:szCs w:val="24"/>
        </w:rPr>
        <w:t>1 November 2018 the appellant</w:t>
      </w:r>
      <w:r w:rsidR="009D1088" w:rsidRPr="00967746">
        <w:rPr>
          <w:rFonts w:ascii="Times New Roman" w:hAnsi="Times New Roman" w:cs="Times New Roman"/>
          <w:sz w:val="24"/>
          <w:szCs w:val="24"/>
        </w:rPr>
        <w:t xml:space="preserve"> </w:t>
      </w:r>
      <w:r w:rsidR="008403C6" w:rsidRPr="00967746">
        <w:rPr>
          <w:rFonts w:ascii="Times New Roman" w:hAnsi="Times New Roman" w:cs="Times New Roman"/>
          <w:sz w:val="24"/>
          <w:szCs w:val="24"/>
        </w:rPr>
        <w:t xml:space="preserve">gave a warned and cautioned statement to the police in Chegutu in which he admitted having caused the death of the deceased. </w:t>
      </w:r>
    </w:p>
    <w:p w:rsidR="00D66850" w:rsidRPr="00967746" w:rsidRDefault="008403C6" w:rsidP="001F18B3">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lastRenderedPageBreak/>
        <w:t xml:space="preserve">He gave a graphic account of how he had committed the </w:t>
      </w:r>
      <w:r w:rsidR="007F05D7" w:rsidRPr="00967746">
        <w:rPr>
          <w:rFonts w:ascii="Times New Roman" w:hAnsi="Times New Roman" w:cs="Times New Roman"/>
          <w:sz w:val="24"/>
          <w:szCs w:val="24"/>
        </w:rPr>
        <w:t>offence</w:t>
      </w:r>
      <w:r w:rsidRPr="00967746">
        <w:rPr>
          <w:rFonts w:ascii="Times New Roman" w:hAnsi="Times New Roman" w:cs="Times New Roman"/>
          <w:sz w:val="24"/>
          <w:szCs w:val="24"/>
        </w:rPr>
        <w:t xml:space="preserve"> starting from the time he left the deceased pushing his bicycle on his way home </w:t>
      </w:r>
      <w:r w:rsidR="001F0086" w:rsidRPr="00967746">
        <w:rPr>
          <w:rFonts w:ascii="Times New Roman" w:hAnsi="Times New Roman" w:cs="Times New Roman"/>
          <w:sz w:val="24"/>
          <w:szCs w:val="24"/>
        </w:rPr>
        <w:t xml:space="preserve">while he rushed to procure an iron </w:t>
      </w:r>
      <w:r w:rsidR="00F35B45" w:rsidRPr="00967746">
        <w:rPr>
          <w:rFonts w:ascii="Times New Roman" w:hAnsi="Times New Roman" w:cs="Times New Roman"/>
          <w:sz w:val="24"/>
          <w:szCs w:val="24"/>
        </w:rPr>
        <w:t xml:space="preserve">bar </w:t>
      </w:r>
      <w:r w:rsidR="001F0086" w:rsidRPr="00967746">
        <w:rPr>
          <w:rFonts w:ascii="Times New Roman" w:hAnsi="Times New Roman" w:cs="Times New Roman"/>
          <w:sz w:val="24"/>
          <w:szCs w:val="24"/>
        </w:rPr>
        <w:t xml:space="preserve">from </w:t>
      </w:r>
      <w:r w:rsidRPr="00967746">
        <w:rPr>
          <w:rFonts w:ascii="Times New Roman" w:hAnsi="Times New Roman" w:cs="Times New Roman"/>
          <w:sz w:val="24"/>
          <w:szCs w:val="24"/>
        </w:rPr>
        <w:t>Enock Siliya</w:t>
      </w:r>
      <w:r w:rsidR="001F0086" w:rsidRPr="00967746">
        <w:rPr>
          <w:rFonts w:ascii="Times New Roman" w:hAnsi="Times New Roman" w:cs="Times New Roman"/>
          <w:sz w:val="24"/>
          <w:szCs w:val="24"/>
        </w:rPr>
        <w:t>, which he used to savagely attack the deceased and ending with arrest</w:t>
      </w:r>
      <w:r w:rsidRPr="00967746">
        <w:rPr>
          <w:rFonts w:ascii="Times New Roman" w:hAnsi="Times New Roman" w:cs="Times New Roman"/>
          <w:sz w:val="24"/>
          <w:szCs w:val="24"/>
        </w:rPr>
        <w:t xml:space="preserve">. The statement was later </w:t>
      </w:r>
      <w:r w:rsidR="00723F3F" w:rsidRPr="00967746">
        <w:rPr>
          <w:rFonts w:ascii="Times New Roman" w:hAnsi="Times New Roman" w:cs="Times New Roman"/>
          <w:sz w:val="24"/>
          <w:szCs w:val="24"/>
        </w:rPr>
        <w:t>confirmed by</w:t>
      </w:r>
      <w:r w:rsidRPr="00967746">
        <w:rPr>
          <w:rFonts w:ascii="Times New Roman" w:hAnsi="Times New Roman" w:cs="Times New Roman"/>
          <w:sz w:val="24"/>
          <w:szCs w:val="24"/>
        </w:rPr>
        <w:t xml:space="preserve"> a magistrate in accordance with the law and produced at the trial by consent.</w:t>
      </w:r>
    </w:p>
    <w:p w:rsidR="008403C6" w:rsidRPr="00967746" w:rsidRDefault="008403C6" w:rsidP="001F18B3">
      <w:pPr>
        <w:spacing w:after="0" w:line="480" w:lineRule="auto"/>
        <w:ind w:firstLine="1440"/>
        <w:jc w:val="both"/>
        <w:rPr>
          <w:rFonts w:ascii="Times New Roman" w:hAnsi="Times New Roman" w:cs="Times New Roman"/>
          <w:sz w:val="24"/>
          <w:szCs w:val="24"/>
        </w:rPr>
      </w:pPr>
    </w:p>
    <w:p w:rsidR="008403C6" w:rsidRPr="00967746" w:rsidRDefault="008403C6" w:rsidP="001F18B3">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The deceased’s body was examined </w:t>
      </w:r>
      <w:r w:rsidR="00C60214" w:rsidRPr="00967746">
        <w:rPr>
          <w:rFonts w:ascii="Times New Roman" w:hAnsi="Times New Roman" w:cs="Times New Roman"/>
          <w:sz w:val="24"/>
          <w:szCs w:val="24"/>
        </w:rPr>
        <w:t>by two forensic pathologists at Harare Central Hospital who compiled a ver</w:t>
      </w:r>
      <w:r w:rsidR="00F35B45" w:rsidRPr="00967746">
        <w:rPr>
          <w:rFonts w:ascii="Times New Roman" w:hAnsi="Times New Roman" w:cs="Times New Roman"/>
          <w:sz w:val="24"/>
          <w:szCs w:val="24"/>
        </w:rPr>
        <w:t>y detail</w:t>
      </w:r>
      <w:r w:rsidR="00C60214" w:rsidRPr="00967746">
        <w:rPr>
          <w:rFonts w:ascii="Times New Roman" w:hAnsi="Times New Roman" w:cs="Times New Roman"/>
          <w:sz w:val="24"/>
          <w:szCs w:val="24"/>
        </w:rPr>
        <w:t xml:space="preserve">ed post </w:t>
      </w:r>
      <w:r w:rsidR="00723F3F" w:rsidRPr="00967746">
        <w:rPr>
          <w:rFonts w:ascii="Times New Roman" w:hAnsi="Times New Roman" w:cs="Times New Roman"/>
          <w:sz w:val="24"/>
          <w:szCs w:val="24"/>
        </w:rPr>
        <w:t>mortem</w:t>
      </w:r>
      <w:r w:rsidR="00C60214" w:rsidRPr="00967746">
        <w:rPr>
          <w:rFonts w:ascii="Times New Roman" w:hAnsi="Times New Roman" w:cs="Times New Roman"/>
          <w:sz w:val="24"/>
          <w:szCs w:val="24"/>
        </w:rPr>
        <w:t xml:space="preserve"> report. The report lists about </w:t>
      </w:r>
      <w:r w:rsidR="00723F3F" w:rsidRPr="00967746">
        <w:rPr>
          <w:rFonts w:ascii="Times New Roman" w:hAnsi="Times New Roman" w:cs="Times New Roman"/>
          <w:sz w:val="24"/>
          <w:szCs w:val="24"/>
        </w:rPr>
        <w:t>13 generally contusive wounds including a total fracture of the left arm. The injuries were concentrated on the upper vulnerable part of the body mainly on the head. The cause of death was given as traumatic shock</w:t>
      </w:r>
      <w:r w:rsidR="00FA4893" w:rsidRPr="00967746">
        <w:rPr>
          <w:rFonts w:ascii="Times New Roman" w:hAnsi="Times New Roman" w:cs="Times New Roman"/>
          <w:sz w:val="24"/>
          <w:szCs w:val="24"/>
        </w:rPr>
        <w:t>,</w:t>
      </w:r>
      <w:r w:rsidR="00723F3F" w:rsidRPr="00967746">
        <w:rPr>
          <w:rFonts w:ascii="Times New Roman" w:hAnsi="Times New Roman" w:cs="Times New Roman"/>
          <w:sz w:val="24"/>
          <w:szCs w:val="24"/>
        </w:rPr>
        <w:t xml:space="preserve"> displaced left humerus bone fracture and multiple injuries.</w:t>
      </w:r>
    </w:p>
    <w:p w:rsidR="007F05D7" w:rsidRPr="00967746" w:rsidRDefault="007F05D7" w:rsidP="001F18B3">
      <w:pPr>
        <w:spacing w:after="0" w:line="480" w:lineRule="auto"/>
        <w:ind w:firstLine="1440"/>
        <w:jc w:val="both"/>
        <w:rPr>
          <w:rFonts w:ascii="Times New Roman" w:hAnsi="Times New Roman" w:cs="Times New Roman"/>
          <w:sz w:val="24"/>
          <w:szCs w:val="24"/>
        </w:rPr>
      </w:pPr>
    </w:p>
    <w:p w:rsidR="000706FD" w:rsidRPr="00967746" w:rsidRDefault="007F05D7" w:rsidP="007F05D7">
      <w:pPr>
        <w:spacing w:after="0" w:line="480" w:lineRule="auto"/>
        <w:jc w:val="both"/>
        <w:rPr>
          <w:rFonts w:ascii="Times New Roman" w:hAnsi="Times New Roman" w:cs="Times New Roman"/>
          <w:b/>
          <w:sz w:val="24"/>
          <w:szCs w:val="24"/>
          <w:u w:val="single"/>
        </w:rPr>
      </w:pPr>
      <w:r w:rsidRPr="00967746">
        <w:rPr>
          <w:rFonts w:ascii="Times New Roman" w:hAnsi="Times New Roman" w:cs="Times New Roman"/>
          <w:b/>
          <w:sz w:val="24"/>
          <w:szCs w:val="24"/>
          <w:u w:val="single"/>
        </w:rPr>
        <w:t xml:space="preserve">PROCEEDINGS </w:t>
      </w:r>
      <w:r w:rsidRPr="00967746">
        <w:rPr>
          <w:rFonts w:ascii="Times New Roman" w:hAnsi="Times New Roman" w:cs="Times New Roman"/>
          <w:b/>
          <w:i/>
          <w:sz w:val="24"/>
          <w:szCs w:val="24"/>
          <w:u w:val="single"/>
        </w:rPr>
        <w:t>A QUO</w:t>
      </w:r>
    </w:p>
    <w:p w:rsidR="000706FD" w:rsidRPr="00967746" w:rsidRDefault="000706FD"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The appellant was arraigned before the High Court on a charge of murder as defined in s 47 of the Criminal Law (Codification and Reform) Act [</w:t>
      </w:r>
      <w:r w:rsidRPr="00967746">
        <w:rPr>
          <w:rFonts w:ascii="Times New Roman" w:hAnsi="Times New Roman" w:cs="Times New Roman"/>
          <w:i/>
          <w:sz w:val="24"/>
          <w:szCs w:val="24"/>
        </w:rPr>
        <w:t>Chapter 9:23</w:t>
      </w:r>
      <w:r w:rsidRPr="00967746">
        <w:rPr>
          <w:rFonts w:ascii="Times New Roman" w:hAnsi="Times New Roman" w:cs="Times New Roman"/>
          <w:sz w:val="24"/>
          <w:szCs w:val="24"/>
        </w:rPr>
        <w:t>] (the Criminal Law Code</w:t>
      </w:r>
      <w:r w:rsidR="00FA4893" w:rsidRPr="00967746">
        <w:rPr>
          <w:rFonts w:ascii="Times New Roman" w:hAnsi="Times New Roman" w:cs="Times New Roman"/>
          <w:sz w:val="24"/>
          <w:szCs w:val="24"/>
        </w:rPr>
        <w:t>)</w:t>
      </w:r>
      <w:r w:rsidRPr="00967746">
        <w:rPr>
          <w:rFonts w:ascii="Times New Roman" w:hAnsi="Times New Roman" w:cs="Times New Roman"/>
          <w:sz w:val="24"/>
          <w:szCs w:val="24"/>
        </w:rPr>
        <w:t xml:space="preserve">. He pleaded not guilty to the charge but following a full trial in which four state witnesses gave </w:t>
      </w:r>
      <w:r w:rsidRPr="00967746">
        <w:rPr>
          <w:rFonts w:ascii="Times New Roman" w:hAnsi="Times New Roman" w:cs="Times New Roman"/>
          <w:i/>
          <w:sz w:val="24"/>
          <w:szCs w:val="24"/>
        </w:rPr>
        <w:t>viva voce</w:t>
      </w:r>
      <w:r w:rsidRPr="00967746">
        <w:rPr>
          <w:rFonts w:ascii="Times New Roman" w:hAnsi="Times New Roman" w:cs="Times New Roman"/>
          <w:sz w:val="24"/>
          <w:szCs w:val="24"/>
        </w:rPr>
        <w:t xml:space="preserve"> evidence and only the appellant testified for the defence, the trial court returned a verdict of guilty of murder with actual intent.</w:t>
      </w:r>
    </w:p>
    <w:p w:rsidR="000706FD" w:rsidRPr="00967746" w:rsidRDefault="000706FD" w:rsidP="000706FD">
      <w:pPr>
        <w:spacing w:after="0" w:line="480" w:lineRule="auto"/>
        <w:jc w:val="both"/>
        <w:rPr>
          <w:rFonts w:ascii="Times New Roman" w:hAnsi="Times New Roman" w:cs="Times New Roman"/>
          <w:sz w:val="24"/>
          <w:szCs w:val="24"/>
        </w:rPr>
      </w:pPr>
    </w:p>
    <w:p w:rsidR="000706FD" w:rsidRPr="00967746" w:rsidRDefault="000706FD"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 xml:space="preserve">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found that the appellant’s confession was corroborated by physical evidence in the form of the iron bar found at the scene and the fact that the deceased’s pockets had been turned inside out. In addition, the deceased</w:t>
      </w:r>
      <w:r w:rsidR="00FA4893" w:rsidRPr="00967746">
        <w:rPr>
          <w:rFonts w:ascii="Times New Roman" w:hAnsi="Times New Roman" w:cs="Times New Roman"/>
          <w:sz w:val="24"/>
          <w:szCs w:val="24"/>
        </w:rPr>
        <w:t>’s</w:t>
      </w:r>
      <w:r w:rsidRPr="00967746">
        <w:rPr>
          <w:rFonts w:ascii="Times New Roman" w:hAnsi="Times New Roman" w:cs="Times New Roman"/>
          <w:sz w:val="24"/>
          <w:szCs w:val="24"/>
        </w:rPr>
        <w:t xml:space="preserve"> property taken from him after he was fatally wounded</w:t>
      </w:r>
      <w:r w:rsidR="00FA4893" w:rsidRPr="00967746">
        <w:rPr>
          <w:rFonts w:ascii="Times New Roman" w:hAnsi="Times New Roman" w:cs="Times New Roman"/>
          <w:sz w:val="24"/>
          <w:szCs w:val="24"/>
        </w:rPr>
        <w:t>,</w:t>
      </w:r>
      <w:r w:rsidRPr="00967746">
        <w:rPr>
          <w:rFonts w:ascii="Times New Roman" w:hAnsi="Times New Roman" w:cs="Times New Roman"/>
          <w:sz w:val="24"/>
          <w:szCs w:val="24"/>
        </w:rPr>
        <w:t xml:space="preserve"> namely the bicycle and cellphone, were found in the appellant’s possession.</w:t>
      </w:r>
    </w:p>
    <w:p w:rsidR="00C76E23" w:rsidRPr="00967746" w:rsidRDefault="000706FD"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lastRenderedPageBreak/>
        <w:tab/>
      </w:r>
      <w:r w:rsidRPr="00967746">
        <w:rPr>
          <w:rFonts w:ascii="Times New Roman" w:hAnsi="Times New Roman" w:cs="Times New Roman"/>
          <w:sz w:val="24"/>
          <w:szCs w:val="24"/>
        </w:rPr>
        <w:tab/>
        <w:t xml:space="preserve">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correctly found</w:t>
      </w:r>
      <w:r w:rsidR="00C76E23" w:rsidRPr="00967746">
        <w:rPr>
          <w:rFonts w:ascii="Times New Roman" w:hAnsi="Times New Roman" w:cs="Times New Roman"/>
          <w:sz w:val="24"/>
          <w:szCs w:val="24"/>
        </w:rPr>
        <w:t xml:space="preserve"> that the leading of oral evidence was crucial in order to establish the appellant’s intention. It reasoned that the fact that the appellant had returned to Enock Siliya’s home to request for an iron bar later used as the murder weapon was indicative of pre-planning on the appellant’s part. It was the court </w:t>
      </w:r>
      <w:r w:rsidR="00C76E23" w:rsidRPr="00967746">
        <w:rPr>
          <w:rFonts w:ascii="Times New Roman" w:hAnsi="Times New Roman" w:cs="Times New Roman"/>
          <w:i/>
          <w:sz w:val="24"/>
          <w:szCs w:val="24"/>
        </w:rPr>
        <w:t>a</w:t>
      </w:r>
      <w:r w:rsidR="00FA4893" w:rsidRPr="00967746">
        <w:rPr>
          <w:rFonts w:ascii="Times New Roman" w:hAnsi="Times New Roman" w:cs="Times New Roman"/>
          <w:i/>
          <w:sz w:val="24"/>
          <w:szCs w:val="24"/>
        </w:rPr>
        <w:t xml:space="preserve"> </w:t>
      </w:r>
      <w:r w:rsidR="00C76E23" w:rsidRPr="00967746">
        <w:rPr>
          <w:rFonts w:ascii="Times New Roman" w:hAnsi="Times New Roman" w:cs="Times New Roman"/>
          <w:i/>
          <w:sz w:val="24"/>
          <w:szCs w:val="24"/>
        </w:rPr>
        <w:t>quo’s</w:t>
      </w:r>
      <w:r w:rsidR="00C76E23" w:rsidRPr="00967746">
        <w:rPr>
          <w:rFonts w:ascii="Times New Roman" w:hAnsi="Times New Roman" w:cs="Times New Roman"/>
          <w:sz w:val="24"/>
          <w:szCs w:val="24"/>
        </w:rPr>
        <w:t xml:space="preserve"> finding that the appellant’s motive was to rob the deceased of his possessions. Indeed, the proceeds of the robbery were recovered from the appellant together with his blood-stained jeans.</w:t>
      </w:r>
    </w:p>
    <w:p w:rsidR="00C76E23" w:rsidRPr="00967746" w:rsidRDefault="00C76E23" w:rsidP="000706FD">
      <w:pPr>
        <w:spacing w:after="0" w:line="480" w:lineRule="auto"/>
        <w:jc w:val="both"/>
        <w:rPr>
          <w:rFonts w:ascii="Times New Roman" w:hAnsi="Times New Roman" w:cs="Times New Roman"/>
          <w:sz w:val="24"/>
          <w:szCs w:val="24"/>
        </w:rPr>
      </w:pPr>
    </w:p>
    <w:p w:rsidR="008E18A4" w:rsidRPr="00967746" w:rsidRDefault="00C76E23"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Rel</w:t>
      </w:r>
      <w:r w:rsidR="00A40437" w:rsidRPr="00967746">
        <w:rPr>
          <w:rFonts w:ascii="Times New Roman" w:hAnsi="Times New Roman" w:cs="Times New Roman"/>
          <w:sz w:val="24"/>
          <w:szCs w:val="24"/>
        </w:rPr>
        <w:t>ying on the provisions of s 221(1)(b)</w:t>
      </w:r>
      <w:r w:rsidR="00FA4893" w:rsidRPr="00967746">
        <w:rPr>
          <w:rFonts w:ascii="Times New Roman" w:hAnsi="Times New Roman" w:cs="Times New Roman"/>
          <w:sz w:val="24"/>
          <w:szCs w:val="24"/>
        </w:rPr>
        <w:t xml:space="preserve"> of the Criminal Law Code, the</w:t>
      </w:r>
      <w:r w:rsidRPr="00967746">
        <w:rPr>
          <w:rFonts w:ascii="Times New Roman" w:hAnsi="Times New Roman" w:cs="Times New Roman"/>
          <w:sz w:val="24"/>
          <w:szCs w:val="24"/>
        </w:rPr>
        <w:t xml:space="preserv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rejected the appellant’s defence</w:t>
      </w:r>
      <w:r w:rsidR="008E18A4" w:rsidRPr="00967746">
        <w:rPr>
          <w:rFonts w:ascii="Times New Roman" w:hAnsi="Times New Roman" w:cs="Times New Roman"/>
          <w:sz w:val="24"/>
          <w:szCs w:val="24"/>
        </w:rPr>
        <w:t xml:space="preserve"> of intoxication</w:t>
      </w:r>
      <w:r w:rsidR="00FA4893" w:rsidRPr="00967746">
        <w:rPr>
          <w:rFonts w:ascii="Times New Roman" w:hAnsi="Times New Roman" w:cs="Times New Roman"/>
          <w:sz w:val="24"/>
          <w:szCs w:val="24"/>
        </w:rPr>
        <w:t>. The section provides that</w:t>
      </w:r>
      <w:r w:rsidR="008E18A4" w:rsidRPr="00967746">
        <w:rPr>
          <w:rFonts w:ascii="Times New Roman" w:hAnsi="Times New Roman" w:cs="Times New Roman"/>
          <w:sz w:val="24"/>
          <w:szCs w:val="24"/>
        </w:rPr>
        <w:t xml:space="preserve"> in specific intent crimes or crimes requiring proof of knowledge or a realization of a real risk or possibility </w:t>
      </w:r>
      <w:r w:rsidR="00A40437" w:rsidRPr="00967746">
        <w:rPr>
          <w:rFonts w:ascii="Times New Roman" w:hAnsi="Times New Roman" w:cs="Times New Roman"/>
          <w:sz w:val="24"/>
          <w:szCs w:val="24"/>
        </w:rPr>
        <w:t>thereof</w:t>
      </w:r>
      <w:r w:rsidR="008E18A4" w:rsidRPr="00967746">
        <w:rPr>
          <w:rFonts w:ascii="Times New Roman" w:hAnsi="Times New Roman" w:cs="Times New Roman"/>
          <w:sz w:val="24"/>
          <w:szCs w:val="24"/>
        </w:rPr>
        <w:t>, voluntar</w:t>
      </w:r>
      <w:r w:rsidR="009D5BE4" w:rsidRPr="00967746">
        <w:rPr>
          <w:rFonts w:ascii="Times New Roman" w:hAnsi="Times New Roman" w:cs="Times New Roman"/>
          <w:sz w:val="24"/>
          <w:szCs w:val="24"/>
        </w:rPr>
        <w:t>y or involuntar</w:t>
      </w:r>
      <w:r w:rsidR="008E18A4" w:rsidRPr="00967746">
        <w:rPr>
          <w:rFonts w:ascii="Times New Roman" w:hAnsi="Times New Roman" w:cs="Times New Roman"/>
          <w:sz w:val="24"/>
          <w:szCs w:val="24"/>
        </w:rPr>
        <w:t xml:space="preserve">y intoxication which </w:t>
      </w:r>
      <w:r w:rsidR="00A40437" w:rsidRPr="00967746">
        <w:rPr>
          <w:rFonts w:ascii="Times New Roman" w:hAnsi="Times New Roman" w:cs="Times New Roman"/>
          <w:sz w:val="24"/>
          <w:szCs w:val="24"/>
        </w:rPr>
        <w:t>does not affect requisi</w:t>
      </w:r>
      <w:r w:rsidR="008E18A4" w:rsidRPr="00967746">
        <w:rPr>
          <w:rFonts w:ascii="Times New Roman" w:hAnsi="Times New Roman" w:cs="Times New Roman"/>
          <w:sz w:val="24"/>
          <w:szCs w:val="24"/>
        </w:rPr>
        <w:t>te intention, knowledge or realization</w:t>
      </w:r>
      <w:r w:rsidR="00A40437" w:rsidRPr="00967746">
        <w:rPr>
          <w:rFonts w:ascii="Times New Roman" w:hAnsi="Times New Roman" w:cs="Times New Roman"/>
          <w:sz w:val="24"/>
          <w:szCs w:val="24"/>
        </w:rPr>
        <w:t xml:space="preserve"> of the accused person</w:t>
      </w:r>
      <w:r w:rsidR="008E18A4" w:rsidRPr="00967746">
        <w:rPr>
          <w:rFonts w:ascii="Times New Roman" w:hAnsi="Times New Roman" w:cs="Times New Roman"/>
          <w:sz w:val="24"/>
          <w:szCs w:val="24"/>
        </w:rPr>
        <w:t xml:space="preserve">, shall not be a defence to the crime concerned. </w:t>
      </w:r>
      <w:r w:rsidR="00A40437" w:rsidRPr="00967746">
        <w:rPr>
          <w:rFonts w:ascii="Times New Roman" w:hAnsi="Times New Roman" w:cs="Times New Roman"/>
          <w:sz w:val="24"/>
          <w:szCs w:val="24"/>
        </w:rPr>
        <w:t>Rather</w:t>
      </w:r>
      <w:r w:rsidR="008E18A4" w:rsidRPr="00967746">
        <w:rPr>
          <w:rFonts w:ascii="Times New Roman" w:hAnsi="Times New Roman" w:cs="Times New Roman"/>
          <w:sz w:val="24"/>
          <w:szCs w:val="24"/>
        </w:rPr>
        <w:t>, the court may regard such intoxication as a mitigating</w:t>
      </w:r>
      <w:r w:rsidR="00FA4893" w:rsidRPr="00967746">
        <w:rPr>
          <w:rFonts w:ascii="Times New Roman" w:hAnsi="Times New Roman" w:cs="Times New Roman"/>
          <w:sz w:val="24"/>
          <w:szCs w:val="24"/>
        </w:rPr>
        <w:t xml:space="preserve"> factor when assessing sentence.</w:t>
      </w:r>
    </w:p>
    <w:p w:rsidR="008E18A4" w:rsidRPr="00967746" w:rsidRDefault="008E18A4" w:rsidP="000706FD">
      <w:pPr>
        <w:spacing w:after="0" w:line="480" w:lineRule="auto"/>
        <w:jc w:val="both"/>
        <w:rPr>
          <w:rFonts w:ascii="Times New Roman" w:hAnsi="Times New Roman" w:cs="Times New Roman"/>
          <w:sz w:val="24"/>
          <w:szCs w:val="24"/>
        </w:rPr>
      </w:pPr>
    </w:p>
    <w:p w:rsidR="00C203E1" w:rsidRPr="00967746" w:rsidRDefault="008E18A4"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 xml:space="preserve">Regarding sentence,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concluded that </w:t>
      </w:r>
      <w:r w:rsidR="00C203E1" w:rsidRPr="00967746">
        <w:rPr>
          <w:rFonts w:ascii="Times New Roman" w:hAnsi="Times New Roman" w:cs="Times New Roman"/>
          <w:sz w:val="24"/>
          <w:szCs w:val="24"/>
        </w:rPr>
        <w:t xml:space="preserve">the murder was committed in aggravating circumstances of pre-meditation. Apart from that, it was committed in order to facilitate a robbery. After weighing the mitigating circumstances of youthfulness and intoxication relied upon by counsel for the appellant, the court </w:t>
      </w:r>
      <w:r w:rsidR="00C203E1" w:rsidRPr="00967746">
        <w:rPr>
          <w:rFonts w:ascii="Times New Roman" w:hAnsi="Times New Roman" w:cs="Times New Roman"/>
          <w:i/>
          <w:sz w:val="24"/>
          <w:szCs w:val="24"/>
        </w:rPr>
        <w:t>a quo</w:t>
      </w:r>
      <w:r w:rsidR="00C203E1" w:rsidRPr="00967746">
        <w:rPr>
          <w:rFonts w:ascii="Times New Roman" w:hAnsi="Times New Roman" w:cs="Times New Roman"/>
          <w:sz w:val="24"/>
          <w:szCs w:val="24"/>
        </w:rPr>
        <w:t xml:space="preserve"> came to the conclusion that the aggravation outweighed the mitigation. The court </w:t>
      </w:r>
      <w:r w:rsidR="00C203E1" w:rsidRPr="00967746">
        <w:rPr>
          <w:rFonts w:ascii="Times New Roman" w:hAnsi="Times New Roman" w:cs="Times New Roman"/>
          <w:i/>
          <w:sz w:val="24"/>
          <w:szCs w:val="24"/>
        </w:rPr>
        <w:t>a quo</w:t>
      </w:r>
      <w:r w:rsidR="00C203E1" w:rsidRPr="00967746">
        <w:rPr>
          <w:rFonts w:ascii="Times New Roman" w:hAnsi="Times New Roman" w:cs="Times New Roman"/>
          <w:sz w:val="24"/>
          <w:szCs w:val="24"/>
        </w:rPr>
        <w:t xml:space="preserve"> also had regard</w:t>
      </w:r>
      <w:r w:rsidR="00C76E23" w:rsidRPr="00967746">
        <w:rPr>
          <w:rFonts w:ascii="Times New Roman" w:hAnsi="Times New Roman" w:cs="Times New Roman"/>
          <w:sz w:val="24"/>
          <w:szCs w:val="24"/>
        </w:rPr>
        <w:t xml:space="preserve"> </w:t>
      </w:r>
      <w:r w:rsidR="00C203E1" w:rsidRPr="00967746">
        <w:rPr>
          <w:rFonts w:ascii="Times New Roman" w:hAnsi="Times New Roman" w:cs="Times New Roman"/>
          <w:sz w:val="24"/>
          <w:szCs w:val="24"/>
        </w:rPr>
        <w:t>to the callousness exhibited by the injuries inflicted on the deceased. It settled for capital punishment.</w:t>
      </w:r>
    </w:p>
    <w:p w:rsidR="00C203E1" w:rsidRPr="00967746" w:rsidRDefault="00C203E1" w:rsidP="000706FD">
      <w:pPr>
        <w:spacing w:after="0" w:line="480" w:lineRule="auto"/>
        <w:jc w:val="both"/>
        <w:rPr>
          <w:rFonts w:ascii="Times New Roman" w:hAnsi="Times New Roman" w:cs="Times New Roman"/>
          <w:sz w:val="24"/>
          <w:szCs w:val="24"/>
        </w:rPr>
      </w:pPr>
    </w:p>
    <w:p w:rsidR="00C203E1" w:rsidRPr="00967746" w:rsidRDefault="00C203E1"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r>
      <w:r w:rsidR="00FA4893" w:rsidRPr="00967746">
        <w:rPr>
          <w:rFonts w:ascii="Times New Roman" w:hAnsi="Times New Roman" w:cs="Times New Roman"/>
          <w:sz w:val="24"/>
          <w:szCs w:val="24"/>
        </w:rPr>
        <w:t>The appellant was aggrieved. H</w:t>
      </w:r>
      <w:r w:rsidRPr="00967746">
        <w:rPr>
          <w:rFonts w:ascii="Times New Roman" w:hAnsi="Times New Roman" w:cs="Times New Roman"/>
          <w:sz w:val="24"/>
          <w:szCs w:val="24"/>
        </w:rPr>
        <w:t>e noted this appeal on the following grounds:</w:t>
      </w:r>
    </w:p>
    <w:p w:rsidR="00C203E1" w:rsidRPr="00967746" w:rsidRDefault="00C203E1"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Ad conviction</w:t>
      </w:r>
    </w:p>
    <w:p w:rsidR="00C203E1" w:rsidRPr="00967746" w:rsidRDefault="00C203E1" w:rsidP="007F05D7">
      <w:pPr>
        <w:spacing w:after="0" w:line="480" w:lineRule="auto"/>
        <w:ind w:left="1170" w:hanging="450"/>
        <w:jc w:val="both"/>
        <w:rPr>
          <w:rFonts w:ascii="Times New Roman" w:hAnsi="Times New Roman" w:cs="Times New Roman"/>
          <w:sz w:val="24"/>
          <w:szCs w:val="24"/>
        </w:rPr>
      </w:pPr>
      <w:r w:rsidRPr="00967746">
        <w:rPr>
          <w:rFonts w:ascii="Times New Roman" w:hAnsi="Times New Roman" w:cs="Times New Roman"/>
          <w:sz w:val="24"/>
          <w:szCs w:val="24"/>
        </w:rPr>
        <w:lastRenderedPageBreak/>
        <w:t xml:space="preserve">1.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erred or misdirected itself in holding that the accused’s warned and cautioned statement amounted to a confession in circumstances where it did not unequivocally admit to the elements of the offence charged against him.</w:t>
      </w:r>
    </w:p>
    <w:p w:rsidR="00C203E1" w:rsidRPr="00967746" w:rsidRDefault="00C203E1" w:rsidP="007F05D7">
      <w:pPr>
        <w:spacing w:after="0" w:line="480" w:lineRule="auto"/>
        <w:ind w:left="1260" w:hanging="540"/>
        <w:jc w:val="both"/>
        <w:rPr>
          <w:rFonts w:ascii="Times New Roman" w:hAnsi="Times New Roman" w:cs="Times New Roman"/>
          <w:sz w:val="24"/>
          <w:szCs w:val="24"/>
        </w:rPr>
      </w:pPr>
      <w:r w:rsidRPr="00967746">
        <w:rPr>
          <w:rFonts w:ascii="Times New Roman" w:hAnsi="Times New Roman" w:cs="Times New Roman"/>
          <w:sz w:val="24"/>
          <w:szCs w:val="24"/>
        </w:rPr>
        <w:t xml:space="preserve">2.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erred and/or misdirected itself in admitting into evidence the accused’s clothes with blood in circumstances where the state did not produce same as an exhibit.</w:t>
      </w:r>
    </w:p>
    <w:p w:rsidR="00C203E1" w:rsidRPr="00967746" w:rsidRDefault="00C203E1" w:rsidP="007F05D7">
      <w:pPr>
        <w:spacing w:after="0" w:line="480" w:lineRule="auto"/>
        <w:ind w:left="1170" w:hanging="450"/>
        <w:jc w:val="both"/>
        <w:rPr>
          <w:rFonts w:ascii="Times New Roman" w:hAnsi="Times New Roman" w:cs="Times New Roman"/>
          <w:sz w:val="24"/>
          <w:szCs w:val="24"/>
        </w:rPr>
      </w:pPr>
      <w:r w:rsidRPr="00967746">
        <w:rPr>
          <w:rFonts w:ascii="Times New Roman" w:hAnsi="Times New Roman" w:cs="Times New Roman"/>
          <w:sz w:val="24"/>
          <w:szCs w:val="24"/>
        </w:rPr>
        <w:t xml:space="preserve">3.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erred or misdirected itself in holding that the accused had pre-planned the murder in circumstances where it was clear that the deceased and the accused had agreed to have a weapon to protect themselves against roughnecks.</w:t>
      </w:r>
    </w:p>
    <w:p w:rsidR="00C203E1" w:rsidRPr="00967746" w:rsidRDefault="00C203E1" w:rsidP="000706FD">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Ad sentence</w:t>
      </w:r>
    </w:p>
    <w:p w:rsidR="005F479A" w:rsidRPr="00967746" w:rsidRDefault="00C203E1" w:rsidP="007F05D7">
      <w:pPr>
        <w:spacing w:after="0" w:line="480" w:lineRule="auto"/>
        <w:ind w:left="1170" w:hanging="450"/>
        <w:jc w:val="both"/>
        <w:rPr>
          <w:rFonts w:ascii="Times New Roman" w:hAnsi="Times New Roman" w:cs="Times New Roman"/>
          <w:sz w:val="24"/>
          <w:szCs w:val="24"/>
        </w:rPr>
      </w:pPr>
      <w:r w:rsidRPr="00967746">
        <w:rPr>
          <w:rFonts w:ascii="Times New Roman" w:hAnsi="Times New Roman" w:cs="Times New Roman"/>
          <w:sz w:val="24"/>
          <w:szCs w:val="24"/>
        </w:rPr>
        <w:t xml:space="preserve">4.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erred or misdirected itself</w:t>
      </w:r>
      <w:r w:rsidR="005F479A" w:rsidRPr="00967746">
        <w:rPr>
          <w:rFonts w:ascii="Times New Roman" w:hAnsi="Times New Roman" w:cs="Times New Roman"/>
          <w:sz w:val="24"/>
          <w:szCs w:val="24"/>
        </w:rPr>
        <w:t xml:space="preserve"> in awarding the death sentence in circumstances where (there) were extenuating circumstances.</w:t>
      </w:r>
    </w:p>
    <w:p w:rsidR="005F479A" w:rsidRPr="00967746" w:rsidRDefault="005F479A" w:rsidP="007F05D7">
      <w:pPr>
        <w:spacing w:after="0" w:line="480" w:lineRule="auto"/>
        <w:ind w:left="1170" w:hanging="450"/>
        <w:jc w:val="both"/>
        <w:rPr>
          <w:rFonts w:ascii="Times New Roman" w:hAnsi="Times New Roman" w:cs="Times New Roman"/>
          <w:sz w:val="24"/>
          <w:szCs w:val="24"/>
        </w:rPr>
      </w:pPr>
      <w:r w:rsidRPr="00967746">
        <w:rPr>
          <w:rFonts w:ascii="Times New Roman" w:hAnsi="Times New Roman" w:cs="Times New Roman"/>
          <w:sz w:val="24"/>
          <w:szCs w:val="24"/>
        </w:rPr>
        <w:t xml:space="preserve">5.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erred and/or misdirected itself in awarding the death sentence (where</w:t>
      </w:r>
      <w:r w:rsidR="00FA4893" w:rsidRPr="00967746">
        <w:rPr>
          <w:rFonts w:ascii="Times New Roman" w:hAnsi="Times New Roman" w:cs="Times New Roman"/>
          <w:sz w:val="24"/>
          <w:szCs w:val="24"/>
        </w:rPr>
        <w:t xml:space="preserve"> there were</w:t>
      </w:r>
      <w:r w:rsidRPr="00967746">
        <w:rPr>
          <w:rFonts w:ascii="Times New Roman" w:hAnsi="Times New Roman" w:cs="Times New Roman"/>
          <w:sz w:val="24"/>
          <w:szCs w:val="24"/>
        </w:rPr>
        <w:t>) no aggravating circumstances as required by s 337 of the Criminal Procedure &amp; Evidence Act [</w:t>
      </w:r>
      <w:r w:rsidRPr="00967746">
        <w:rPr>
          <w:rFonts w:ascii="Times New Roman" w:hAnsi="Times New Roman" w:cs="Times New Roman"/>
          <w:i/>
          <w:sz w:val="24"/>
          <w:szCs w:val="24"/>
        </w:rPr>
        <w:t>Chapter 9:07</w:t>
      </w:r>
      <w:r w:rsidRPr="00967746">
        <w:rPr>
          <w:rFonts w:ascii="Times New Roman" w:hAnsi="Times New Roman" w:cs="Times New Roman"/>
          <w:sz w:val="24"/>
          <w:szCs w:val="24"/>
        </w:rPr>
        <w:t>].</w:t>
      </w:r>
    </w:p>
    <w:p w:rsidR="00E41C2D" w:rsidRPr="00967746" w:rsidRDefault="005F479A" w:rsidP="007F05D7">
      <w:pPr>
        <w:spacing w:after="0" w:line="480" w:lineRule="auto"/>
        <w:ind w:left="1170" w:hanging="450"/>
        <w:jc w:val="both"/>
        <w:rPr>
          <w:rFonts w:ascii="Times New Roman" w:hAnsi="Times New Roman" w:cs="Times New Roman"/>
          <w:sz w:val="24"/>
          <w:szCs w:val="24"/>
        </w:rPr>
      </w:pPr>
      <w:r w:rsidRPr="00967746">
        <w:rPr>
          <w:rFonts w:ascii="Times New Roman" w:hAnsi="Times New Roman" w:cs="Times New Roman"/>
          <w:sz w:val="24"/>
          <w:szCs w:val="24"/>
        </w:rPr>
        <w:t xml:space="preserve">6.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erred and/or misdirected itself in its failure to consider the accused’s intoxication</w:t>
      </w:r>
      <w:r w:rsidR="00E41C2D" w:rsidRPr="00967746">
        <w:rPr>
          <w:rFonts w:ascii="Times New Roman" w:hAnsi="Times New Roman" w:cs="Times New Roman"/>
          <w:sz w:val="24"/>
          <w:szCs w:val="24"/>
        </w:rPr>
        <w:t xml:space="preserve"> as a mitigatory factor in terms of s 224 of the Criminal Law Code [</w:t>
      </w:r>
      <w:r w:rsidR="00E41C2D" w:rsidRPr="00967746">
        <w:rPr>
          <w:rFonts w:ascii="Times New Roman" w:hAnsi="Times New Roman" w:cs="Times New Roman"/>
          <w:i/>
          <w:sz w:val="24"/>
          <w:szCs w:val="24"/>
        </w:rPr>
        <w:t>Chapter 9:23</w:t>
      </w:r>
      <w:r w:rsidR="00E41C2D" w:rsidRPr="00967746">
        <w:rPr>
          <w:rFonts w:ascii="Times New Roman" w:hAnsi="Times New Roman" w:cs="Times New Roman"/>
          <w:sz w:val="24"/>
          <w:szCs w:val="24"/>
        </w:rPr>
        <w:t>].</w:t>
      </w:r>
    </w:p>
    <w:p w:rsidR="00E41C2D" w:rsidRPr="00967746" w:rsidRDefault="00E41C2D" w:rsidP="000706FD">
      <w:pPr>
        <w:spacing w:after="0" w:line="480" w:lineRule="auto"/>
        <w:jc w:val="both"/>
        <w:rPr>
          <w:rFonts w:ascii="Times New Roman" w:hAnsi="Times New Roman" w:cs="Times New Roman"/>
          <w:sz w:val="24"/>
          <w:szCs w:val="24"/>
        </w:rPr>
      </w:pPr>
    </w:p>
    <w:p w:rsidR="00E41C2D" w:rsidRPr="00967746" w:rsidRDefault="0077386D" w:rsidP="000706FD">
      <w:pPr>
        <w:spacing w:after="0" w:line="480" w:lineRule="auto"/>
        <w:jc w:val="both"/>
        <w:rPr>
          <w:rFonts w:ascii="Times New Roman" w:hAnsi="Times New Roman" w:cs="Times New Roman"/>
          <w:b/>
          <w:sz w:val="24"/>
          <w:szCs w:val="24"/>
          <w:u w:val="single"/>
        </w:rPr>
      </w:pPr>
      <w:r w:rsidRPr="00967746">
        <w:rPr>
          <w:rFonts w:ascii="Times New Roman" w:hAnsi="Times New Roman" w:cs="Times New Roman"/>
          <w:b/>
          <w:sz w:val="24"/>
          <w:szCs w:val="24"/>
          <w:u w:val="single"/>
        </w:rPr>
        <w:t>SUBMISSIONS ON APPEAL</w:t>
      </w:r>
    </w:p>
    <w:p w:rsidR="0077386D" w:rsidRPr="00967746" w:rsidRDefault="00E41C2D" w:rsidP="00E41C2D">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Mr </w:t>
      </w:r>
      <w:r w:rsidRPr="00967746">
        <w:rPr>
          <w:rFonts w:ascii="Times New Roman" w:hAnsi="Times New Roman" w:cs="Times New Roman"/>
          <w:i/>
          <w:sz w:val="24"/>
          <w:szCs w:val="24"/>
        </w:rPr>
        <w:t>Siyeba</w:t>
      </w:r>
      <w:r w:rsidRPr="00967746">
        <w:rPr>
          <w:rFonts w:ascii="Times New Roman" w:hAnsi="Times New Roman" w:cs="Times New Roman"/>
          <w:sz w:val="24"/>
          <w:szCs w:val="24"/>
        </w:rPr>
        <w:t xml:space="preserve"> who appeared for the appellant challenged the conviction on the basis that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placed reliance on the warned and cautioned statement of the appellant</w:t>
      </w:r>
      <w:r w:rsidR="0077386D" w:rsidRPr="00967746">
        <w:rPr>
          <w:rFonts w:ascii="Times New Roman" w:hAnsi="Times New Roman" w:cs="Times New Roman"/>
          <w:sz w:val="24"/>
          <w:szCs w:val="24"/>
        </w:rPr>
        <w:t xml:space="preserve">. In his view, the court </w:t>
      </w:r>
      <w:r w:rsidR="0077386D" w:rsidRPr="00967746">
        <w:rPr>
          <w:rFonts w:ascii="Times New Roman" w:hAnsi="Times New Roman" w:cs="Times New Roman"/>
          <w:i/>
          <w:sz w:val="24"/>
          <w:szCs w:val="24"/>
        </w:rPr>
        <w:t>a quo</w:t>
      </w:r>
      <w:r w:rsidR="0077386D" w:rsidRPr="00967746">
        <w:rPr>
          <w:rFonts w:ascii="Times New Roman" w:hAnsi="Times New Roman" w:cs="Times New Roman"/>
          <w:sz w:val="24"/>
          <w:szCs w:val="24"/>
        </w:rPr>
        <w:t xml:space="preserve"> fell into grave</w:t>
      </w:r>
      <w:r w:rsidR="005F479A" w:rsidRPr="00967746">
        <w:rPr>
          <w:rFonts w:ascii="Times New Roman" w:hAnsi="Times New Roman" w:cs="Times New Roman"/>
          <w:sz w:val="24"/>
          <w:szCs w:val="24"/>
        </w:rPr>
        <w:t xml:space="preserve"> </w:t>
      </w:r>
      <w:r w:rsidR="0077386D" w:rsidRPr="00967746">
        <w:rPr>
          <w:rFonts w:ascii="Times New Roman" w:hAnsi="Times New Roman" w:cs="Times New Roman"/>
          <w:sz w:val="24"/>
          <w:szCs w:val="24"/>
        </w:rPr>
        <w:t xml:space="preserve">error by regarding the contents of the “caution” as a confession </w:t>
      </w:r>
      <w:r w:rsidR="0077386D" w:rsidRPr="00967746">
        <w:rPr>
          <w:rFonts w:ascii="Times New Roman" w:hAnsi="Times New Roman" w:cs="Times New Roman"/>
          <w:sz w:val="24"/>
          <w:szCs w:val="24"/>
        </w:rPr>
        <w:lastRenderedPageBreak/>
        <w:t xml:space="preserve">when it did not admit the elements of the offence of murder. As much as the appellant stated that he admitted the charge, so Mr </w:t>
      </w:r>
      <w:r w:rsidR="0077386D" w:rsidRPr="00967746">
        <w:rPr>
          <w:rFonts w:ascii="Times New Roman" w:hAnsi="Times New Roman" w:cs="Times New Roman"/>
          <w:i/>
          <w:sz w:val="24"/>
          <w:szCs w:val="24"/>
        </w:rPr>
        <w:t>Siyeba</w:t>
      </w:r>
      <w:r w:rsidR="0077386D" w:rsidRPr="00967746">
        <w:rPr>
          <w:rFonts w:ascii="Times New Roman" w:hAnsi="Times New Roman" w:cs="Times New Roman"/>
          <w:sz w:val="24"/>
          <w:szCs w:val="24"/>
        </w:rPr>
        <w:t xml:space="preserve">’s argument goes, he was only admitting to causing the death of the deceased but not </w:t>
      </w:r>
      <w:r w:rsidR="00893DE3" w:rsidRPr="00967746">
        <w:rPr>
          <w:rFonts w:ascii="Times New Roman" w:hAnsi="Times New Roman" w:cs="Times New Roman"/>
          <w:sz w:val="24"/>
          <w:szCs w:val="24"/>
        </w:rPr>
        <w:t>to</w:t>
      </w:r>
      <w:r w:rsidR="0077386D" w:rsidRPr="00967746">
        <w:rPr>
          <w:rFonts w:ascii="Times New Roman" w:hAnsi="Times New Roman" w:cs="Times New Roman"/>
          <w:sz w:val="24"/>
          <w:szCs w:val="24"/>
        </w:rPr>
        <w:t xml:space="preserve"> murder with actual intent.</w:t>
      </w:r>
    </w:p>
    <w:p w:rsidR="0077386D" w:rsidRPr="00967746" w:rsidRDefault="0077386D" w:rsidP="00E41C2D">
      <w:pPr>
        <w:spacing w:after="0" w:line="480" w:lineRule="auto"/>
        <w:ind w:firstLine="1440"/>
        <w:jc w:val="both"/>
        <w:rPr>
          <w:rFonts w:ascii="Times New Roman" w:hAnsi="Times New Roman" w:cs="Times New Roman"/>
          <w:sz w:val="24"/>
          <w:szCs w:val="24"/>
        </w:rPr>
      </w:pPr>
    </w:p>
    <w:p w:rsidR="00E17170" w:rsidRPr="00967746" w:rsidRDefault="0077386D" w:rsidP="00E41C2D">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Per contra, Ms</w:t>
      </w:r>
      <w:r w:rsidRPr="00967746">
        <w:rPr>
          <w:rFonts w:ascii="Times New Roman" w:hAnsi="Times New Roman" w:cs="Times New Roman"/>
          <w:i/>
          <w:sz w:val="24"/>
          <w:szCs w:val="24"/>
        </w:rPr>
        <w:t xml:space="preserve"> Kunaka</w:t>
      </w:r>
      <w:r w:rsidRPr="00967746">
        <w:rPr>
          <w:rFonts w:ascii="Times New Roman" w:hAnsi="Times New Roman" w:cs="Times New Roman"/>
          <w:sz w:val="24"/>
          <w:szCs w:val="24"/>
        </w:rPr>
        <w:t xml:space="preserve"> for the respondent submitted that the appellant made a confession which was produced at the trial un</w:t>
      </w:r>
      <w:r w:rsidR="009D5BE4" w:rsidRPr="00967746">
        <w:rPr>
          <w:rFonts w:ascii="Times New Roman" w:hAnsi="Times New Roman" w:cs="Times New Roman"/>
          <w:sz w:val="24"/>
          <w:szCs w:val="24"/>
        </w:rPr>
        <w:t>challenged. In fact, I mention in</w:t>
      </w:r>
      <w:r w:rsidRPr="00967746">
        <w:rPr>
          <w:rFonts w:ascii="Times New Roman" w:hAnsi="Times New Roman" w:cs="Times New Roman"/>
          <w:sz w:val="24"/>
          <w:szCs w:val="24"/>
        </w:rPr>
        <w:t xml:space="preserve"> passing that the production of the confirmed warned and cautioned statement could not be challenged and was indeed no</w:t>
      </w:r>
      <w:r w:rsidR="00FA4893" w:rsidRPr="00967746">
        <w:rPr>
          <w:rFonts w:ascii="Times New Roman" w:hAnsi="Times New Roman" w:cs="Times New Roman"/>
          <w:sz w:val="24"/>
          <w:szCs w:val="24"/>
        </w:rPr>
        <w:t>t</w:t>
      </w:r>
      <w:r w:rsidRPr="00967746">
        <w:rPr>
          <w:rFonts w:ascii="Times New Roman" w:hAnsi="Times New Roman" w:cs="Times New Roman"/>
          <w:sz w:val="24"/>
          <w:szCs w:val="24"/>
        </w:rPr>
        <w:t xml:space="preserve"> challenged. Ms </w:t>
      </w:r>
      <w:r w:rsidRPr="00967746">
        <w:rPr>
          <w:rFonts w:ascii="Times New Roman" w:hAnsi="Times New Roman" w:cs="Times New Roman"/>
          <w:i/>
          <w:sz w:val="24"/>
          <w:szCs w:val="24"/>
        </w:rPr>
        <w:t>Kunaka</w:t>
      </w:r>
      <w:r w:rsidRPr="00967746">
        <w:rPr>
          <w:rFonts w:ascii="Times New Roman" w:hAnsi="Times New Roman" w:cs="Times New Roman"/>
          <w:sz w:val="24"/>
          <w:szCs w:val="24"/>
        </w:rPr>
        <w:t xml:space="preserve"> submitted further that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did not rely on the statement only. It also took into account</w:t>
      </w:r>
      <w:r w:rsidR="00E17170" w:rsidRPr="00967746">
        <w:rPr>
          <w:rFonts w:ascii="Times New Roman" w:hAnsi="Times New Roman" w:cs="Times New Roman"/>
          <w:sz w:val="24"/>
          <w:szCs w:val="24"/>
        </w:rPr>
        <w:t xml:space="preserve"> the oral evidence led at the trial.</w:t>
      </w:r>
    </w:p>
    <w:p w:rsidR="00E17170" w:rsidRPr="00967746" w:rsidRDefault="00E17170" w:rsidP="00E41C2D">
      <w:pPr>
        <w:spacing w:after="0" w:line="480" w:lineRule="auto"/>
        <w:ind w:firstLine="1440"/>
        <w:jc w:val="both"/>
        <w:rPr>
          <w:rFonts w:ascii="Times New Roman" w:hAnsi="Times New Roman" w:cs="Times New Roman"/>
          <w:sz w:val="24"/>
          <w:szCs w:val="24"/>
        </w:rPr>
      </w:pPr>
    </w:p>
    <w:p w:rsidR="00E17170" w:rsidRPr="00967746" w:rsidRDefault="00E17170" w:rsidP="00E41C2D">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On sentence, Mr </w:t>
      </w:r>
      <w:r w:rsidRPr="00967746">
        <w:rPr>
          <w:rFonts w:ascii="Times New Roman" w:hAnsi="Times New Roman" w:cs="Times New Roman"/>
          <w:i/>
          <w:sz w:val="24"/>
          <w:szCs w:val="24"/>
        </w:rPr>
        <w:t>Siyeba</w:t>
      </w:r>
      <w:r w:rsidRPr="00967746">
        <w:rPr>
          <w:rFonts w:ascii="Times New Roman" w:hAnsi="Times New Roman" w:cs="Times New Roman"/>
          <w:sz w:val="24"/>
          <w:szCs w:val="24"/>
        </w:rPr>
        <w:t xml:space="preserve"> submitted that there was no evidence upon which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could draw the conclusion of pre-planning. He sought to place reliance on the evidence of Enoch Siliya which appeared to contradict the contents of the appellant’s statement. </w:t>
      </w:r>
    </w:p>
    <w:p w:rsidR="00E17170" w:rsidRPr="00967746" w:rsidRDefault="00E17170" w:rsidP="00E41C2D">
      <w:pPr>
        <w:spacing w:after="0" w:line="480" w:lineRule="auto"/>
        <w:ind w:firstLine="1440"/>
        <w:jc w:val="both"/>
        <w:rPr>
          <w:rFonts w:ascii="Times New Roman" w:hAnsi="Times New Roman" w:cs="Times New Roman"/>
          <w:sz w:val="24"/>
          <w:szCs w:val="24"/>
        </w:rPr>
      </w:pPr>
    </w:p>
    <w:p w:rsidR="000706FD" w:rsidRPr="00967746" w:rsidRDefault="00E17170" w:rsidP="00E41C2D">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Siliya stated that the appellant requested the iron bar in the presence of the deceased. In his statement, the appellant stated that he left the deceased pushing his bicycle on his way home and rushed to Siliya’s home to ask for the iron bar. For that reason, Mr </w:t>
      </w:r>
      <w:r w:rsidRPr="00967746">
        <w:rPr>
          <w:rFonts w:ascii="Times New Roman" w:hAnsi="Times New Roman" w:cs="Times New Roman"/>
          <w:i/>
          <w:sz w:val="24"/>
          <w:szCs w:val="24"/>
        </w:rPr>
        <w:t>Siyeba</w:t>
      </w:r>
      <w:r w:rsidRPr="00967746">
        <w:rPr>
          <w:rFonts w:ascii="Times New Roman" w:hAnsi="Times New Roman" w:cs="Times New Roman"/>
          <w:sz w:val="24"/>
          <w:szCs w:val="24"/>
        </w:rPr>
        <w:t xml:space="preserve"> took the view that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misdirected itself by making a finding that there was pre-planning.</w:t>
      </w:r>
    </w:p>
    <w:p w:rsidR="00E17170" w:rsidRPr="00967746" w:rsidRDefault="00E17170" w:rsidP="00E41C2D">
      <w:pPr>
        <w:spacing w:after="0" w:line="480" w:lineRule="auto"/>
        <w:ind w:firstLine="1440"/>
        <w:jc w:val="both"/>
        <w:rPr>
          <w:rFonts w:ascii="Times New Roman" w:hAnsi="Times New Roman" w:cs="Times New Roman"/>
          <w:sz w:val="24"/>
          <w:szCs w:val="24"/>
        </w:rPr>
      </w:pPr>
    </w:p>
    <w:p w:rsidR="009205BB" w:rsidRPr="00967746" w:rsidRDefault="00C04F45" w:rsidP="00E41C2D">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Mr </w:t>
      </w:r>
      <w:r w:rsidRPr="00967746">
        <w:rPr>
          <w:rFonts w:ascii="Times New Roman" w:hAnsi="Times New Roman" w:cs="Times New Roman"/>
          <w:i/>
          <w:sz w:val="24"/>
          <w:szCs w:val="24"/>
        </w:rPr>
        <w:t>Siyeba</w:t>
      </w:r>
      <w:r w:rsidRPr="00967746">
        <w:rPr>
          <w:rFonts w:ascii="Times New Roman" w:hAnsi="Times New Roman" w:cs="Times New Roman"/>
          <w:sz w:val="24"/>
          <w:szCs w:val="24"/>
        </w:rPr>
        <w:t xml:space="preserve"> had nothing useful to say about the robbery. Yet it was common cause at the trial that the deceased had been found with his pockets turned inside out. He had also been robbed of his cellphone and red mountain bicycle</w:t>
      </w:r>
      <w:r w:rsidR="004E2CDD" w:rsidRPr="00967746">
        <w:rPr>
          <w:rFonts w:ascii="Times New Roman" w:hAnsi="Times New Roman" w:cs="Times New Roman"/>
          <w:sz w:val="24"/>
          <w:szCs w:val="24"/>
        </w:rPr>
        <w:t>.</w:t>
      </w:r>
      <w:r w:rsidRPr="00967746">
        <w:rPr>
          <w:rFonts w:ascii="Times New Roman" w:hAnsi="Times New Roman" w:cs="Times New Roman"/>
          <w:sz w:val="24"/>
          <w:szCs w:val="24"/>
        </w:rPr>
        <w:t xml:space="preserve"> </w:t>
      </w:r>
      <w:r w:rsidR="004E2CDD" w:rsidRPr="00967746">
        <w:rPr>
          <w:rFonts w:ascii="Times New Roman" w:hAnsi="Times New Roman" w:cs="Times New Roman"/>
          <w:sz w:val="24"/>
          <w:szCs w:val="24"/>
        </w:rPr>
        <w:t>I</w:t>
      </w:r>
      <w:r w:rsidRPr="00967746">
        <w:rPr>
          <w:rFonts w:ascii="Times New Roman" w:hAnsi="Times New Roman" w:cs="Times New Roman"/>
          <w:sz w:val="24"/>
          <w:szCs w:val="24"/>
        </w:rPr>
        <w:t>t was also common cause</w:t>
      </w:r>
      <w:r w:rsidR="009205BB" w:rsidRPr="00967746">
        <w:rPr>
          <w:rFonts w:ascii="Times New Roman" w:hAnsi="Times New Roman" w:cs="Times New Roman"/>
          <w:sz w:val="24"/>
          <w:szCs w:val="24"/>
        </w:rPr>
        <w:t xml:space="preserve"> that the bicycle had been found locked inside the appellant’s house. Indeed, when the appellant was requested to </w:t>
      </w:r>
      <w:r w:rsidR="009205BB" w:rsidRPr="00967746">
        <w:rPr>
          <w:rFonts w:ascii="Times New Roman" w:hAnsi="Times New Roman" w:cs="Times New Roman"/>
          <w:sz w:val="24"/>
          <w:szCs w:val="24"/>
        </w:rPr>
        <w:lastRenderedPageBreak/>
        <w:t xml:space="preserve">unlock the door he indicated that he did not have the keys forcing the police to break </w:t>
      </w:r>
      <w:r w:rsidR="00893DE3" w:rsidRPr="00967746">
        <w:rPr>
          <w:rFonts w:ascii="Times New Roman" w:hAnsi="Times New Roman" w:cs="Times New Roman"/>
          <w:sz w:val="24"/>
          <w:szCs w:val="24"/>
        </w:rPr>
        <w:t xml:space="preserve">open </w:t>
      </w:r>
      <w:r w:rsidR="009205BB" w:rsidRPr="00967746">
        <w:rPr>
          <w:rFonts w:ascii="Times New Roman" w:hAnsi="Times New Roman" w:cs="Times New Roman"/>
          <w:sz w:val="24"/>
          <w:szCs w:val="24"/>
        </w:rPr>
        <w:t>the door.</w:t>
      </w:r>
    </w:p>
    <w:p w:rsidR="009205BB" w:rsidRPr="00967746" w:rsidRDefault="009205BB" w:rsidP="00E41C2D">
      <w:pPr>
        <w:spacing w:after="0" w:line="480" w:lineRule="auto"/>
        <w:ind w:firstLine="1440"/>
        <w:jc w:val="both"/>
        <w:rPr>
          <w:rFonts w:ascii="Times New Roman" w:hAnsi="Times New Roman" w:cs="Times New Roman"/>
          <w:sz w:val="24"/>
          <w:szCs w:val="24"/>
        </w:rPr>
      </w:pPr>
    </w:p>
    <w:p w:rsidR="009205BB" w:rsidRPr="00967746" w:rsidRDefault="009205BB" w:rsidP="00E41C2D">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When that was done,</w:t>
      </w:r>
      <w:r w:rsidR="00C04F45" w:rsidRPr="00967746">
        <w:rPr>
          <w:rFonts w:ascii="Times New Roman" w:hAnsi="Times New Roman" w:cs="Times New Roman"/>
          <w:sz w:val="24"/>
          <w:szCs w:val="24"/>
        </w:rPr>
        <w:t xml:space="preserve"> </w:t>
      </w:r>
      <w:r w:rsidR="004E2CDD" w:rsidRPr="00967746">
        <w:rPr>
          <w:rFonts w:ascii="Times New Roman" w:hAnsi="Times New Roman" w:cs="Times New Roman"/>
          <w:sz w:val="24"/>
          <w:szCs w:val="24"/>
        </w:rPr>
        <w:t>“</w:t>
      </w:r>
      <w:r w:rsidRPr="00967746">
        <w:rPr>
          <w:rFonts w:ascii="Times New Roman" w:hAnsi="Times New Roman" w:cs="Times New Roman"/>
          <w:sz w:val="24"/>
          <w:szCs w:val="24"/>
        </w:rPr>
        <w:t>lo and behold</w:t>
      </w:r>
      <w:r w:rsidR="004E2CDD" w:rsidRPr="00967746">
        <w:rPr>
          <w:rFonts w:ascii="Times New Roman" w:hAnsi="Times New Roman" w:cs="Times New Roman"/>
          <w:sz w:val="24"/>
          <w:szCs w:val="24"/>
        </w:rPr>
        <w:t>”</w:t>
      </w:r>
      <w:r w:rsidRPr="00967746">
        <w:rPr>
          <w:rFonts w:ascii="Times New Roman" w:hAnsi="Times New Roman" w:cs="Times New Roman"/>
          <w:sz w:val="24"/>
          <w:szCs w:val="24"/>
        </w:rPr>
        <w:t xml:space="preserve"> the mountain bicycle as well as the blood stained jeans were </w:t>
      </w:r>
      <w:r w:rsidR="00893DE3" w:rsidRPr="00967746">
        <w:rPr>
          <w:rFonts w:ascii="Times New Roman" w:hAnsi="Times New Roman" w:cs="Times New Roman"/>
          <w:sz w:val="24"/>
          <w:szCs w:val="24"/>
        </w:rPr>
        <w:t>recovered from within</w:t>
      </w:r>
      <w:r w:rsidRPr="00967746">
        <w:rPr>
          <w:rFonts w:ascii="Times New Roman" w:hAnsi="Times New Roman" w:cs="Times New Roman"/>
          <w:sz w:val="24"/>
          <w:szCs w:val="24"/>
        </w:rPr>
        <w:t>.</w:t>
      </w:r>
    </w:p>
    <w:p w:rsidR="009205BB" w:rsidRPr="00967746" w:rsidRDefault="009205BB" w:rsidP="009205BB">
      <w:pPr>
        <w:spacing w:after="0" w:line="480" w:lineRule="auto"/>
        <w:jc w:val="both"/>
        <w:rPr>
          <w:rFonts w:ascii="Times New Roman" w:hAnsi="Times New Roman" w:cs="Times New Roman"/>
          <w:sz w:val="24"/>
          <w:szCs w:val="24"/>
        </w:rPr>
      </w:pPr>
    </w:p>
    <w:p w:rsidR="009205BB" w:rsidRPr="00967746" w:rsidRDefault="009205BB" w:rsidP="009205BB">
      <w:pPr>
        <w:spacing w:after="0" w:line="480" w:lineRule="auto"/>
        <w:jc w:val="both"/>
        <w:rPr>
          <w:rFonts w:ascii="Times New Roman" w:hAnsi="Times New Roman" w:cs="Times New Roman"/>
          <w:b/>
          <w:sz w:val="24"/>
          <w:szCs w:val="24"/>
          <w:u w:val="single"/>
        </w:rPr>
      </w:pPr>
      <w:r w:rsidRPr="00967746">
        <w:rPr>
          <w:rFonts w:ascii="Times New Roman" w:hAnsi="Times New Roman" w:cs="Times New Roman"/>
          <w:b/>
          <w:sz w:val="24"/>
          <w:szCs w:val="24"/>
          <w:u w:val="single"/>
        </w:rPr>
        <w:t>THE LAW</w:t>
      </w:r>
    </w:p>
    <w:p w:rsidR="0000692E" w:rsidRPr="00967746" w:rsidRDefault="0000692E" w:rsidP="009205BB">
      <w:pPr>
        <w:spacing w:after="0" w:line="480" w:lineRule="auto"/>
        <w:jc w:val="both"/>
        <w:rPr>
          <w:rFonts w:ascii="Times New Roman" w:hAnsi="Times New Roman" w:cs="Times New Roman"/>
          <w:sz w:val="24"/>
          <w:szCs w:val="24"/>
        </w:rPr>
      </w:pPr>
      <w:r w:rsidRPr="00967746">
        <w:rPr>
          <w:rFonts w:ascii="Times New Roman" w:hAnsi="Times New Roman" w:cs="Times New Roman"/>
          <w:b/>
          <w:sz w:val="24"/>
          <w:szCs w:val="24"/>
        </w:rPr>
        <w:tab/>
      </w:r>
      <w:r w:rsidRPr="00967746">
        <w:rPr>
          <w:rFonts w:ascii="Times New Roman" w:hAnsi="Times New Roman" w:cs="Times New Roman"/>
          <w:sz w:val="24"/>
          <w:szCs w:val="24"/>
        </w:rPr>
        <w:tab/>
        <w:t xml:space="preserve">The issue of </w:t>
      </w:r>
      <w:r w:rsidR="004E2CDD" w:rsidRPr="00967746">
        <w:rPr>
          <w:rFonts w:ascii="Times New Roman" w:hAnsi="Times New Roman" w:cs="Times New Roman"/>
          <w:sz w:val="24"/>
          <w:szCs w:val="24"/>
        </w:rPr>
        <w:t xml:space="preserve">the </w:t>
      </w:r>
      <w:r w:rsidRPr="00967746">
        <w:rPr>
          <w:rFonts w:ascii="Times New Roman" w:hAnsi="Times New Roman" w:cs="Times New Roman"/>
          <w:sz w:val="24"/>
          <w:szCs w:val="24"/>
        </w:rPr>
        <w:t>use of the appellant’s warned</w:t>
      </w:r>
      <w:r w:rsidR="008B51E3" w:rsidRPr="00967746">
        <w:rPr>
          <w:rFonts w:ascii="Times New Roman" w:hAnsi="Times New Roman" w:cs="Times New Roman"/>
          <w:sz w:val="24"/>
          <w:szCs w:val="24"/>
        </w:rPr>
        <w:t xml:space="preserve"> and cautioned statement is </w:t>
      </w:r>
      <w:r w:rsidR="004E2CDD" w:rsidRPr="00967746">
        <w:rPr>
          <w:rFonts w:ascii="Times New Roman" w:hAnsi="Times New Roman" w:cs="Times New Roman"/>
          <w:sz w:val="24"/>
          <w:szCs w:val="24"/>
        </w:rPr>
        <w:t>one entirely regulated by statut</w:t>
      </w:r>
      <w:r w:rsidR="008B51E3" w:rsidRPr="00967746">
        <w:rPr>
          <w:rFonts w:ascii="Times New Roman" w:hAnsi="Times New Roman" w:cs="Times New Roman"/>
          <w:sz w:val="24"/>
          <w:szCs w:val="24"/>
        </w:rPr>
        <w:t xml:space="preserve">e. It is dealt with in s 113 of the Criminal </w:t>
      </w:r>
      <w:r w:rsidR="004E2CDD" w:rsidRPr="00967746">
        <w:rPr>
          <w:rFonts w:ascii="Times New Roman" w:hAnsi="Times New Roman" w:cs="Times New Roman"/>
          <w:sz w:val="24"/>
          <w:szCs w:val="24"/>
        </w:rPr>
        <w:t>P</w:t>
      </w:r>
      <w:r w:rsidR="008B51E3" w:rsidRPr="00967746">
        <w:rPr>
          <w:rFonts w:ascii="Times New Roman" w:hAnsi="Times New Roman" w:cs="Times New Roman"/>
          <w:sz w:val="24"/>
          <w:szCs w:val="24"/>
        </w:rPr>
        <w:t>rocedure &amp; Evidence Act [</w:t>
      </w:r>
      <w:r w:rsidR="008B51E3" w:rsidRPr="00967746">
        <w:rPr>
          <w:rFonts w:ascii="Times New Roman" w:hAnsi="Times New Roman" w:cs="Times New Roman"/>
          <w:i/>
          <w:sz w:val="24"/>
          <w:szCs w:val="24"/>
        </w:rPr>
        <w:t>Chapter 9:07</w:t>
      </w:r>
      <w:r w:rsidR="008B51E3" w:rsidRPr="00967746">
        <w:rPr>
          <w:rFonts w:ascii="Times New Roman" w:hAnsi="Times New Roman" w:cs="Times New Roman"/>
          <w:sz w:val="24"/>
          <w:szCs w:val="24"/>
        </w:rPr>
        <w:t xml:space="preserve">] providing for </w:t>
      </w:r>
      <w:r w:rsidR="00BF1E3F" w:rsidRPr="00967746">
        <w:rPr>
          <w:rFonts w:ascii="Times New Roman" w:hAnsi="Times New Roman" w:cs="Times New Roman"/>
          <w:sz w:val="24"/>
          <w:szCs w:val="24"/>
        </w:rPr>
        <w:t>confirmation of the statement by a magistrate. Once confirmed, the admission of the statement before a court is governed by s 256 (1) and (2) of the Criminal Procedure and Evidence Act [</w:t>
      </w:r>
      <w:r w:rsidR="00BF1E3F" w:rsidRPr="00967746">
        <w:rPr>
          <w:rFonts w:ascii="Times New Roman" w:hAnsi="Times New Roman" w:cs="Times New Roman"/>
          <w:i/>
          <w:sz w:val="24"/>
          <w:szCs w:val="24"/>
        </w:rPr>
        <w:t>Chapter 9:07</w:t>
      </w:r>
      <w:r w:rsidR="00BF1E3F" w:rsidRPr="00967746">
        <w:rPr>
          <w:rFonts w:ascii="Times New Roman" w:hAnsi="Times New Roman" w:cs="Times New Roman"/>
          <w:sz w:val="24"/>
          <w:szCs w:val="24"/>
        </w:rPr>
        <w:t>]</w:t>
      </w:r>
      <w:r w:rsidR="004E2CDD" w:rsidRPr="00967746">
        <w:rPr>
          <w:rFonts w:ascii="Times New Roman" w:hAnsi="Times New Roman" w:cs="Times New Roman"/>
          <w:sz w:val="24"/>
          <w:szCs w:val="24"/>
        </w:rPr>
        <w:t>.</w:t>
      </w:r>
      <w:r w:rsidR="00385748" w:rsidRPr="00967746">
        <w:rPr>
          <w:rFonts w:ascii="Times New Roman" w:hAnsi="Times New Roman" w:cs="Times New Roman"/>
          <w:sz w:val="24"/>
          <w:szCs w:val="24"/>
        </w:rPr>
        <w:t xml:space="preserve"> The provisions read:</w:t>
      </w:r>
    </w:p>
    <w:p w:rsidR="00BF1E3F" w:rsidRPr="00967746" w:rsidRDefault="00BF1E3F" w:rsidP="004E2CDD">
      <w:pPr>
        <w:spacing w:after="0" w:line="240" w:lineRule="auto"/>
        <w:ind w:left="1350" w:hanging="630"/>
        <w:jc w:val="both"/>
        <w:rPr>
          <w:rFonts w:ascii="Times New Roman" w:hAnsi="Times New Roman" w:cs="Times New Roman"/>
          <w:sz w:val="24"/>
          <w:szCs w:val="24"/>
        </w:rPr>
      </w:pPr>
      <w:r w:rsidRPr="00967746">
        <w:rPr>
          <w:rFonts w:ascii="Times New Roman" w:hAnsi="Times New Roman" w:cs="Times New Roman"/>
          <w:sz w:val="24"/>
          <w:szCs w:val="24"/>
        </w:rPr>
        <w:t>“</w:t>
      </w:r>
      <w:r w:rsidR="004E2CDD" w:rsidRPr="00967746">
        <w:rPr>
          <w:rFonts w:ascii="Times New Roman" w:hAnsi="Times New Roman" w:cs="Times New Roman"/>
          <w:sz w:val="24"/>
          <w:szCs w:val="24"/>
        </w:rPr>
        <w:t>(</w:t>
      </w:r>
      <w:r w:rsidRPr="00967746">
        <w:rPr>
          <w:rFonts w:ascii="Times New Roman" w:hAnsi="Times New Roman" w:cs="Times New Roman"/>
          <w:sz w:val="24"/>
          <w:szCs w:val="24"/>
        </w:rPr>
        <w:t>1</w:t>
      </w:r>
      <w:r w:rsidR="004E2CDD" w:rsidRPr="00967746">
        <w:rPr>
          <w:rFonts w:ascii="Times New Roman" w:hAnsi="Times New Roman" w:cs="Times New Roman"/>
          <w:sz w:val="24"/>
          <w:szCs w:val="24"/>
        </w:rPr>
        <w:t>)</w:t>
      </w:r>
      <w:r w:rsidR="003331D9" w:rsidRPr="00967746">
        <w:rPr>
          <w:rFonts w:ascii="Times New Roman" w:hAnsi="Times New Roman" w:cs="Times New Roman"/>
          <w:sz w:val="24"/>
          <w:szCs w:val="24"/>
        </w:rPr>
        <w:t xml:space="preserve"> </w:t>
      </w:r>
      <w:r w:rsidRPr="00967746">
        <w:rPr>
          <w:rFonts w:ascii="Times New Roman" w:hAnsi="Times New Roman" w:cs="Times New Roman"/>
          <w:sz w:val="24"/>
          <w:szCs w:val="24"/>
        </w:rPr>
        <w:t>Any confession of the commission of an offence and any statement which is proved to have been freely and voluntarily made by an accused person without his having been unduly influenced thereto shall be admissible in evidence against such accused person if tendered by the by the prosecutor, whether such confession or statement was made before or after his arrest, or after committal and whether reduced into writing or not…</w:t>
      </w:r>
    </w:p>
    <w:p w:rsidR="002B52EF" w:rsidRPr="00967746" w:rsidRDefault="003331D9" w:rsidP="004E2CDD">
      <w:pPr>
        <w:spacing w:after="0" w:line="240" w:lineRule="auto"/>
        <w:ind w:left="1350" w:hanging="630"/>
        <w:jc w:val="both"/>
        <w:rPr>
          <w:rFonts w:ascii="Times New Roman" w:hAnsi="Times New Roman" w:cs="Times New Roman"/>
          <w:sz w:val="24"/>
          <w:szCs w:val="24"/>
        </w:rPr>
      </w:pPr>
      <w:r w:rsidRPr="00967746">
        <w:rPr>
          <w:rFonts w:ascii="Times New Roman" w:hAnsi="Times New Roman" w:cs="Times New Roman"/>
          <w:sz w:val="24"/>
          <w:szCs w:val="24"/>
        </w:rPr>
        <w:tab/>
      </w:r>
    </w:p>
    <w:p w:rsidR="003331D9" w:rsidRPr="00967746" w:rsidRDefault="003331D9" w:rsidP="004E2CDD">
      <w:pPr>
        <w:spacing w:after="0" w:line="240" w:lineRule="auto"/>
        <w:ind w:left="1350" w:hanging="630"/>
        <w:jc w:val="both"/>
        <w:rPr>
          <w:rFonts w:ascii="Times New Roman" w:hAnsi="Times New Roman" w:cs="Times New Roman"/>
          <w:sz w:val="24"/>
          <w:szCs w:val="24"/>
        </w:rPr>
      </w:pPr>
      <w:r w:rsidRPr="00967746">
        <w:rPr>
          <w:rFonts w:ascii="Times New Roman" w:hAnsi="Times New Roman" w:cs="Times New Roman"/>
          <w:sz w:val="24"/>
          <w:szCs w:val="24"/>
        </w:rPr>
        <w:t>Provided that-</w:t>
      </w:r>
    </w:p>
    <w:p w:rsidR="003331D9" w:rsidRPr="00967746" w:rsidRDefault="003331D9" w:rsidP="002B52EF">
      <w:pPr>
        <w:spacing w:after="0" w:line="240" w:lineRule="auto"/>
        <w:ind w:left="1980" w:hanging="540"/>
        <w:jc w:val="both"/>
        <w:rPr>
          <w:rFonts w:ascii="Times New Roman" w:hAnsi="Times New Roman" w:cs="Times New Roman"/>
          <w:sz w:val="24"/>
          <w:szCs w:val="24"/>
        </w:rPr>
      </w:pPr>
      <w:r w:rsidRPr="00967746">
        <w:rPr>
          <w:rFonts w:ascii="Times New Roman" w:hAnsi="Times New Roman" w:cs="Times New Roman"/>
          <w:sz w:val="24"/>
          <w:szCs w:val="24"/>
        </w:rPr>
        <w:t xml:space="preserve">(i) a certified copy of the </w:t>
      </w:r>
      <w:r w:rsidR="002B52EF" w:rsidRPr="00967746">
        <w:rPr>
          <w:rFonts w:ascii="Times New Roman" w:hAnsi="Times New Roman" w:cs="Times New Roman"/>
          <w:sz w:val="24"/>
          <w:szCs w:val="24"/>
        </w:rPr>
        <w:t>record produced in terms of s 115 B shall be admissible in evidence against the accused;</w:t>
      </w:r>
    </w:p>
    <w:p w:rsidR="002B52EF" w:rsidRPr="00967746" w:rsidRDefault="002B52EF" w:rsidP="002B52EF">
      <w:pPr>
        <w:spacing w:after="0" w:line="240" w:lineRule="auto"/>
        <w:ind w:left="2070" w:hanging="630"/>
        <w:jc w:val="both"/>
        <w:rPr>
          <w:rFonts w:ascii="Times New Roman" w:hAnsi="Times New Roman" w:cs="Times New Roman"/>
          <w:sz w:val="24"/>
          <w:szCs w:val="24"/>
        </w:rPr>
      </w:pPr>
      <w:r w:rsidRPr="00967746">
        <w:rPr>
          <w:rFonts w:ascii="Times New Roman" w:hAnsi="Times New Roman" w:cs="Times New Roman"/>
          <w:sz w:val="24"/>
          <w:szCs w:val="24"/>
        </w:rPr>
        <w:t>(ii)any information given under any enactment which provides a penalty for a failure or refusal to give such information shall not, on that account alone, be admissible.</w:t>
      </w:r>
    </w:p>
    <w:p w:rsidR="002B52EF" w:rsidRPr="00967746" w:rsidRDefault="002B52EF" w:rsidP="004E2CDD">
      <w:pPr>
        <w:spacing w:after="0" w:line="240" w:lineRule="auto"/>
        <w:ind w:left="1350" w:hanging="630"/>
        <w:jc w:val="both"/>
        <w:rPr>
          <w:rFonts w:ascii="Times New Roman" w:hAnsi="Times New Roman" w:cs="Times New Roman"/>
          <w:sz w:val="24"/>
          <w:szCs w:val="24"/>
        </w:rPr>
      </w:pPr>
    </w:p>
    <w:p w:rsidR="00BF1E3F" w:rsidRPr="00967746" w:rsidRDefault="004E2CDD" w:rsidP="002B52EF">
      <w:pPr>
        <w:spacing w:after="0" w:line="240" w:lineRule="auto"/>
        <w:ind w:left="1620" w:hanging="900"/>
        <w:jc w:val="both"/>
        <w:rPr>
          <w:rFonts w:ascii="Times New Roman" w:hAnsi="Times New Roman" w:cs="Times New Roman"/>
          <w:sz w:val="24"/>
          <w:szCs w:val="24"/>
        </w:rPr>
      </w:pPr>
      <w:r w:rsidRPr="00967746">
        <w:rPr>
          <w:rFonts w:ascii="Times New Roman" w:hAnsi="Times New Roman" w:cs="Times New Roman"/>
          <w:sz w:val="24"/>
          <w:szCs w:val="24"/>
        </w:rPr>
        <w:t>(</w:t>
      </w:r>
      <w:r w:rsidR="00BF1E3F" w:rsidRPr="00967746">
        <w:rPr>
          <w:rFonts w:ascii="Times New Roman" w:hAnsi="Times New Roman" w:cs="Times New Roman"/>
          <w:sz w:val="24"/>
          <w:szCs w:val="24"/>
        </w:rPr>
        <w:t>2</w:t>
      </w:r>
      <w:r w:rsidRPr="00967746">
        <w:rPr>
          <w:rFonts w:ascii="Times New Roman" w:hAnsi="Times New Roman" w:cs="Times New Roman"/>
          <w:sz w:val="24"/>
          <w:szCs w:val="24"/>
        </w:rPr>
        <w:t>)</w:t>
      </w:r>
      <w:r w:rsidR="003331D9" w:rsidRPr="00967746">
        <w:rPr>
          <w:rFonts w:ascii="Times New Roman" w:hAnsi="Times New Roman" w:cs="Times New Roman"/>
          <w:sz w:val="24"/>
          <w:szCs w:val="24"/>
        </w:rPr>
        <w:t xml:space="preserve"> </w:t>
      </w:r>
      <w:r w:rsidRPr="00967746">
        <w:rPr>
          <w:rFonts w:ascii="Times New Roman" w:hAnsi="Times New Roman" w:cs="Times New Roman"/>
          <w:sz w:val="24"/>
          <w:szCs w:val="24"/>
        </w:rPr>
        <w:t xml:space="preserve"> </w:t>
      </w:r>
      <w:r w:rsidR="00BF1E3F" w:rsidRPr="00967746">
        <w:rPr>
          <w:rFonts w:ascii="Times New Roman" w:hAnsi="Times New Roman" w:cs="Times New Roman"/>
          <w:sz w:val="24"/>
          <w:szCs w:val="24"/>
        </w:rPr>
        <w:t>A confession or statement confirmed in terms of subsection</w:t>
      </w:r>
      <w:r w:rsidR="00305177" w:rsidRPr="00967746">
        <w:rPr>
          <w:rFonts w:ascii="Times New Roman" w:hAnsi="Times New Roman" w:cs="Times New Roman"/>
          <w:sz w:val="24"/>
          <w:szCs w:val="24"/>
        </w:rPr>
        <w:t xml:space="preserve"> (3) </w:t>
      </w:r>
      <w:r w:rsidR="00BF1E3F" w:rsidRPr="00967746">
        <w:rPr>
          <w:rFonts w:ascii="Times New Roman" w:hAnsi="Times New Roman" w:cs="Times New Roman"/>
          <w:sz w:val="24"/>
          <w:szCs w:val="24"/>
        </w:rPr>
        <w:t>of section one hundred and thirteen shall be received in evidence before any court upon its mere production by the prosecutor without further proof…”</w:t>
      </w:r>
    </w:p>
    <w:p w:rsidR="007F05D7" w:rsidRPr="00967746" w:rsidRDefault="007F05D7" w:rsidP="00BF1E3F">
      <w:pPr>
        <w:spacing w:after="0" w:line="240" w:lineRule="auto"/>
        <w:ind w:left="1170" w:hanging="450"/>
        <w:jc w:val="both"/>
        <w:rPr>
          <w:rFonts w:ascii="Times New Roman" w:hAnsi="Times New Roman" w:cs="Times New Roman"/>
          <w:sz w:val="24"/>
          <w:szCs w:val="24"/>
        </w:rPr>
      </w:pPr>
    </w:p>
    <w:p w:rsidR="00BF1E3F" w:rsidRPr="00967746" w:rsidRDefault="00BF1E3F" w:rsidP="009205BB">
      <w:pPr>
        <w:spacing w:after="0" w:line="480" w:lineRule="auto"/>
        <w:jc w:val="both"/>
        <w:rPr>
          <w:rFonts w:ascii="Times New Roman" w:hAnsi="Times New Roman" w:cs="Times New Roman"/>
          <w:sz w:val="24"/>
          <w:szCs w:val="24"/>
        </w:rPr>
      </w:pPr>
    </w:p>
    <w:p w:rsidR="00BF1E3F" w:rsidRPr="00967746" w:rsidRDefault="00BF1E3F" w:rsidP="00BF1E3F">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lastRenderedPageBreak/>
        <w:t xml:space="preserve">The appellant’s statement in which he admitted to committing </w:t>
      </w:r>
      <w:r w:rsidR="00BA17AF" w:rsidRPr="00967746">
        <w:rPr>
          <w:rFonts w:ascii="Times New Roman" w:hAnsi="Times New Roman" w:cs="Times New Roman"/>
          <w:sz w:val="24"/>
          <w:szCs w:val="24"/>
        </w:rPr>
        <w:t xml:space="preserve">the offence was confirmed by a magistrate in terms of s 113 of Criminal Procedure &amp; Evidence Act. This Court stated in </w:t>
      </w:r>
      <w:r w:rsidR="00BA17AF" w:rsidRPr="00967746">
        <w:rPr>
          <w:rFonts w:ascii="Times New Roman" w:hAnsi="Times New Roman" w:cs="Times New Roman"/>
          <w:i/>
          <w:sz w:val="24"/>
          <w:szCs w:val="24"/>
        </w:rPr>
        <w:t>S v Mangoma</w:t>
      </w:r>
      <w:r w:rsidR="00BA17AF" w:rsidRPr="00967746">
        <w:rPr>
          <w:rFonts w:ascii="Times New Roman" w:hAnsi="Times New Roman" w:cs="Times New Roman"/>
          <w:sz w:val="24"/>
          <w:szCs w:val="24"/>
        </w:rPr>
        <w:t xml:space="preserve"> SC 36/20 that s 256 (2) of the Act places the onus on an accused person whose statement has been confirmed in terms of s 113 to prove that it was not made freely and voluntarily. Indeed, once the statement</w:t>
      </w:r>
      <w:r w:rsidR="00305177" w:rsidRPr="00967746">
        <w:rPr>
          <w:rFonts w:ascii="Times New Roman" w:hAnsi="Times New Roman" w:cs="Times New Roman"/>
          <w:sz w:val="24"/>
          <w:szCs w:val="24"/>
        </w:rPr>
        <w:t xml:space="preserve"> is</w:t>
      </w:r>
      <w:r w:rsidR="00BA17AF" w:rsidRPr="00967746">
        <w:rPr>
          <w:rFonts w:ascii="Times New Roman" w:hAnsi="Times New Roman" w:cs="Times New Roman"/>
          <w:sz w:val="24"/>
          <w:szCs w:val="24"/>
        </w:rPr>
        <w:t xml:space="preserve"> confirmed it is admissible in court in terms of s 256 (1) of the Act upon its mere production by the prosecution.</w:t>
      </w:r>
    </w:p>
    <w:p w:rsidR="00BA17AF" w:rsidRPr="00967746" w:rsidRDefault="00BA17AF" w:rsidP="00BF1E3F">
      <w:pPr>
        <w:spacing w:after="0" w:line="480" w:lineRule="auto"/>
        <w:ind w:firstLine="1440"/>
        <w:jc w:val="both"/>
        <w:rPr>
          <w:rFonts w:ascii="Times New Roman" w:hAnsi="Times New Roman" w:cs="Times New Roman"/>
          <w:sz w:val="24"/>
          <w:szCs w:val="24"/>
        </w:rPr>
      </w:pPr>
    </w:p>
    <w:p w:rsidR="00BA17AF" w:rsidRPr="00967746" w:rsidRDefault="00BA17AF" w:rsidP="00BF1E3F">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Regarding sentence</w:t>
      </w:r>
      <w:r w:rsidR="00305177" w:rsidRPr="00967746">
        <w:rPr>
          <w:rFonts w:ascii="Times New Roman" w:hAnsi="Times New Roman" w:cs="Times New Roman"/>
          <w:sz w:val="24"/>
          <w:szCs w:val="24"/>
        </w:rPr>
        <w:t>,</w:t>
      </w:r>
      <w:r w:rsidRPr="00967746">
        <w:rPr>
          <w:rFonts w:ascii="Times New Roman" w:hAnsi="Times New Roman" w:cs="Times New Roman"/>
          <w:sz w:val="24"/>
          <w:szCs w:val="24"/>
        </w:rPr>
        <w:t xml:space="preserve"> that is governed by the provisions of s 337 (1) of the Criminal Procedure &amp; </w:t>
      </w:r>
      <w:r w:rsidR="00305177" w:rsidRPr="00967746">
        <w:rPr>
          <w:rFonts w:ascii="Times New Roman" w:hAnsi="Times New Roman" w:cs="Times New Roman"/>
          <w:sz w:val="24"/>
          <w:szCs w:val="24"/>
        </w:rPr>
        <w:t>E</w:t>
      </w:r>
      <w:r w:rsidRPr="00967746">
        <w:rPr>
          <w:rFonts w:ascii="Times New Roman" w:hAnsi="Times New Roman" w:cs="Times New Roman"/>
          <w:sz w:val="24"/>
          <w:szCs w:val="24"/>
        </w:rPr>
        <w:t xml:space="preserve">vidence Act as read with s 47 of the Criminal Law Code. The former gives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the discretion to pass the sentences of death upon an offender convicted of murder if it finds that the murder was committed in aggravating circumstances. </w:t>
      </w:r>
    </w:p>
    <w:p w:rsidR="00BA17AF" w:rsidRPr="00967746" w:rsidRDefault="00BA17AF" w:rsidP="00BF1E3F">
      <w:pPr>
        <w:spacing w:after="0" w:line="480" w:lineRule="auto"/>
        <w:ind w:firstLine="1440"/>
        <w:jc w:val="both"/>
        <w:rPr>
          <w:rFonts w:ascii="Times New Roman" w:hAnsi="Times New Roman" w:cs="Times New Roman"/>
          <w:sz w:val="24"/>
          <w:szCs w:val="24"/>
        </w:rPr>
      </w:pPr>
    </w:p>
    <w:p w:rsidR="00BA17AF" w:rsidRPr="00967746" w:rsidRDefault="00BA17AF" w:rsidP="00BF1E3F">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In terms of s 47 (2) of the Criminal Law Code:</w:t>
      </w:r>
    </w:p>
    <w:p w:rsidR="00BA17AF" w:rsidRPr="00967746" w:rsidRDefault="00BA17AF" w:rsidP="00305177">
      <w:pPr>
        <w:spacing w:after="0" w:line="240" w:lineRule="auto"/>
        <w:ind w:left="1440" w:hanging="720"/>
        <w:jc w:val="both"/>
        <w:rPr>
          <w:rFonts w:ascii="Times New Roman" w:hAnsi="Times New Roman" w:cs="Times New Roman"/>
          <w:sz w:val="24"/>
          <w:szCs w:val="24"/>
        </w:rPr>
      </w:pPr>
      <w:r w:rsidRPr="00967746">
        <w:rPr>
          <w:rFonts w:ascii="Times New Roman" w:hAnsi="Times New Roman" w:cs="Times New Roman"/>
          <w:sz w:val="24"/>
          <w:szCs w:val="24"/>
        </w:rPr>
        <w:t>“</w:t>
      </w:r>
      <w:r w:rsidR="00305177" w:rsidRPr="00967746">
        <w:rPr>
          <w:rFonts w:ascii="Times New Roman" w:hAnsi="Times New Roman" w:cs="Times New Roman"/>
          <w:sz w:val="24"/>
          <w:szCs w:val="24"/>
        </w:rPr>
        <w:t>(2)</w:t>
      </w:r>
      <w:r w:rsidRPr="00967746">
        <w:rPr>
          <w:rFonts w:ascii="Times New Roman" w:hAnsi="Times New Roman" w:cs="Times New Roman"/>
          <w:sz w:val="24"/>
          <w:szCs w:val="24"/>
        </w:rPr>
        <w:t xml:space="preserve"> In determining an appropriate sentence to be imposed upon a person convicted of murder, and without limitation on any other factors or circumstances which a court may take into account, </w:t>
      </w:r>
      <w:r w:rsidRPr="00967746">
        <w:rPr>
          <w:rFonts w:ascii="Times New Roman" w:hAnsi="Times New Roman" w:cs="Times New Roman"/>
          <w:sz w:val="24"/>
          <w:szCs w:val="24"/>
          <w:u w:val="single"/>
        </w:rPr>
        <w:t>a court shall regard it as</w:t>
      </w:r>
      <w:r w:rsidRPr="00967746">
        <w:rPr>
          <w:rFonts w:ascii="Times New Roman" w:hAnsi="Times New Roman" w:cs="Times New Roman"/>
          <w:sz w:val="24"/>
          <w:szCs w:val="24"/>
        </w:rPr>
        <w:t xml:space="preserve"> </w:t>
      </w:r>
      <w:r w:rsidR="009D5BE4" w:rsidRPr="00967746">
        <w:rPr>
          <w:rFonts w:ascii="Times New Roman" w:hAnsi="Times New Roman" w:cs="Times New Roman"/>
          <w:sz w:val="24"/>
          <w:szCs w:val="24"/>
        </w:rPr>
        <w:t>an aggravating circumstance</w:t>
      </w:r>
      <w:r w:rsidRPr="00967746">
        <w:rPr>
          <w:rFonts w:ascii="Times New Roman" w:hAnsi="Times New Roman" w:cs="Times New Roman"/>
          <w:sz w:val="24"/>
          <w:szCs w:val="24"/>
        </w:rPr>
        <w:t xml:space="preserve"> if-</w:t>
      </w:r>
    </w:p>
    <w:p w:rsidR="00BA17AF" w:rsidRPr="00967746" w:rsidRDefault="00BA17AF" w:rsidP="007F05D7">
      <w:pPr>
        <w:spacing w:after="0" w:line="240" w:lineRule="auto"/>
        <w:ind w:left="1980" w:hanging="540"/>
        <w:jc w:val="both"/>
        <w:rPr>
          <w:rFonts w:ascii="Times New Roman" w:hAnsi="Times New Roman" w:cs="Times New Roman"/>
          <w:sz w:val="24"/>
          <w:szCs w:val="24"/>
        </w:rPr>
      </w:pPr>
      <w:r w:rsidRPr="00967746">
        <w:rPr>
          <w:rFonts w:ascii="Times New Roman" w:hAnsi="Times New Roman" w:cs="Times New Roman"/>
          <w:sz w:val="24"/>
          <w:szCs w:val="24"/>
        </w:rPr>
        <w:t>(a) the murder was committed by the accused in the course of, or in connection with, or as the result of, the commission of any one or more of the following crimes, or of any act constituting an essential element of any such crime (whether or not the accused was also charged with or convicted of such crime)-</w:t>
      </w:r>
    </w:p>
    <w:p w:rsidR="00BA17AF" w:rsidRPr="00967746" w:rsidRDefault="00BA17AF" w:rsidP="007F05D7">
      <w:pPr>
        <w:spacing w:after="0" w:line="240" w:lineRule="auto"/>
        <w:ind w:firstLine="2160"/>
        <w:jc w:val="both"/>
        <w:rPr>
          <w:rFonts w:ascii="Times New Roman" w:hAnsi="Times New Roman" w:cs="Times New Roman"/>
          <w:sz w:val="24"/>
          <w:szCs w:val="24"/>
        </w:rPr>
      </w:pPr>
      <w:r w:rsidRPr="00967746">
        <w:rPr>
          <w:rFonts w:ascii="Times New Roman" w:hAnsi="Times New Roman" w:cs="Times New Roman"/>
          <w:sz w:val="24"/>
          <w:szCs w:val="24"/>
        </w:rPr>
        <w:t>(i) ---</w:t>
      </w:r>
    </w:p>
    <w:p w:rsidR="00BA17AF" w:rsidRPr="00967746" w:rsidRDefault="00BA17AF" w:rsidP="007F05D7">
      <w:pPr>
        <w:spacing w:after="0" w:line="240" w:lineRule="auto"/>
        <w:ind w:firstLine="2160"/>
        <w:jc w:val="both"/>
        <w:rPr>
          <w:rFonts w:ascii="Times New Roman" w:hAnsi="Times New Roman" w:cs="Times New Roman"/>
          <w:sz w:val="24"/>
          <w:szCs w:val="24"/>
        </w:rPr>
      </w:pPr>
      <w:r w:rsidRPr="00967746">
        <w:rPr>
          <w:rFonts w:ascii="Times New Roman" w:hAnsi="Times New Roman" w:cs="Times New Roman"/>
          <w:sz w:val="24"/>
          <w:szCs w:val="24"/>
        </w:rPr>
        <w:t>(ii) ---</w:t>
      </w:r>
    </w:p>
    <w:p w:rsidR="00BA17AF" w:rsidRPr="00967746" w:rsidRDefault="00BA17AF" w:rsidP="007F05D7">
      <w:pPr>
        <w:spacing w:after="0" w:line="240" w:lineRule="auto"/>
        <w:ind w:left="3150" w:hanging="990"/>
        <w:jc w:val="both"/>
        <w:rPr>
          <w:rFonts w:ascii="Times New Roman" w:hAnsi="Times New Roman" w:cs="Times New Roman"/>
          <w:sz w:val="24"/>
          <w:szCs w:val="24"/>
        </w:rPr>
      </w:pPr>
      <w:r w:rsidRPr="00967746">
        <w:rPr>
          <w:rFonts w:ascii="Times New Roman" w:hAnsi="Times New Roman" w:cs="Times New Roman"/>
          <w:sz w:val="24"/>
          <w:szCs w:val="24"/>
        </w:rPr>
        <w:t xml:space="preserve">(iii) kidnapping or illegal </w:t>
      </w:r>
      <w:r w:rsidR="00395FBA" w:rsidRPr="00967746">
        <w:rPr>
          <w:rFonts w:ascii="Times New Roman" w:hAnsi="Times New Roman" w:cs="Times New Roman"/>
          <w:sz w:val="24"/>
          <w:szCs w:val="24"/>
        </w:rPr>
        <w:t>detention, robbery, hijacking, piracy or escaping from lawful custody; or.</w:t>
      </w:r>
    </w:p>
    <w:p w:rsidR="00395FBA" w:rsidRPr="00967746" w:rsidRDefault="00395FBA" w:rsidP="007F05D7">
      <w:pPr>
        <w:spacing w:after="0" w:line="240" w:lineRule="auto"/>
        <w:ind w:left="3150" w:hanging="990"/>
        <w:jc w:val="both"/>
        <w:rPr>
          <w:rFonts w:ascii="Times New Roman" w:hAnsi="Times New Roman" w:cs="Times New Roman"/>
          <w:sz w:val="24"/>
          <w:szCs w:val="24"/>
        </w:rPr>
      </w:pPr>
      <w:r w:rsidRPr="00967746">
        <w:rPr>
          <w:rFonts w:ascii="Times New Roman" w:hAnsi="Times New Roman" w:cs="Times New Roman"/>
          <w:sz w:val="24"/>
          <w:szCs w:val="24"/>
        </w:rPr>
        <w:t>(iv)</w:t>
      </w:r>
      <w:r w:rsidRPr="00967746">
        <w:rPr>
          <w:rFonts w:ascii="Times New Roman" w:hAnsi="Times New Roman" w:cs="Times New Roman"/>
          <w:sz w:val="24"/>
          <w:szCs w:val="24"/>
        </w:rPr>
        <w:tab/>
        <w:t>---“</w:t>
      </w:r>
    </w:p>
    <w:p w:rsidR="00395FBA" w:rsidRPr="00967746" w:rsidRDefault="00395FBA" w:rsidP="00395FBA">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00305177" w:rsidRPr="00967746">
        <w:rPr>
          <w:rFonts w:ascii="Times New Roman" w:hAnsi="Times New Roman" w:cs="Times New Roman"/>
          <w:sz w:val="24"/>
          <w:szCs w:val="24"/>
        </w:rPr>
        <w:tab/>
      </w:r>
      <w:r w:rsidR="00305177" w:rsidRPr="00967746">
        <w:rPr>
          <w:rFonts w:ascii="Times New Roman" w:hAnsi="Times New Roman" w:cs="Times New Roman"/>
          <w:sz w:val="24"/>
          <w:szCs w:val="24"/>
        </w:rPr>
        <w:tab/>
      </w:r>
      <w:r w:rsidR="00305177" w:rsidRPr="00967746">
        <w:rPr>
          <w:rFonts w:ascii="Times New Roman" w:hAnsi="Times New Roman" w:cs="Times New Roman"/>
          <w:sz w:val="24"/>
          <w:szCs w:val="24"/>
        </w:rPr>
        <w:tab/>
        <w:t>(The underlining is for emphasis)</w:t>
      </w:r>
    </w:p>
    <w:p w:rsidR="007F05D7" w:rsidRPr="00967746" w:rsidRDefault="007F05D7" w:rsidP="00395FBA">
      <w:pPr>
        <w:spacing w:after="0" w:line="480" w:lineRule="auto"/>
        <w:jc w:val="both"/>
        <w:rPr>
          <w:rFonts w:ascii="Times New Roman" w:hAnsi="Times New Roman" w:cs="Times New Roman"/>
          <w:sz w:val="24"/>
          <w:szCs w:val="24"/>
        </w:rPr>
      </w:pPr>
    </w:p>
    <w:p w:rsidR="00395FBA" w:rsidRPr="00967746" w:rsidRDefault="00395FBA" w:rsidP="00395FBA">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lastRenderedPageBreak/>
        <w:tab/>
      </w:r>
      <w:r w:rsidRPr="00967746">
        <w:rPr>
          <w:rFonts w:ascii="Times New Roman" w:hAnsi="Times New Roman" w:cs="Times New Roman"/>
          <w:sz w:val="24"/>
          <w:szCs w:val="24"/>
        </w:rPr>
        <w:tab/>
        <w:t>Subsection (3) of s 47 permits a court convicting an offender of murder to regard as an aggravating circumstance the fact that the murder was premeditated.</w:t>
      </w:r>
    </w:p>
    <w:p w:rsidR="00395FBA" w:rsidRPr="00967746" w:rsidRDefault="00395FBA" w:rsidP="00395FBA">
      <w:pPr>
        <w:spacing w:after="0" w:line="480" w:lineRule="auto"/>
        <w:jc w:val="both"/>
        <w:rPr>
          <w:rFonts w:ascii="Times New Roman" w:hAnsi="Times New Roman" w:cs="Times New Roman"/>
          <w:sz w:val="24"/>
          <w:szCs w:val="24"/>
        </w:rPr>
      </w:pPr>
    </w:p>
    <w:p w:rsidR="00395FBA" w:rsidRPr="00967746" w:rsidRDefault="00395FBA" w:rsidP="00395FBA">
      <w:pPr>
        <w:spacing w:after="0" w:line="480" w:lineRule="auto"/>
        <w:jc w:val="both"/>
        <w:rPr>
          <w:rFonts w:ascii="Times New Roman" w:hAnsi="Times New Roman" w:cs="Times New Roman"/>
          <w:b/>
          <w:sz w:val="24"/>
          <w:szCs w:val="24"/>
          <w:u w:val="single"/>
        </w:rPr>
      </w:pPr>
      <w:r w:rsidRPr="00967746">
        <w:rPr>
          <w:rFonts w:ascii="Times New Roman" w:hAnsi="Times New Roman" w:cs="Times New Roman"/>
          <w:b/>
          <w:sz w:val="24"/>
          <w:szCs w:val="24"/>
          <w:u w:val="single"/>
        </w:rPr>
        <w:t>APPLICATION OF THE LAW TO THE FACTS</w:t>
      </w:r>
    </w:p>
    <w:p w:rsidR="00395FBA" w:rsidRDefault="00395FBA" w:rsidP="00395FBA">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 xml:space="preserve">What this Court is called upon to determine is mainly two-fold. Whether the appellant was properly convicted and whether he was properly sentenced. </w:t>
      </w:r>
    </w:p>
    <w:p w:rsidR="00967746" w:rsidRPr="00967746" w:rsidRDefault="00967746" w:rsidP="00395FBA">
      <w:pPr>
        <w:spacing w:after="0" w:line="480" w:lineRule="auto"/>
        <w:jc w:val="both"/>
        <w:rPr>
          <w:rFonts w:ascii="Times New Roman" w:hAnsi="Times New Roman" w:cs="Times New Roman"/>
          <w:sz w:val="24"/>
          <w:szCs w:val="24"/>
        </w:rPr>
      </w:pPr>
    </w:p>
    <w:p w:rsidR="00395FBA" w:rsidRPr="00967746" w:rsidRDefault="00395FBA" w:rsidP="00395FBA">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 xml:space="preserve">It is true that the conviction of the appellant was anchored on the confession that he made to the police. In that confession, as I have already stated, the appellant gave a detailed account of how he had killed the deceased and robbed him of his belongings. It is significant that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to its immense credit</w:t>
      </w:r>
      <w:r w:rsidR="00305177" w:rsidRPr="00967746">
        <w:rPr>
          <w:rFonts w:ascii="Times New Roman" w:hAnsi="Times New Roman" w:cs="Times New Roman"/>
          <w:sz w:val="24"/>
          <w:szCs w:val="24"/>
        </w:rPr>
        <w:t>,</w:t>
      </w:r>
      <w:r w:rsidRPr="00967746">
        <w:rPr>
          <w:rFonts w:ascii="Times New Roman" w:hAnsi="Times New Roman" w:cs="Times New Roman"/>
          <w:sz w:val="24"/>
          <w:szCs w:val="24"/>
        </w:rPr>
        <w:t xml:space="preserve"> did not rely entirely on the confession. It was mindful of the need to have regard to </w:t>
      </w:r>
      <w:r w:rsidRPr="00967746">
        <w:rPr>
          <w:rFonts w:ascii="Times New Roman" w:hAnsi="Times New Roman" w:cs="Times New Roman"/>
          <w:i/>
          <w:sz w:val="24"/>
          <w:szCs w:val="24"/>
        </w:rPr>
        <w:t>viva voce</w:t>
      </w:r>
      <w:r w:rsidRPr="00967746">
        <w:rPr>
          <w:rFonts w:ascii="Times New Roman" w:hAnsi="Times New Roman" w:cs="Times New Roman"/>
          <w:sz w:val="24"/>
          <w:szCs w:val="24"/>
        </w:rPr>
        <w:t xml:space="preserve"> evidence to determine the intention of the appellant.</w:t>
      </w:r>
    </w:p>
    <w:p w:rsidR="00395FBA" w:rsidRPr="00967746" w:rsidRDefault="00395FBA" w:rsidP="00395FBA">
      <w:pPr>
        <w:spacing w:after="0" w:line="480" w:lineRule="auto"/>
        <w:jc w:val="both"/>
        <w:rPr>
          <w:rFonts w:ascii="Times New Roman" w:hAnsi="Times New Roman" w:cs="Times New Roman"/>
          <w:sz w:val="24"/>
          <w:szCs w:val="24"/>
        </w:rPr>
      </w:pPr>
    </w:p>
    <w:p w:rsidR="00395FBA" w:rsidRPr="00967746" w:rsidRDefault="00395FBA" w:rsidP="00395FBA">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ab/>
      </w:r>
      <w:r w:rsidRPr="00967746">
        <w:rPr>
          <w:rFonts w:ascii="Times New Roman" w:hAnsi="Times New Roman" w:cs="Times New Roman"/>
          <w:sz w:val="24"/>
          <w:szCs w:val="24"/>
        </w:rPr>
        <w:tab/>
        <w:t xml:space="preserve">To that end the learned judge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stated:</w:t>
      </w:r>
    </w:p>
    <w:p w:rsidR="00395FBA" w:rsidRPr="00967746" w:rsidRDefault="00395FBA" w:rsidP="0002470E">
      <w:pPr>
        <w:spacing w:after="0" w:line="240" w:lineRule="auto"/>
        <w:ind w:left="720"/>
        <w:jc w:val="both"/>
        <w:rPr>
          <w:rFonts w:ascii="Times New Roman" w:hAnsi="Times New Roman" w:cs="Times New Roman"/>
          <w:sz w:val="24"/>
          <w:szCs w:val="24"/>
        </w:rPr>
      </w:pPr>
      <w:r w:rsidRPr="00967746">
        <w:rPr>
          <w:rFonts w:ascii="Times New Roman" w:hAnsi="Times New Roman" w:cs="Times New Roman"/>
          <w:sz w:val="24"/>
          <w:szCs w:val="24"/>
        </w:rPr>
        <w:t xml:space="preserve">“The importance of oral evidence being led </w:t>
      </w:r>
      <w:r w:rsidR="00305177" w:rsidRPr="00967746">
        <w:rPr>
          <w:rFonts w:ascii="Times New Roman" w:hAnsi="Times New Roman" w:cs="Times New Roman"/>
          <w:sz w:val="24"/>
          <w:szCs w:val="24"/>
        </w:rPr>
        <w:t>i</w:t>
      </w:r>
      <w:r w:rsidRPr="00967746">
        <w:rPr>
          <w:rFonts w:ascii="Times New Roman" w:hAnsi="Times New Roman" w:cs="Times New Roman"/>
          <w:sz w:val="24"/>
          <w:szCs w:val="24"/>
        </w:rPr>
        <w:t>s to establish the accused’s intention. In this</w:t>
      </w:r>
      <w:r w:rsidR="00305177" w:rsidRPr="00967746">
        <w:rPr>
          <w:rFonts w:ascii="Times New Roman" w:hAnsi="Times New Roman" w:cs="Times New Roman"/>
          <w:sz w:val="24"/>
          <w:szCs w:val="24"/>
        </w:rPr>
        <w:t xml:space="preserve"> regard,</w:t>
      </w:r>
      <w:r w:rsidRPr="00967746">
        <w:rPr>
          <w:rFonts w:ascii="Times New Roman" w:hAnsi="Times New Roman" w:cs="Times New Roman"/>
          <w:sz w:val="24"/>
          <w:szCs w:val="24"/>
        </w:rPr>
        <w:t xml:space="preserve"> I refer to </w:t>
      </w:r>
      <w:r w:rsidRPr="00967746">
        <w:rPr>
          <w:rFonts w:ascii="Times New Roman" w:hAnsi="Times New Roman" w:cs="Times New Roman"/>
          <w:i/>
          <w:sz w:val="24"/>
          <w:szCs w:val="24"/>
        </w:rPr>
        <w:t>State v Dehwe</w:t>
      </w:r>
      <w:r w:rsidRPr="00967746">
        <w:rPr>
          <w:rFonts w:ascii="Times New Roman" w:hAnsi="Times New Roman" w:cs="Times New Roman"/>
          <w:sz w:val="24"/>
          <w:szCs w:val="24"/>
        </w:rPr>
        <w:t xml:space="preserve"> 1987 (2) ZLR 231 (SC). In the present case the accused pre-planned the deceased</w:t>
      </w:r>
      <w:r w:rsidR="00305177" w:rsidRPr="00967746">
        <w:rPr>
          <w:rFonts w:ascii="Times New Roman" w:hAnsi="Times New Roman" w:cs="Times New Roman"/>
          <w:sz w:val="24"/>
          <w:szCs w:val="24"/>
        </w:rPr>
        <w:t>’s</w:t>
      </w:r>
      <w:r w:rsidRPr="00967746">
        <w:rPr>
          <w:rFonts w:ascii="Times New Roman" w:hAnsi="Times New Roman" w:cs="Times New Roman"/>
          <w:sz w:val="24"/>
          <w:szCs w:val="24"/>
        </w:rPr>
        <w:t xml:space="preserve"> murder. This is why he went back to Enock Siliya’s home to ask for a weapon. The motive was to rob the deceased as is apparent from the warned and cautioned statement. The proceeds of the robbery were recovered from the accused. His blood stained jean trousers was also recovered.”</w:t>
      </w:r>
    </w:p>
    <w:p w:rsidR="0002470E" w:rsidRPr="00967746" w:rsidRDefault="0002470E" w:rsidP="00395FBA">
      <w:pPr>
        <w:spacing w:after="0" w:line="480" w:lineRule="auto"/>
        <w:ind w:left="720"/>
        <w:jc w:val="both"/>
        <w:rPr>
          <w:rFonts w:ascii="Times New Roman" w:hAnsi="Times New Roman" w:cs="Times New Roman"/>
          <w:sz w:val="24"/>
          <w:szCs w:val="24"/>
        </w:rPr>
      </w:pPr>
    </w:p>
    <w:p w:rsidR="0002470E" w:rsidRPr="00967746" w:rsidRDefault="0002470E" w:rsidP="00305177">
      <w:pPr>
        <w:spacing w:after="0" w:line="360" w:lineRule="auto"/>
        <w:ind w:left="720"/>
        <w:jc w:val="both"/>
        <w:rPr>
          <w:rFonts w:ascii="Times New Roman" w:hAnsi="Times New Roman" w:cs="Times New Roman"/>
          <w:sz w:val="24"/>
          <w:szCs w:val="24"/>
        </w:rPr>
      </w:pPr>
    </w:p>
    <w:p w:rsidR="0002470E" w:rsidRPr="00967746" w:rsidRDefault="0002470E" w:rsidP="007F05D7">
      <w:pPr>
        <w:tabs>
          <w:tab w:val="left" w:pos="1530"/>
        </w:tabs>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t xml:space="preserve">These were factual findings made by the trial court. It is trite that an appeal court can only interfere with factual findings of a trial court on the limited ground of irrationality. In other words, this Court must be satisfied, having regard to the evidence placed before the trial court, that the findings complained of are so outrageous in their defiance of logic or of acceptable </w:t>
      </w:r>
      <w:r w:rsidRPr="00967746">
        <w:rPr>
          <w:rFonts w:ascii="Times New Roman" w:hAnsi="Times New Roman" w:cs="Times New Roman"/>
          <w:sz w:val="24"/>
          <w:szCs w:val="24"/>
        </w:rPr>
        <w:lastRenderedPageBreak/>
        <w:t xml:space="preserve">moral standards that no sensible person who had applied his or her mind to the question to be decided could have arrived at such conclusion. See </w:t>
      </w:r>
      <w:r w:rsidRPr="00967746">
        <w:rPr>
          <w:rFonts w:ascii="Times New Roman" w:hAnsi="Times New Roman" w:cs="Times New Roman"/>
          <w:i/>
          <w:sz w:val="24"/>
          <w:szCs w:val="24"/>
        </w:rPr>
        <w:t>Hama v National Railways of Zimbabwe</w:t>
      </w:r>
      <w:r w:rsidRPr="00967746">
        <w:rPr>
          <w:rFonts w:ascii="Times New Roman" w:hAnsi="Times New Roman" w:cs="Times New Roman"/>
          <w:sz w:val="24"/>
          <w:szCs w:val="24"/>
        </w:rPr>
        <w:t xml:space="preserve"> 1996 (1) ZLR 664 (S) at 670 C-D.</w:t>
      </w:r>
    </w:p>
    <w:p w:rsidR="0002470E" w:rsidRPr="00967746" w:rsidRDefault="0002470E" w:rsidP="00395FBA">
      <w:pPr>
        <w:spacing w:after="0" w:line="480" w:lineRule="auto"/>
        <w:ind w:left="720"/>
        <w:jc w:val="both"/>
        <w:rPr>
          <w:rFonts w:ascii="Times New Roman" w:hAnsi="Times New Roman" w:cs="Times New Roman"/>
          <w:sz w:val="24"/>
          <w:szCs w:val="24"/>
        </w:rPr>
      </w:pPr>
    </w:p>
    <w:p w:rsidR="0002470E" w:rsidRPr="00967746" w:rsidRDefault="0002470E"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Other than attacking the admission of the warned and cautioned statement and the oral evidence on the recovery of blood-stained trousers, counsel for the appellant did not attempt to lay any basis for interference on appeal. In my view it would have been well-nigh impossible to assail the findings of the trial court in the circumstances of this case.</w:t>
      </w:r>
    </w:p>
    <w:p w:rsidR="0002470E" w:rsidRPr="00967746" w:rsidRDefault="0002470E" w:rsidP="00395FBA">
      <w:pPr>
        <w:spacing w:after="0" w:line="480" w:lineRule="auto"/>
        <w:ind w:left="720"/>
        <w:jc w:val="both"/>
        <w:rPr>
          <w:rFonts w:ascii="Times New Roman" w:hAnsi="Times New Roman" w:cs="Times New Roman"/>
          <w:sz w:val="24"/>
          <w:szCs w:val="24"/>
        </w:rPr>
      </w:pPr>
    </w:p>
    <w:p w:rsidR="0002470E" w:rsidRPr="00967746" w:rsidRDefault="0002470E"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 xml:space="preserve">The evidence against the appellant was overwhelming. I must add in passing that having been found in possession of “stolen” items belonging to the deceased, the appellant was also struck by the doctrine of recent possession as provided for in s 123 of the Criminal Law Code. Possession placed the </w:t>
      </w:r>
      <w:r w:rsidRPr="00967746">
        <w:rPr>
          <w:rFonts w:ascii="Times New Roman" w:hAnsi="Times New Roman" w:cs="Times New Roman"/>
          <w:i/>
          <w:sz w:val="24"/>
          <w:szCs w:val="24"/>
        </w:rPr>
        <w:t>onus</w:t>
      </w:r>
      <w:r w:rsidRPr="00967746">
        <w:rPr>
          <w:rFonts w:ascii="Times New Roman" w:hAnsi="Times New Roman" w:cs="Times New Roman"/>
          <w:sz w:val="24"/>
          <w:szCs w:val="24"/>
        </w:rPr>
        <w:t xml:space="preserve"> on the appellant to explain it. The court </w:t>
      </w:r>
      <w:r w:rsidRPr="00967746">
        <w:rPr>
          <w:rFonts w:ascii="Times New Roman" w:hAnsi="Times New Roman" w:cs="Times New Roman"/>
          <w:i/>
          <w:sz w:val="24"/>
          <w:szCs w:val="24"/>
        </w:rPr>
        <w:t>a quo</w:t>
      </w:r>
      <w:r w:rsidR="000B6FFD" w:rsidRPr="00967746">
        <w:rPr>
          <w:rFonts w:ascii="Times New Roman" w:hAnsi="Times New Roman" w:cs="Times New Roman"/>
          <w:sz w:val="24"/>
          <w:szCs w:val="24"/>
        </w:rPr>
        <w:t xml:space="preserve"> </w:t>
      </w:r>
      <w:r w:rsidR="00305177" w:rsidRPr="00967746">
        <w:rPr>
          <w:rFonts w:ascii="Times New Roman" w:hAnsi="Times New Roman" w:cs="Times New Roman"/>
          <w:sz w:val="24"/>
          <w:szCs w:val="24"/>
        </w:rPr>
        <w:t xml:space="preserve">was </w:t>
      </w:r>
      <w:r w:rsidR="000B6FFD" w:rsidRPr="00967746">
        <w:rPr>
          <w:rFonts w:ascii="Times New Roman" w:hAnsi="Times New Roman" w:cs="Times New Roman"/>
          <w:sz w:val="24"/>
          <w:szCs w:val="24"/>
        </w:rPr>
        <w:t xml:space="preserve">therefore entitled to infer that the appellant stole the bicycle and the cellphone because his explanation for his possession </w:t>
      </w:r>
      <w:r w:rsidR="00305177" w:rsidRPr="00967746">
        <w:rPr>
          <w:rFonts w:ascii="Times New Roman" w:hAnsi="Times New Roman" w:cs="Times New Roman"/>
          <w:sz w:val="24"/>
          <w:szCs w:val="24"/>
        </w:rPr>
        <w:t xml:space="preserve">of them </w:t>
      </w:r>
      <w:r w:rsidR="000B6FFD" w:rsidRPr="00967746">
        <w:rPr>
          <w:rFonts w:ascii="Times New Roman" w:hAnsi="Times New Roman" w:cs="Times New Roman"/>
          <w:sz w:val="24"/>
          <w:szCs w:val="24"/>
        </w:rPr>
        <w:t>was clearly false. The owner was already dead.</w:t>
      </w:r>
    </w:p>
    <w:p w:rsidR="000B6FFD" w:rsidRPr="00967746" w:rsidRDefault="000B6FFD" w:rsidP="00395FBA">
      <w:pPr>
        <w:spacing w:after="0" w:line="480" w:lineRule="auto"/>
        <w:ind w:left="720"/>
        <w:jc w:val="both"/>
        <w:rPr>
          <w:rFonts w:ascii="Times New Roman" w:hAnsi="Times New Roman" w:cs="Times New Roman"/>
          <w:sz w:val="24"/>
          <w:szCs w:val="24"/>
        </w:rPr>
      </w:pPr>
    </w:p>
    <w:p w:rsidR="000B6FFD" w:rsidRPr="00967746" w:rsidRDefault="000B6FFD"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 xml:space="preserve">I conclude that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was entitled to convict the appellant as it did</w:t>
      </w:r>
      <w:r w:rsidR="00305177" w:rsidRPr="00967746">
        <w:rPr>
          <w:rFonts w:ascii="Times New Roman" w:hAnsi="Times New Roman" w:cs="Times New Roman"/>
          <w:sz w:val="24"/>
          <w:szCs w:val="24"/>
        </w:rPr>
        <w:t>,</w:t>
      </w:r>
      <w:r w:rsidRPr="00967746">
        <w:rPr>
          <w:rFonts w:ascii="Times New Roman" w:hAnsi="Times New Roman" w:cs="Times New Roman"/>
          <w:sz w:val="24"/>
          <w:szCs w:val="24"/>
        </w:rPr>
        <w:t xml:space="preserve"> the evidence led by the state having </w:t>
      </w:r>
      <w:r w:rsidR="00305177" w:rsidRPr="00967746">
        <w:rPr>
          <w:rFonts w:ascii="Times New Roman" w:hAnsi="Times New Roman" w:cs="Times New Roman"/>
          <w:sz w:val="24"/>
          <w:szCs w:val="24"/>
        </w:rPr>
        <w:t xml:space="preserve">been </w:t>
      </w:r>
      <w:r w:rsidRPr="00967746">
        <w:rPr>
          <w:rFonts w:ascii="Times New Roman" w:hAnsi="Times New Roman" w:cs="Times New Roman"/>
          <w:sz w:val="24"/>
          <w:szCs w:val="24"/>
        </w:rPr>
        <w:t>overwhelming. There is no merit in the appeal against conviction.</w:t>
      </w:r>
    </w:p>
    <w:p w:rsidR="000B6FFD" w:rsidRPr="00967746" w:rsidRDefault="000B6FFD" w:rsidP="00395FBA">
      <w:pPr>
        <w:spacing w:after="0" w:line="480" w:lineRule="auto"/>
        <w:ind w:left="720"/>
        <w:jc w:val="both"/>
        <w:rPr>
          <w:rFonts w:ascii="Times New Roman" w:hAnsi="Times New Roman" w:cs="Times New Roman"/>
          <w:sz w:val="24"/>
          <w:szCs w:val="24"/>
        </w:rPr>
      </w:pPr>
    </w:p>
    <w:p w:rsidR="000B6FFD" w:rsidRPr="00967746" w:rsidRDefault="000B6FFD"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 xml:space="preserve">The appeal against sentence is also woefully devoid of merit as well. The starting point on sentence is that having regard to the penalty provisions in both the Criminal Procedure </w:t>
      </w:r>
      <w:r w:rsidRPr="00967746">
        <w:rPr>
          <w:rFonts w:ascii="Times New Roman" w:hAnsi="Times New Roman" w:cs="Times New Roman"/>
          <w:sz w:val="24"/>
          <w:szCs w:val="24"/>
        </w:rPr>
        <w:lastRenderedPageBreak/>
        <w:t>and Evidence Act and the Criminal Law Code</w:t>
      </w:r>
      <w:r w:rsidR="00B178A2" w:rsidRPr="00967746">
        <w:rPr>
          <w:rFonts w:ascii="Times New Roman" w:hAnsi="Times New Roman" w:cs="Times New Roman"/>
          <w:sz w:val="24"/>
          <w:szCs w:val="24"/>
        </w:rPr>
        <w:t xml:space="preserve"> which I have related to above, it was within the sentencing discretion of the court </w:t>
      </w:r>
      <w:r w:rsidR="00B178A2" w:rsidRPr="00967746">
        <w:rPr>
          <w:rFonts w:ascii="Times New Roman" w:hAnsi="Times New Roman" w:cs="Times New Roman"/>
          <w:i/>
          <w:sz w:val="24"/>
          <w:szCs w:val="24"/>
        </w:rPr>
        <w:t>a quo</w:t>
      </w:r>
      <w:r w:rsidR="00B178A2" w:rsidRPr="00967746">
        <w:rPr>
          <w:rFonts w:ascii="Times New Roman" w:hAnsi="Times New Roman" w:cs="Times New Roman"/>
          <w:sz w:val="24"/>
          <w:szCs w:val="24"/>
        </w:rPr>
        <w:t xml:space="preserve"> to impose the death penalty.</w:t>
      </w:r>
    </w:p>
    <w:p w:rsidR="00B178A2" w:rsidRPr="00967746" w:rsidRDefault="00B178A2" w:rsidP="00395FBA">
      <w:pPr>
        <w:spacing w:after="0" w:line="480" w:lineRule="auto"/>
        <w:ind w:left="720"/>
        <w:jc w:val="both"/>
        <w:rPr>
          <w:rFonts w:ascii="Times New Roman" w:hAnsi="Times New Roman" w:cs="Times New Roman"/>
          <w:sz w:val="24"/>
          <w:szCs w:val="24"/>
        </w:rPr>
      </w:pPr>
    </w:p>
    <w:p w:rsidR="00B178A2" w:rsidRPr="00967746" w:rsidRDefault="00B178A2"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 xml:space="preserve">It has been repeatedly stated that the guiding principle in an appeal against sentence is that punishment is pre-eminently the province of the trial court. It is that court which enjoys sentencing discretion and an appeal court should always be careful not to erode that discretion. See </w:t>
      </w:r>
      <w:r w:rsidRPr="00967746">
        <w:rPr>
          <w:rFonts w:ascii="Times New Roman" w:hAnsi="Times New Roman" w:cs="Times New Roman"/>
          <w:i/>
          <w:sz w:val="24"/>
          <w:szCs w:val="24"/>
        </w:rPr>
        <w:t>S v Matondora</w:t>
      </w:r>
      <w:r w:rsidRPr="00967746">
        <w:rPr>
          <w:rFonts w:ascii="Times New Roman" w:hAnsi="Times New Roman" w:cs="Times New Roman"/>
          <w:sz w:val="24"/>
          <w:szCs w:val="24"/>
        </w:rPr>
        <w:t xml:space="preserve"> SC 146/20; </w:t>
      </w:r>
      <w:r w:rsidRPr="00967746">
        <w:rPr>
          <w:rFonts w:ascii="Times New Roman" w:hAnsi="Times New Roman" w:cs="Times New Roman"/>
          <w:i/>
          <w:sz w:val="24"/>
          <w:szCs w:val="24"/>
        </w:rPr>
        <w:t>S v Rabie</w:t>
      </w:r>
      <w:r w:rsidRPr="00967746">
        <w:rPr>
          <w:rFonts w:ascii="Times New Roman" w:hAnsi="Times New Roman" w:cs="Times New Roman"/>
          <w:sz w:val="24"/>
          <w:szCs w:val="24"/>
        </w:rPr>
        <w:t xml:space="preserve"> 1975 (4) SA 855 at 857 D-F.</w:t>
      </w:r>
    </w:p>
    <w:p w:rsidR="00B178A2" w:rsidRPr="00967746" w:rsidRDefault="00B178A2" w:rsidP="00395FBA">
      <w:pPr>
        <w:spacing w:after="0" w:line="480" w:lineRule="auto"/>
        <w:ind w:left="720"/>
        <w:jc w:val="both"/>
        <w:rPr>
          <w:rFonts w:ascii="Times New Roman" w:hAnsi="Times New Roman" w:cs="Times New Roman"/>
          <w:sz w:val="24"/>
          <w:szCs w:val="24"/>
        </w:rPr>
      </w:pPr>
    </w:p>
    <w:p w:rsidR="00B178A2" w:rsidRPr="00967746" w:rsidRDefault="00B178A2"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 xml:space="preserve">For the appellate court to interfere with the sentencing discretion of the trial court, it must be shown that there was a misdirection. The appellate court may not interfere merely because it would have imposed a different </w:t>
      </w:r>
      <w:r w:rsidR="00D474CE" w:rsidRPr="00967746">
        <w:rPr>
          <w:rFonts w:ascii="Times New Roman" w:hAnsi="Times New Roman" w:cs="Times New Roman"/>
          <w:sz w:val="24"/>
          <w:szCs w:val="24"/>
        </w:rPr>
        <w:t>sentence had it been the court of first instance. If the sentence complies with the relevant principles</w:t>
      </w:r>
      <w:r w:rsidR="00305177" w:rsidRPr="00967746">
        <w:rPr>
          <w:rFonts w:ascii="Times New Roman" w:hAnsi="Times New Roman" w:cs="Times New Roman"/>
          <w:sz w:val="24"/>
          <w:szCs w:val="24"/>
        </w:rPr>
        <w:t>,</w:t>
      </w:r>
      <w:r w:rsidR="00D474CE" w:rsidRPr="00967746">
        <w:rPr>
          <w:rFonts w:ascii="Times New Roman" w:hAnsi="Times New Roman" w:cs="Times New Roman"/>
          <w:sz w:val="24"/>
          <w:szCs w:val="24"/>
        </w:rPr>
        <w:t xml:space="preserve"> even if severe, it will not be interfered with on appeal. See </w:t>
      </w:r>
      <w:r w:rsidR="00D474CE" w:rsidRPr="00967746">
        <w:rPr>
          <w:rFonts w:ascii="Times New Roman" w:hAnsi="Times New Roman" w:cs="Times New Roman"/>
          <w:i/>
          <w:sz w:val="24"/>
          <w:szCs w:val="24"/>
        </w:rPr>
        <w:t>S v Nhumwa</w:t>
      </w:r>
      <w:r w:rsidR="00D474CE" w:rsidRPr="00967746">
        <w:rPr>
          <w:rFonts w:ascii="Times New Roman" w:hAnsi="Times New Roman" w:cs="Times New Roman"/>
          <w:sz w:val="24"/>
          <w:szCs w:val="24"/>
        </w:rPr>
        <w:t xml:space="preserve"> SC 40/88; </w:t>
      </w:r>
      <w:r w:rsidR="00D474CE" w:rsidRPr="00967746">
        <w:rPr>
          <w:rFonts w:ascii="Times New Roman" w:hAnsi="Times New Roman" w:cs="Times New Roman"/>
          <w:i/>
          <w:sz w:val="24"/>
          <w:szCs w:val="24"/>
        </w:rPr>
        <w:t>S v Sidat</w:t>
      </w:r>
      <w:r w:rsidR="00D474CE" w:rsidRPr="00967746">
        <w:rPr>
          <w:rFonts w:ascii="Times New Roman" w:hAnsi="Times New Roman" w:cs="Times New Roman"/>
          <w:sz w:val="24"/>
          <w:szCs w:val="24"/>
        </w:rPr>
        <w:t xml:space="preserve"> 1997 (1) ZLR 487 (S) at 491 B-D; </w:t>
      </w:r>
      <w:r w:rsidR="00D474CE" w:rsidRPr="00967746">
        <w:rPr>
          <w:rFonts w:ascii="Times New Roman" w:hAnsi="Times New Roman" w:cs="Times New Roman"/>
          <w:i/>
          <w:sz w:val="24"/>
          <w:szCs w:val="24"/>
        </w:rPr>
        <w:t>Muhomba v The State</w:t>
      </w:r>
      <w:r w:rsidR="00D474CE" w:rsidRPr="00967746">
        <w:rPr>
          <w:rFonts w:ascii="Times New Roman" w:hAnsi="Times New Roman" w:cs="Times New Roman"/>
          <w:sz w:val="24"/>
          <w:szCs w:val="24"/>
        </w:rPr>
        <w:t xml:space="preserve"> SC 57/13.</w:t>
      </w:r>
      <w:r w:rsidRPr="00967746">
        <w:rPr>
          <w:rFonts w:ascii="Times New Roman" w:hAnsi="Times New Roman" w:cs="Times New Roman"/>
          <w:sz w:val="24"/>
          <w:szCs w:val="24"/>
        </w:rPr>
        <w:t xml:space="preserve"> </w:t>
      </w:r>
    </w:p>
    <w:p w:rsidR="00D474CE" w:rsidRPr="00967746" w:rsidRDefault="00D474CE" w:rsidP="00395FBA">
      <w:pPr>
        <w:spacing w:after="0" w:line="480" w:lineRule="auto"/>
        <w:ind w:left="720"/>
        <w:jc w:val="both"/>
        <w:rPr>
          <w:rFonts w:ascii="Times New Roman" w:hAnsi="Times New Roman" w:cs="Times New Roman"/>
          <w:sz w:val="24"/>
          <w:szCs w:val="24"/>
        </w:rPr>
      </w:pPr>
    </w:p>
    <w:p w:rsidR="00D474CE" w:rsidRPr="00967746" w:rsidRDefault="00D474CE"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t>I have stated the applicable principles where an offender has been convicted of murder as set out in the relevant statute</w:t>
      </w:r>
      <w:r w:rsidR="00305177" w:rsidRPr="00967746">
        <w:rPr>
          <w:rFonts w:ascii="Times New Roman" w:hAnsi="Times New Roman" w:cs="Times New Roman"/>
          <w:sz w:val="24"/>
          <w:szCs w:val="24"/>
        </w:rPr>
        <w:t>s</w:t>
      </w:r>
      <w:r w:rsidRPr="00967746">
        <w:rPr>
          <w:rFonts w:ascii="Times New Roman" w:hAnsi="Times New Roman" w:cs="Times New Roman"/>
          <w:sz w:val="24"/>
          <w:szCs w:val="24"/>
        </w:rPr>
        <w:t xml:space="preserve">. It has not been shown that any misdirection occurred. The court </w:t>
      </w:r>
      <w:r w:rsidRPr="00967746">
        <w:rPr>
          <w:rFonts w:ascii="Times New Roman" w:hAnsi="Times New Roman" w:cs="Times New Roman"/>
          <w:i/>
          <w:sz w:val="24"/>
          <w:szCs w:val="24"/>
        </w:rPr>
        <w:t>a quo</w:t>
      </w:r>
      <w:r w:rsidRPr="00967746">
        <w:rPr>
          <w:rFonts w:ascii="Times New Roman" w:hAnsi="Times New Roman" w:cs="Times New Roman"/>
          <w:sz w:val="24"/>
          <w:szCs w:val="24"/>
        </w:rPr>
        <w:t xml:space="preserve"> correctly found that the aggravating circumstances,</w:t>
      </w:r>
      <w:r w:rsidR="009D5BE4" w:rsidRPr="00967746">
        <w:rPr>
          <w:rFonts w:ascii="Times New Roman" w:hAnsi="Times New Roman" w:cs="Times New Roman"/>
          <w:sz w:val="24"/>
          <w:szCs w:val="24"/>
        </w:rPr>
        <w:t xml:space="preserve"> that</w:t>
      </w:r>
      <w:r w:rsidRPr="00967746">
        <w:rPr>
          <w:rFonts w:ascii="Times New Roman" w:hAnsi="Times New Roman" w:cs="Times New Roman"/>
          <w:sz w:val="24"/>
          <w:szCs w:val="24"/>
        </w:rPr>
        <w:t xml:space="preserve"> the murder was committed in the course of a robbery and was premediated as well as </w:t>
      </w:r>
      <w:r w:rsidR="00305177" w:rsidRPr="00967746">
        <w:rPr>
          <w:rFonts w:ascii="Times New Roman" w:hAnsi="Times New Roman" w:cs="Times New Roman"/>
          <w:sz w:val="24"/>
          <w:szCs w:val="24"/>
        </w:rPr>
        <w:t xml:space="preserve">the </w:t>
      </w:r>
      <w:r w:rsidRPr="00967746">
        <w:rPr>
          <w:rFonts w:ascii="Times New Roman" w:hAnsi="Times New Roman" w:cs="Times New Roman"/>
          <w:sz w:val="24"/>
          <w:szCs w:val="24"/>
        </w:rPr>
        <w:t xml:space="preserve">callousness </w:t>
      </w:r>
      <w:r w:rsidR="00305177" w:rsidRPr="00967746">
        <w:rPr>
          <w:rFonts w:ascii="Times New Roman" w:hAnsi="Times New Roman" w:cs="Times New Roman"/>
          <w:sz w:val="24"/>
          <w:szCs w:val="24"/>
        </w:rPr>
        <w:t xml:space="preserve">with which it was executed </w:t>
      </w:r>
      <w:r w:rsidR="00F35B45" w:rsidRPr="00967746">
        <w:rPr>
          <w:rFonts w:ascii="Times New Roman" w:hAnsi="Times New Roman" w:cs="Times New Roman"/>
          <w:sz w:val="24"/>
          <w:szCs w:val="24"/>
        </w:rPr>
        <w:t xml:space="preserve">for </w:t>
      </w:r>
      <w:r w:rsidRPr="00967746">
        <w:rPr>
          <w:rFonts w:ascii="Times New Roman" w:hAnsi="Times New Roman" w:cs="Times New Roman"/>
          <w:sz w:val="24"/>
          <w:szCs w:val="24"/>
        </w:rPr>
        <w:t>outweighed the mitigation of youthfulness and intoxication.</w:t>
      </w:r>
    </w:p>
    <w:p w:rsidR="00D474CE" w:rsidRPr="00967746" w:rsidRDefault="00D474CE" w:rsidP="00395FBA">
      <w:pPr>
        <w:spacing w:after="0" w:line="480" w:lineRule="auto"/>
        <w:ind w:left="720"/>
        <w:jc w:val="both"/>
        <w:rPr>
          <w:rFonts w:ascii="Times New Roman" w:hAnsi="Times New Roman" w:cs="Times New Roman"/>
          <w:sz w:val="24"/>
          <w:szCs w:val="24"/>
        </w:rPr>
      </w:pPr>
    </w:p>
    <w:p w:rsidR="00967746" w:rsidRDefault="00D474CE" w:rsidP="007F05D7">
      <w:pPr>
        <w:spacing w:after="0" w:line="480" w:lineRule="auto"/>
        <w:ind w:firstLine="720"/>
        <w:jc w:val="both"/>
        <w:rPr>
          <w:rFonts w:ascii="Times New Roman" w:hAnsi="Times New Roman" w:cs="Times New Roman"/>
          <w:sz w:val="24"/>
          <w:szCs w:val="24"/>
        </w:rPr>
      </w:pPr>
      <w:r w:rsidRPr="00967746">
        <w:rPr>
          <w:rFonts w:ascii="Times New Roman" w:hAnsi="Times New Roman" w:cs="Times New Roman"/>
          <w:sz w:val="24"/>
          <w:szCs w:val="24"/>
        </w:rPr>
        <w:tab/>
      </w:r>
    </w:p>
    <w:p w:rsidR="00967746" w:rsidRDefault="00967746" w:rsidP="007F05D7">
      <w:pPr>
        <w:spacing w:after="0" w:line="480" w:lineRule="auto"/>
        <w:ind w:firstLine="720"/>
        <w:jc w:val="both"/>
        <w:rPr>
          <w:rFonts w:ascii="Times New Roman" w:hAnsi="Times New Roman" w:cs="Times New Roman"/>
          <w:sz w:val="24"/>
          <w:szCs w:val="24"/>
        </w:rPr>
      </w:pPr>
    </w:p>
    <w:p w:rsidR="00D474CE" w:rsidRPr="00967746" w:rsidRDefault="00D474CE" w:rsidP="00967746">
      <w:pPr>
        <w:spacing w:after="0" w:line="480" w:lineRule="auto"/>
        <w:ind w:firstLine="1440"/>
        <w:jc w:val="both"/>
        <w:rPr>
          <w:rFonts w:ascii="Times New Roman" w:hAnsi="Times New Roman" w:cs="Times New Roman"/>
          <w:sz w:val="24"/>
          <w:szCs w:val="24"/>
        </w:rPr>
      </w:pPr>
      <w:r w:rsidRPr="00967746">
        <w:rPr>
          <w:rFonts w:ascii="Times New Roman" w:hAnsi="Times New Roman" w:cs="Times New Roman"/>
          <w:sz w:val="24"/>
          <w:szCs w:val="24"/>
        </w:rPr>
        <w:lastRenderedPageBreak/>
        <w:t>In the result, it be and is hereby ordered that the appeal is dismissed in its entirety.</w:t>
      </w:r>
    </w:p>
    <w:p w:rsidR="00D474CE" w:rsidRPr="00967746" w:rsidRDefault="00D474CE" w:rsidP="00D474CE">
      <w:pPr>
        <w:spacing w:after="0" w:line="480" w:lineRule="auto"/>
        <w:jc w:val="both"/>
        <w:rPr>
          <w:rFonts w:ascii="Times New Roman" w:hAnsi="Times New Roman" w:cs="Times New Roman"/>
          <w:sz w:val="24"/>
          <w:szCs w:val="24"/>
        </w:rPr>
      </w:pPr>
    </w:p>
    <w:p w:rsidR="00C202C6" w:rsidRPr="00967746" w:rsidRDefault="00973260" w:rsidP="00D474CE">
      <w:pPr>
        <w:spacing w:after="0" w:line="480" w:lineRule="auto"/>
        <w:jc w:val="both"/>
        <w:rPr>
          <w:rFonts w:ascii="Times New Roman" w:hAnsi="Times New Roman" w:cs="Times New Roman"/>
          <w:sz w:val="24"/>
          <w:szCs w:val="24"/>
        </w:rPr>
      </w:pPr>
      <w:r w:rsidRPr="00967746">
        <w:rPr>
          <w:rFonts w:ascii="Times New Roman" w:hAnsi="Times New Roman" w:cs="Times New Roman"/>
          <w:sz w:val="24"/>
          <w:szCs w:val="24"/>
        </w:rPr>
        <w:t xml:space="preserve">               </w:t>
      </w:r>
      <w:r w:rsidR="001B7BA1" w:rsidRPr="00967746">
        <w:rPr>
          <w:rFonts w:ascii="Times New Roman" w:hAnsi="Times New Roman" w:cs="Times New Roman"/>
          <w:sz w:val="24"/>
          <w:szCs w:val="24"/>
        </w:rPr>
        <w:t xml:space="preserve">                              </w:t>
      </w:r>
      <w:r w:rsidRPr="00967746">
        <w:rPr>
          <w:rFonts w:ascii="Times New Roman" w:hAnsi="Times New Roman" w:cs="Times New Roman"/>
          <w:b/>
          <w:sz w:val="24"/>
          <w:szCs w:val="24"/>
        </w:rPr>
        <w:t xml:space="preserve">                                                                                                                                                                                                                                                                                                                                                                                                                                                                                                                                                                                                                                                                                                                                                                                                                                                                                                                                                                                                                                                                                                                                                                                                                                                                                                                                                    </w:t>
      </w:r>
      <w:r w:rsidR="0081147B" w:rsidRPr="00967746">
        <w:rPr>
          <w:rFonts w:ascii="Times New Roman" w:hAnsi="Times New Roman" w:cs="Times New Roman"/>
          <w:b/>
          <w:sz w:val="24"/>
          <w:szCs w:val="24"/>
        </w:rPr>
        <w:t xml:space="preserve">                               </w:t>
      </w:r>
    </w:p>
    <w:p w:rsidR="0081147B" w:rsidRDefault="00D32359" w:rsidP="001B7BA1">
      <w:pPr>
        <w:spacing w:after="0" w:line="480" w:lineRule="auto"/>
        <w:ind w:left="720" w:firstLine="720"/>
        <w:contextualSpacing/>
        <w:jc w:val="both"/>
        <w:rPr>
          <w:rFonts w:ascii="Times New Roman" w:hAnsi="Times New Roman" w:cs="Times New Roman"/>
          <w:sz w:val="24"/>
          <w:szCs w:val="24"/>
        </w:rPr>
      </w:pPr>
      <w:r w:rsidRPr="00967746">
        <w:rPr>
          <w:rFonts w:ascii="Times New Roman" w:hAnsi="Times New Roman" w:cs="Times New Roman"/>
          <w:b/>
          <w:sz w:val="24"/>
          <w:szCs w:val="24"/>
        </w:rPr>
        <w:t>MAVANGIRA JA</w:t>
      </w:r>
      <w:r w:rsidRPr="00967746">
        <w:rPr>
          <w:rFonts w:ascii="Times New Roman" w:hAnsi="Times New Roman" w:cs="Times New Roman"/>
          <w:sz w:val="24"/>
          <w:szCs w:val="24"/>
        </w:rPr>
        <w:t xml:space="preserve">    </w:t>
      </w:r>
      <w:r w:rsidRPr="00967746">
        <w:rPr>
          <w:rFonts w:ascii="Times New Roman" w:hAnsi="Times New Roman" w:cs="Times New Roman"/>
          <w:sz w:val="24"/>
          <w:szCs w:val="24"/>
        </w:rPr>
        <w:tab/>
      </w:r>
      <w:r w:rsidRPr="00967746">
        <w:rPr>
          <w:rFonts w:ascii="Times New Roman" w:hAnsi="Times New Roman" w:cs="Times New Roman"/>
          <w:sz w:val="24"/>
          <w:szCs w:val="24"/>
        </w:rPr>
        <w:tab/>
      </w:r>
      <w:r w:rsidRPr="00967746">
        <w:rPr>
          <w:rFonts w:ascii="Times New Roman" w:hAnsi="Times New Roman" w:cs="Times New Roman"/>
          <w:sz w:val="24"/>
          <w:szCs w:val="24"/>
        </w:rPr>
        <w:tab/>
      </w:r>
      <w:r w:rsidR="00967746">
        <w:rPr>
          <w:rFonts w:ascii="Times New Roman" w:hAnsi="Times New Roman" w:cs="Times New Roman"/>
          <w:sz w:val="24"/>
          <w:szCs w:val="24"/>
        </w:rPr>
        <w:tab/>
      </w:r>
      <w:r w:rsidRPr="00967746">
        <w:rPr>
          <w:rFonts w:ascii="Times New Roman" w:hAnsi="Times New Roman" w:cs="Times New Roman"/>
          <w:sz w:val="24"/>
          <w:szCs w:val="24"/>
        </w:rPr>
        <w:t>I agree</w:t>
      </w:r>
    </w:p>
    <w:p w:rsidR="00967746" w:rsidRPr="00967746" w:rsidRDefault="00967746" w:rsidP="001B7BA1">
      <w:pPr>
        <w:spacing w:after="0" w:line="480" w:lineRule="auto"/>
        <w:ind w:left="720" w:firstLine="720"/>
        <w:contextualSpacing/>
        <w:jc w:val="both"/>
        <w:rPr>
          <w:rFonts w:ascii="Times New Roman" w:hAnsi="Times New Roman" w:cs="Times New Roman"/>
          <w:sz w:val="24"/>
          <w:szCs w:val="24"/>
        </w:rPr>
      </w:pPr>
    </w:p>
    <w:p w:rsidR="0081147B" w:rsidRPr="00967746" w:rsidRDefault="0081147B" w:rsidP="00E71232">
      <w:pPr>
        <w:spacing w:after="0" w:line="480" w:lineRule="auto"/>
        <w:ind w:left="720" w:firstLine="720"/>
        <w:contextualSpacing/>
        <w:jc w:val="both"/>
        <w:rPr>
          <w:rFonts w:ascii="Times New Roman" w:hAnsi="Times New Roman" w:cs="Times New Roman"/>
          <w:sz w:val="24"/>
          <w:szCs w:val="24"/>
        </w:rPr>
      </w:pPr>
    </w:p>
    <w:p w:rsidR="00E71232" w:rsidRPr="00967746" w:rsidRDefault="00D32359" w:rsidP="00E71232">
      <w:pPr>
        <w:spacing w:after="0" w:line="480" w:lineRule="auto"/>
        <w:ind w:left="720" w:firstLine="720"/>
        <w:contextualSpacing/>
        <w:jc w:val="both"/>
        <w:rPr>
          <w:rFonts w:ascii="Times New Roman" w:hAnsi="Times New Roman" w:cs="Times New Roman"/>
          <w:sz w:val="24"/>
          <w:szCs w:val="24"/>
        </w:rPr>
      </w:pPr>
      <w:r w:rsidRPr="00967746">
        <w:rPr>
          <w:rFonts w:ascii="Times New Roman" w:hAnsi="Times New Roman" w:cs="Times New Roman"/>
          <w:b/>
          <w:sz w:val="24"/>
          <w:szCs w:val="24"/>
        </w:rPr>
        <w:t>KUDYA AJA</w:t>
      </w:r>
      <w:r w:rsidRPr="00967746">
        <w:rPr>
          <w:rFonts w:ascii="Times New Roman" w:hAnsi="Times New Roman" w:cs="Times New Roman"/>
          <w:b/>
          <w:sz w:val="24"/>
          <w:szCs w:val="24"/>
        </w:rPr>
        <w:tab/>
      </w:r>
      <w:r w:rsidRPr="00967746">
        <w:rPr>
          <w:rFonts w:ascii="Times New Roman" w:hAnsi="Times New Roman" w:cs="Times New Roman"/>
          <w:b/>
          <w:sz w:val="24"/>
          <w:szCs w:val="24"/>
        </w:rPr>
        <w:tab/>
      </w:r>
      <w:r w:rsidRPr="00967746">
        <w:rPr>
          <w:rFonts w:ascii="Times New Roman" w:hAnsi="Times New Roman" w:cs="Times New Roman"/>
          <w:b/>
          <w:sz w:val="24"/>
          <w:szCs w:val="24"/>
        </w:rPr>
        <w:tab/>
      </w:r>
      <w:r w:rsidRPr="00967746">
        <w:rPr>
          <w:rFonts w:ascii="Times New Roman" w:hAnsi="Times New Roman" w:cs="Times New Roman"/>
          <w:b/>
          <w:sz w:val="24"/>
          <w:szCs w:val="24"/>
        </w:rPr>
        <w:tab/>
      </w:r>
      <w:r w:rsidRPr="00967746">
        <w:rPr>
          <w:rFonts w:ascii="Times New Roman" w:hAnsi="Times New Roman" w:cs="Times New Roman"/>
          <w:b/>
          <w:sz w:val="24"/>
          <w:szCs w:val="24"/>
        </w:rPr>
        <w:tab/>
      </w:r>
      <w:r w:rsidRPr="00967746">
        <w:rPr>
          <w:rFonts w:ascii="Times New Roman" w:hAnsi="Times New Roman" w:cs="Times New Roman"/>
          <w:sz w:val="24"/>
          <w:szCs w:val="24"/>
        </w:rPr>
        <w:t>I agree</w:t>
      </w:r>
    </w:p>
    <w:p w:rsidR="00E71232" w:rsidRPr="00967746" w:rsidRDefault="00E71232" w:rsidP="001B7BA1">
      <w:pPr>
        <w:spacing w:after="0" w:line="480" w:lineRule="auto"/>
        <w:contextualSpacing/>
        <w:jc w:val="both"/>
        <w:rPr>
          <w:rFonts w:ascii="Times New Roman" w:hAnsi="Times New Roman" w:cs="Times New Roman"/>
          <w:sz w:val="24"/>
          <w:szCs w:val="24"/>
        </w:rPr>
      </w:pPr>
    </w:p>
    <w:p w:rsidR="001B7BA1" w:rsidRDefault="001B7BA1" w:rsidP="001B7BA1">
      <w:pPr>
        <w:spacing w:after="0" w:line="480" w:lineRule="auto"/>
        <w:contextualSpacing/>
        <w:jc w:val="both"/>
        <w:rPr>
          <w:rFonts w:ascii="Times New Roman" w:hAnsi="Times New Roman" w:cs="Times New Roman"/>
          <w:sz w:val="24"/>
          <w:szCs w:val="24"/>
        </w:rPr>
      </w:pPr>
    </w:p>
    <w:p w:rsidR="00967746" w:rsidRPr="00967746" w:rsidRDefault="00967746" w:rsidP="001B7BA1">
      <w:pPr>
        <w:spacing w:after="0" w:line="480" w:lineRule="auto"/>
        <w:contextualSpacing/>
        <w:jc w:val="both"/>
        <w:rPr>
          <w:rFonts w:ascii="Times New Roman" w:hAnsi="Times New Roman" w:cs="Times New Roman"/>
          <w:sz w:val="24"/>
          <w:szCs w:val="24"/>
        </w:rPr>
      </w:pPr>
    </w:p>
    <w:p w:rsidR="00C202C6" w:rsidRPr="00967746" w:rsidRDefault="00D474CE" w:rsidP="007F05D7">
      <w:pPr>
        <w:spacing w:after="0" w:line="480" w:lineRule="auto"/>
        <w:jc w:val="both"/>
        <w:rPr>
          <w:rFonts w:ascii="Times New Roman" w:hAnsi="Times New Roman" w:cs="Times New Roman"/>
          <w:i/>
          <w:sz w:val="24"/>
          <w:szCs w:val="24"/>
        </w:rPr>
      </w:pPr>
      <w:r w:rsidRPr="00967746">
        <w:rPr>
          <w:rFonts w:ascii="Times New Roman" w:hAnsi="Times New Roman" w:cs="Times New Roman"/>
          <w:i/>
          <w:sz w:val="24"/>
          <w:szCs w:val="24"/>
        </w:rPr>
        <w:t>Bherebhende Law Chambers</w:t>
      </w:r>
      <w:r w:rsidR="00C202C6" w:rsidRPr="00967746">
        <w:rPr>
          <w:rFonts w:ascii="Times New Roman" w:hAnsi="Times New Roman" w:cs="Times New Roman"/>
          <w:i/>
          <w:sz w:val="24"/>
          <w:szCs w:val="24"/>
        </w:rPr>
        <w:t xml:space="preserve">, </w:t>
      </w:r>
      <w:r w:rsidR="00C202C6" w:rsidRPr="00967746">
        <w:rPr>
          <w:rFonts w:ascii="Times New Roman" w:hAnsi="Times New Roman" w:cs="Times New Roman"/>
          <w:sz w:val="24"/>
          <w:szCs w:val="24"/>
        </w:rPr>
        <w:t>app</w:t>
      </w:r>
      <w:r w:rsidR="00E71232" w:rsidRPr="00967746">
        <w:rPr>
          <w:rFonts w:ascii="Times New Roman" w:hAnsi="Times New Roman" w:cs="Times New Roman"/>
          <w:sz w:val="24"/>
          <w:szCs w:val="24"/>
        </w:rPr>
        <w:t>ellan</w:t>
      </w:r>
      <w:r w:rsidR="00C202C6" w:rsidRPr="00967746">
        <w:rPr>
          <w:rFonts w:ascii="Times New Roman" w:hAnsi="Times New Roman" w:cs="Times New Roman"/>
          <w:sz w:val="24"/>
          <w:szCs w:val="24"/>
        </w:rPr>
        <w:t>ts’ legal practitioners</w:t>
      </w:r>
    </w:p>
    <w:p w:rsidR="006A7847" w:rsidRPr="00967746" w:rsidRDefault="00E65BCC" w:rsidP="007F05D7">
      <w:pPr>
        <w:spacing w:after="0" w:line="480" w:lineRule="auto"/>
        <w:jc w:val="both"/>
        <w:rPr>
          <w:rFonts w:ascii="Times New Roman" w:hAnsi="Times New Roman" w:cs="Times New Roman"/>
          <w:sz w:val="24"/>
          <w:szCs w:val="24"/>
        </w:rPr>
      </w:pPr>
      <w:r w:rsidRPr="00967746">
        <w:rPr>
          <w:rFonts w:ascii="Times New Roman" w:hAnsi="Times New Roman" w:cs="Times New Roman"/>
          <w:i/>
          <w:sz w:val="24"/>
          <w:szCs w:val="24"/>
        </w:rPr>
        <w:t>The Prosecutor General</w:t>
      </w:r>
      <w:r w:rsidR="00C202C6" w:rsidRPr="00967746">
        <w:rPr>
          <w:rFonts w:ascii="Times New Roman" w:hAnsi="Times New Roman" w:cs="Times New Roman"/>
          <w:i/>
          <w:sz w:val="24"/>
          <w:szCs w:val="24"/>
        </w:rPr>
        <w:t xml:space="preserve">, </w:t>
      </w:r>
      <w:r w:rsidR="00C202C6" w:rsidRPr="00967746">
        <w:rPr>
          <w:rFonts w:ascii="Times New Roman" w:hAnsi="Times New Roman" w:cs="Times New Roman"/>
          <w:sz w:val="24"/>
          <w:szCs w:val="24"/>
        </w:rPr>
        <w:t>respondents’ legal practitioners</w:t>
      </w:r>
      <w:r w:rsidR="007B5846" w:rsidRPr="00967746">
        <w:rPr>
          <w:rFonts w:ascii="Times New Roman" w:hAnsi="Times New Roman" w:cs="Times New Roman"/>
          <w:sz w:val="24"/>
          <w:szCs w:val="24"/>
        </w:rPr>
        <w:t xml:space="preserve"> </w:t>
      </w:r>
    </w:p>
    <w:sectPr w:rsidR="006A7847" w:rsidRPr="00967746" w:rsidSect="00011E92">
      <w:head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FDA" w:rsidRDefault="00584FDA" w:rsidP="005956D9">
      <w:pPr>
        <w:spacing w:after="0" w:line="240" w:lineRule="auto"/>
      </w:pPr>
      <w:r>
        <w:separator/>
      </w:r>
    </w:p>
  </w:endnote>
  <w:endnote w:type="continuationSeparator" w:id="0">
    <w:p w:rsidR="00584FDA" w:rsidRDefault="00584FDA" w:rsidP="0059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FDA" w:rsidRDefault="00584FDA" w:rsidP="005956D9">
      <w:pPr>
        <w:spacing w:after="0" w:line="240" w:lineRule="auto"/>
      </w:pPr>
      <w:r>
        <w:separator/>
      </w:r>
    </w:p>
  </w:footnote>
  <w:footnote w:type="continuationSeparator" w:id="0">
    <w:p w:rsidR="00584FDA" w:rsidRDefault="00584FDA" w:rsidP="00595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178869"/>
      <w:docPartObj>
        <w:docPartGallery w:val="Page Numbers (Top of Page)"/>
        <w:docPartUnique/>
      </w:docPartObj>
    </w:sdtPr>
    <w:sdtEndPr/>
    <w:sdtContent>
      <w:p w:rsidR="00395FBA" w:rsidRPr="002D4637" w:rsidRDefault="00395FBA" w:rsidP="00011E92">
        <w:pPr>
          <w:pStyle w:val="Header"/>
          <w:ind w:right="-864"/>
          <w:rPr>
            <w:rFonts w:ascii="Times New Roman" w:hAnsi="Times New Roman" w:cs="Times New Roman"/>
          </w:rPr>
        </w:pPr>
      </w:p>
      <w:p w:rsidR="00395FBA" w:rsidRDefault="00395FBA" w:rsidP="004339B1">
        <w:pPr>
          <w:pStyle w:val="Header"/>
          <w:ind w:right="-864"/>
          <w:jc w:val="right"/>
          <w:rPr>
            <w:rFonts w:ascii="Times New Roman" w:hAnsi="Times New Roman" w:cs="Times New Roman"/>
          </w:rPr>
        </w:pPr>
        <w:r w:rsidRPr="002D4637">
          <w:rPr>
            <w:rFonts w:ascii="Times New Roman" w:hAnsi="Times New Roman" w:cs="Times New Roman"/>
          </w:rPr>
          <w:t xml:space="preserve">Judgment No. SC </w:t>
        </w:r>
        <w:r w:rsidR="00967746">
          <w:rPr>
            <w:rFonts w:ascii="Times New Roman" w:hAnsi="Times New Roman" w:cs="Times New Roman"/>
          </w:rPr>
          <w:t>49</w:t>
        </w:r>
        <w:r>
          <w:rPr>
            <w:rFonts w:ascii="Times New Roman" w:hAnsi="Times New Roman" w:cs="Times New Roman"/>
          </w:rPr>
          <w:t>/21</w:t>
        </w:r>
        <w:r>
          <w:rPr>
            <w:noProof/>
          </w:rPr>
          <mc:AlternateContent>
            <mc:Choice Requires="wpg">
              <w:drawing>
                <wp:inline distT="0" distB="0" distL="0" distR="0" wp14:anchorId="08B2BB1B" wp14:editId="4BC0C2AA">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FBA" w:rsidRDefault="00395FBA">
                                <w:r>
                                  <w:fldChar w:fldCharType="begin"/>
                                </w:r>
                                <w:r>
                                  <w:instrText xml:space="preserve"> PAGE    \* MERGEFORMAT </w:instrText>
                                </w:r>
                                <w:r>
                                  <w:fldChar w:fldCharType="separate"/>
                                </w:r>
                                <w:r w:rsidR="00D3217E" w:rsidRPr="00D3217E">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8B2BB1B"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HyQ0cgIEAAC4DAAADgAAAAAAAAAA&#10;AAAAAAAuAgAAZHJzL2Uyb0RvYy54bWxQSwECLQAUAAYACAAAACEA1/+zf9wAAAADAQAADwAAAAAA&#10;AAAAAAAAAABcBgAAZHJzL2Rvd25yZXYueG1sUEsFBgAAAAAEAAQA8wAAAGU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95FBA" w:rsidRDefault="00395FBA">
                          <w:r>
                            <w:fldChar w:fldCharType="begin"/>
                          </w:r>
                          <w:r>
                            <w:instrText xml:space="preserve"> PAGE    \* MERGEFORMAT </w:instrText>
                          </w:r>
                          <w:r>
                            <w:fldChar w:fldCharType="separate"/>
                          </w:r>
                          <w:r w:rsidR="00D3217E" w:rsidRPr="00D3217E">
                            <w:rPr>
                              <w:b/>
                              <w:bCs/>
                              <w:noProof/>
                              <w:color w:val="FFFFFF" w:themeColor="background1"/>
                            </w:rPr>
                            <w:t>1</w:t>
                          </w:r>
                          <w:r>
                            <w:rPr>
                              <w:b/>
                              <w:bCs/>
                              <w:noProof/>
                              <w:color w:val="FFFFFF" w:themeColor="background1"/>
                            </w:rPr>
                            <w:fldChar w:fldCharType="end"/>
                          </w:r>
                        </w:p>
                      </w:txbxContent>
                    </v:textbox>
                  </v:shape>
                  <w10:anchorlock/>
                </v:group>
              </w:pict>
            </mc:Fallback>
          </mc:AlternateContent>
        </w:r>
      </w:p>
      <w:p w:rsidR="00395FBA" w:rsidRDefault="00395FBA" w:rsidP="004339B1">
        <w:pPr>
          <w:pStyle w:val="Header"/>
          <w:ind w:right="-864"/>
          <w:jc w:val="center"/>
        </w:pPr>
        <w:r>
          <w:rPr>
            <w:rFonts w:ascii="Times New Roman" w:hAnsi="Times New Roman" w:cs="Times New Roman"/>
          </w:rPr>
          <w:tab/>
          <w:t xml:space="preserve">                                                                                         Civil Appeal </w:t>
        </w:r>
        <w:r w:rsidRPr="002D4637">
          <w:rPr>
            <w:rFonts w:ascii="Times New Roman" w:hAnsi="Times New Roman" w:cs="Times New Roman"/>
          </w:rPr>
          <w:t xml:space="preserve">No. SC </w:t>
        </w:r>
        <w:r>
          <w:rPr>
            <w:rFonts w:ascii="Times New Roman" w:hAnsi="Times New Roman" w:cs="Times New Roman"/>
          </w:rPr>
          <w:t xml:space="preserve"> 417/20</w:t>
        </w:r>
      </w:p>
    </w:sdtContent>
  </w:sdt>
  <w:p w:rsidR="00395FBA" w:rsidRDefault="00395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4692B"/>
    <w:multiLevelType w:val="hybridMultilevel"/>
    <w:tmpl w:val="A672D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8B366D"/>
    <w:multiLevelType w:val="hybridMultilevel"/>
    <w:tmpl w:val="FD0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501B08"/>
    <w:multiLevelType w:val="hybridMultilevel"/>
    <w:tmpl w:val="83A2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C72C5"/>
    <w:multiLevelType w:val="hybridMultilevel"/>
    <w:tmpl w:val="A39AC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9"/>
    <w:rsid w:val="00004DC2"/>
    <w:rsid w:val="0000692E"/>
    <w:rsid w:val="00011E92"/>
    <w:rsid w:val="000173CA"/>
    <w:rsid w:val="00022E54"/>
    <w:rsid w:val="0002470E"/>
    <w:rsid w:val="000522C8"/>
    <w:rsid w:val="00064A28"/>
    <w:rsid w:val="000706FD"/>
    <w:rsid w:val="00086C3B"/>
    <w:rsid w:val="000A6CAE"/>
    <w:rsid w:val="000B6FFD"/>
    <w:rsid w:val="000C4471"/>
    <w:rsid w:val="000C51AD"/>
    <w:rsid w:val="000D1FB7"/>
    <w:rsid w:val="000E7F77"/>
    <w:rsid w:val="000F244E"/>
    <w:rsid w:val="000F3BD7"/>
    <w:rsid w:val="001005E1"/>
    <w:rsid w:val="0010483D"/>
    <w:rsid w:val="00107796"/>
    <w:rsid w:val="001178F5"/>
    <w:rsid w:val="0012583C"/>
    <w:rsid w:val="00137516"/>
    <w:rsid w:val="00137E44"/>
    <w:rsid w:val="0014305D"/>
    <w:rsid w:val="001525BC"/>
    <w:rsid w:val="00153BEC"/>
    <w:rsid w:val="001546AF"/>
    <w:rsid w:val="001904A9"/>
    <w:rsid w:val="0019525B"/>
    <w:rsid w:val="001A00D9"/>
    <w:rsid w:val="001B1331"/>
    <w:rsid w:val="001B3C05"/>
    <w:rsid w:val="001B7BA1"/>
    <w:rsid w:val="001C3575"/>
    <w:rsid w:val="001E51E9"/>
    <w:rsid w:val="001F0086"/>
    <w:rsid w:val="001F18B3"/>
    <w:rsid w:val="001F50FD"/>
    <w:rsid w:val="00231D7A"/>
    <w:rsid w:val="00242992"/>
    <w:rsid w:val="00244F2D"/>
    <w:rsid w:val="00281932"/>
    <w:rsid w:val="00287C1F"/>
    <w:rsid w:val="002A1FCF"/>
    <w:rsid w:val="002A32D4"/>
    <w:rsid w:val="002A56AF"/>
    <w:rsid w:val="002A7048"/>
    <w:rsid w:val="002B52EF"/>
    <w:rsid w:val="002D1FCF"/>
    <w:rsid w:val="002D3721"/>
    <w:rsid w:val="002D7ECC"/>
    <w:rsid w:val="002F0052"/>
    <w:rsid w:val="002F3157"/>
    <w:rsid w:val="002F600F"/>
    <w:rsid w:val="00305177"/>
    <w:rsid w:val="003179B1"/>
    <w:rsid w:val="00321CE0"/>
    <w:rsid w:val="00331440"/>
    <w:rsid w:val="003331D9"/>
    <w:rsid w:val="00354FD3"/>
    <w:rsid w:val="00372DEF"/>
    <w:rsid w:val="00385748"/>
    <w:rsid w:val="003857DE"/>
    <w:rsid w:val="003955FF"/>
    <w:rsid w:val="00395FBA"/>
    <w:rsid w:val="003C1CA1"/>
    <w:rsid w:val="003E2129"/>
    <w:rsid w:val="0041221C"/>
    <w:rsid w:val="00421774"/>
    <w:rsid w:val="00424F35"/>
    <w:rsid w:val="004339B1"/>
    <w:rsid w:val="00437AD6"/>
    <w:rsid w:val="0045111E"/>
    <w:rsid w:val="0045575B"/>
    <w:rsid w:val="00465170"/>
    <w:rsid w:val="004726C4"/>
    <w:rsid w:val="00474D08"/>
    <w:rsid w:val="004756F7"/>
    <w:rsid w:val="00482617"/>
    <w:rsid w:val="00486856"/>
    <w:rsid w:val="004903E1"/>
    <w:rsid w:val="004A1769"/>
    <w:rsid w:val="004B3497"/>
    <w:rsid w:val="004C6B39"/>
    <w:rsid w:val="004E0AB9"/>
    <w:rsid w:val="004E2CDD"/>
    <w:rsid w:val="004E72FB"/>
    <w:rsid w:val="004F1F93"/>
    <w:rsid w:val="00515365"/>
    <w:rsid w:val="00522FDD"/>
    <w:rsid w:val="0052341D"/>
    <w:rsid w:val="00533895"/>
    <w:rsid w:val="00541363"/>
    <w:rsid w:val="00550E47"/>
    <w:rsid w:val="00555EFB"/>
    <w:rsid w:val="00584FDA"/>
    <w:rsid w:val="005908BB"/>
    <w:rsid w:val="00593B39"/>
    <w:rsid w:val="005956D9"/>
    <w:rsid w:val="005973D5"/>
    <w:rsid w:val="005A3427"/>
    <w:rsid w:val="005B6560"/>
    <w:rsid w:val="005D7CDE"/>
    <w:rsid w:val="005F479A"/>
    <w:rsid w:val="005F5BAE"/>
    <w:rsid w:val="006041F2"/>
    <w:rsid w:val="00610F5E"/>
    <w:rsid w:val="00626EE5"/>
    <w:rsid w:val="0067229A"/>
    <w:rsid w:val="00682B95"/>
    <w:rsid w:val="006874B3"/>
    <w:rsid w:val="006A3A80"/>
    <w:rsid w:val="006A449E"/>
    <w:rsid w:val="006A7847"/>
    <w:rsid w:val="006D0DE7"/>
    <w:rsid w:val="00710DC5"/>
    <w:rsid w:val="00713C04"/>
    <w:rsid w:val="00713FCD"/>
    <w:rsid w:val="0072003E"/>
    <w:rsid w:val="00723F3F"/>
    <w:rsid w:val="00727E96"/>
    <w:rsid w:val="0073669D"/>
    <w:rsid w:val="00747EE5"/>
    <w:rsid w:val="00762C17"/>
    <w:rsid w:val="007720C5"/>
    <w:rsid w:val="0077386D"/>
    <w:rsid w:val="007824F7"/>
    <w:rsid w:val="007903C6"/>
    <w:rsid w:val="007B5846"/>
    <w:rsid w:val="007E440F"/>
    <w:rsid w:val="007F05D7"/>
    <w:rsid w:val="007F682F"/>
    <w:rsid w:val="0081147B"/>
    <w:rsid w:val="008403C6"/>
    <w:rsid w:val="00846510"/>
    <w:rsid w:val="00851BF4"/>
    <w:rsid w:val="0086583F"/>
    <w:rsid w:val="0088128E"/>
    <w:rsid w:val="00893DE3"/>
    <w:rsid w:val="008A07AF"/>
    <w:rsid w:val="008A1C12"/>
    <w:rsid w:val="008A6F6E"/>
    <w:rsid w:val="008B3CCF"/>
    <w:rsid w:val="008B51E3"/>
    <w:rsid w:val="008C4E57"/>
    <w:rsid w:val="008D4BED"/>
    <w:rsid w:val="008E1097"/>
    <w:rsid w:val="008E18A4"/>
    <w:rsid w:val="009205BB"/>
    <w:rsid w:val="00921AC7"/>
    <w:rsid w:val="00922F9C"/>
    <w:rsid w:val="0092548D"/>
    <w:rsid w:val="0093236E"/>
    <w:rsid w:val="00941253"/>
    <w:rsid w:val="009462B5"/>
    <w:rsid w:val="00955303"/>
    <w:rsid w:val="00964198"/>
    <w:rsid w:val="00967746"/>
    <w:rsid w:val="00973260"/>
    <w:rsid w:val="00986185"/>
    <w:rsid w:val="009B4B34"/>
    <w:rsid w:val="009D1088"/>
    <w:rsid w:val="009D5BE4"/>
    <w:rsid w:val="009E60F9"/>
    <w:rsid w:val="009F1ADE"/>
    <w:rsid w:val="009F6263"/>
    <w:rsid w:val="00A01C1F"/>
    <w:rsid w:val="00A279BB"/>
    <w:rsid w:val="00A40437"/>
    <w:rsid w:val="00A507CE"/>
    <w:rsid w:val="00A54A6A"/>
    <w:rsid w:val="00A83A64"/>
    <w:rsid w:val="00A86128"/>
    <w:rsid w:val="00AD15E9"/>
    <w:rsid w:val="00AD22CF"/>
    <w:rsid w:val="00AE5B27"/>
    <w:rsid w:val="00AE6B9B"/>
    <w:rsid w:val="00B178A2"/>
    <w:rsid w:val="00B43508"/>
    <w:rsid w:val="00B4540D"/>
    <w:rsid w:val="00B57DA5"/>
    <w:rsid w:val="00B7437C"/>
    <w:rsid w:val="00B86E6A"/>
    <w:rsid w:val="00B87C19"/>
    <w:rsid w:val="00BA17AF"/>
    <w:rsid w:val="00BA47A7"/>
    <w:rsid w:val="00BB04A7"/>
    <w:rsid w:val="00BE5F46"/>
    <w:rsid w:val="00BF1E3F"/>
    <w:rsid w:val="00C04F45"/>
    <w:rsid w:val="00C202C6"/>
    <w:rsid w:val="00C203E1"/>
    <w:rsid w:val="00C37B6D"/>
    <w:rsid w:val="00C50679"/>
    <w:rsid w:val="00C56DC6"/>
    <w:rsid w:val="00C60214"/>
    <w:rsid w:val="00C64796"/>
    <w:rsid w:val="00C65872"/>
    <w:rsid w:val="00C76E23"/>
    <w:rsid w:val="00C77399"/>
    <w:rsid w:val="00C7747A"/>
    <w:rsid w:val="00C83225"/>
    <w:rsid w:val="00C956DF"/>
    <w:rsid w:val="00CA73DB"/>
    <w:rsid w:val="00CC3E07"/>
    <w:rsid w:val="00CC7063"/>
    <w:rsid w:val="00CD78AE"/>
    <w:rsid w:val="00CE2D68"/>
    <w:rsid w:val="00CF0604"/>
    <w:rsid w:val="00D10F30"/>
    <w:rsid w:val="00D16159"/>
    <w:rsid w:val="00D3217E"/>
    <w:rsid w:val="00D32359"/>
    <w:rsid w:val="00D36CCE"/>
    <w:rsid w:val="00D37ACD"/>
    <w:rsid w:val="00D41A07"/>
    <w:rsid w:val="00D4219E"/>
    <w:rsid w:val="00D474CE"/>
    <w:rsid w:val="00D643D9"/>
    <w:rsid w:val="00D64E8C"/>
    <w:rsid w:val="00D66850"/>
    <w:rsid w:val="00D73CCF"/>
    <w:rsid w:val="00D865A7"/>
    <w:rsid w:val="00D93802"/>
    <w:rsid w:val="00DA5174"/>
    <w:rsid w:val="00DA6CF6"/>
    <w:rsid w:val="00DB14BF"/>
    <w:rsid w:val="00DB700C"/>
    <w:rsid w:val="00DE1CBE"/>
    <w:rsid w:val="00DE2ED1"/>
    <w:rsid w:val="00DF5E44"/>
    <w:rsid w:val="00DF6679"/>
    <w:rsid w:val="00E1078D"/>
    <w:rsid w:val="00E1433B"/>
    <w:rsid w:val="00E164C5"/>
    <w:rsid w:val="00E17170"/>
    <w:rsid w:val="00E2360A"/>
    <w:rsid w:val="00E32448"/>
    <w:rsid w:val="00E41C2D"/>
    <w:rsid w:val="00E6249F"/>
    <w:rsid w:val="00E65BCC"/>
    <w:rsid w:val="00E70940"/>
    <w:rsid w:val="00E71232"/>
    <w:rsid w:val="00E80F7B"/>
    <w:rsid w:val="00E8352E"/>
    <w:rsid w:val="00EA6870"/>
    <w:rsid w:val="00EB1127"/>
    <w:rsid w:val="00EB58DB"/>
    <w:rsid w:val="00EB7CCB"/>
    <w:rsid w:val="00EC3197"/>
    <w:rsid w:val="00EC3962"/>
    <w:rsid w:val="00ED07C7"/>
    <w:rsid w:val="00ED4BEE"/>
    <w:rsid w:val="00F05424"/>
    <w:rsid w:val="00F26912"/>
    <w:rsid w:val="00F31DBA"/>
    <w:rsid w:val="00F35B45"/>
    <w:rsid w:val="00F37664"/>
    <w:rsid w:val="00F40ABF"/>
    <w:rsid w:val="00F46972"/>
    <w:rsid w:val="00F57036"/>
    <w:rsid w:val="00F93F98"/>
    <w:rsid w:val="00F96FC5"/>
    <w:rsid w:val="00FA4893"/>
    <w:rsid w:val="00FA73CF"/>
    <w:rsid w:val="00FA7525"/>
    <w:rsid w:val="00FB48C8"/>
    <w:rsid w:val="00F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209AD5-05FF-4EB2-8EAA-3BE1BA7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D9"/>
  </w:style>
  <w:style w:type="paragraph" w:styleId="Footer">
    <w:name w:val="footer"/>
    <w:basedOn w:val="Normal"/>
    <w:link w:val="FooterChar"/>
    <w:uiPriority w:val="99"/>
    <w:unhideWhenUsed/>
    <w:rsid w:val="0059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D9"/>
  </w:style>
  <w:style w:type="paragraph" w:styleId="ListParagraph">
    <w:name w:val="List Paragraph"/>
    <w:basedOn w:val="Normal"/>
    <w:uiPriority w:val="34"/>
    <w:qFormat/>
    <w:rsid w:val="001178F5"/>
    <w:pPr>
      <w:ind w:left="720"/>
      <w:contextualSpacing/>
    </w:pPr>
  </w:style>
  <w:style w:type="paragraph" w:styleId="BalloonText">
    <w:name w:val="Balloon Text"/>
    <w:basedOn w:val="Normal"/>
    <w:link w:val="BalloonTextChar"/>
    <w:uiPriority w:val="99"/>
    <w:semiHidden/>
    <w:unhideWhenUsed/>
    <w:rsid w:val="0019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73DD503-209D-4528-BF29-A0C834CB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2021-05-04T07:19:00Z</cp:lastPrinted>
  <dcterms:created xsi:type="dcterms:W3CDTF">2021-05-17T11:12:00Z</dcterms:created>
  <dcterms:modified xsi:type="dcterms:W3CDTF">2021-05-17T11:12:00Z</dcterms:modified>
</cp:coreProperties>
</file>