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770" w:rsidRDefault="00772C18">
      <w:pPr>
        <w:tabs>
          <w:tab w:val="left" w:pos="5761"/>
        </w:tabs>
        <w:spacing w:before="79" w:line="360" w:lineRule="auto"/>
        <w:ind w:right="722"/>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LC/H/264/25 HARARE, 18 JULY, 2025 AND</w:t>
      </w:r>
    </w:p>
    <w:p w:rsidR="00CC5770" w:rsidRDefault="00772C18">
      <w:pPr>
        <w:tabs>
          <w:tab w:val="left" w:pos="5641"/>
          <w:tab w:val="left" w:pos="7603"/>
        </w:tabs>
        <w:rPr>
          <w:b/>
          <w:sz w:val="24"/>
        </w:rPr>
      </w:pPr>
      <w:r>
        <w:rPr>
          <w:b/>
          <w:sz w:val="24"/>
        </w:rPr>
        <w:t>28</w:t>
      </w:r>
      <w:r>
        <w:rPr>
          <w:b/>
          <w:spacing w:val="-2"/>
          <w:sz w:val="24"/>
        </w:rPr>
        <w:t xml:space="preserve"> </w:t>
      </w:r>
      <w:r>
        <w:rPr>
          <w:b/>
          <w:sz w:val="24"/>
        </w:rPr>
        <w:t>JULY</w:t>
      </w:r>
      <w:r>
        <w:rPr>
          <w:b/>
          <w:spacing w:val="-2"/>
          <w:sz w:val="24"/>
        </w:rPr>
        <w:t xml:space="preserve"> </w:t>
      </w:r>
      <w:r>
        <w:rPr>
          <w:b/>
          <w:spacing w:val="-4"/>
          <w:sz w:val="24"/>
        </w:rPr>
        <w:t>2025</w:t>
      </w:r>
      <w:r>
        <w:rPr>
          <w:b/>
          <w:sz w:val="24"/>
        </w:rPr>
        <w:tab/>
        <w:t xml:space="preserve">CASE </w:t>
      </w:r>
      <w:r>
        <w:rPr>
          <w:b/>
          <w:spacing w:val="-5"/>
          <w:sz w:val="24"/>
        </w:rPr>
        <w:t>NO.</w:t>
      </w:r>
      <w:r>
        <w:rPr>
          <w:b/>
          <w:sz w:val="24"/>
        </w:rPr>
        <w:tab/>
      </w:r>
      <w:r>
        <w:rPr>
          <w:b/>
          <w:spacing w:val="-2"/>
          <w:sz w:val="24"/>
        </w:rPr>
        <w:t>LC/H/462/25</w:t>
      </w: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772C18">
      <w:pPr>
        <w:tabs>
          <w:tab w:val="left" w:pos="6481"/>
        </w:tabs>
        <w:rPr>
          <w:b/>
          <w:sz w:val="24"/>
        </w:rPr>
      </w:pPr>
      <w:r>
        <w:rPr>
          <w:b/>
          <w:sz w:val="24"/>
        </w:rPr>
        <w:t>CHARLES</w:t>
      </w:r>
      <w:r>
        <w:rPr>
          <w:b/>
          <w:spacing w:val="-4"/>
          <w:sz w:val="24"/>
        </w:rPr>
        <w:t xml:space="preserve"> </w:t>
      </w:r>
      <w:r>
        <w:rPr>
          <w:b/>
          <w:spacing w:val="-2"/>
          <w:sz w:val="24"/>
        </w:rPr>
        <w:t>MUKWAIWA</w:t>
      </w:r>
      <w:r>
        <w:rPr>
          <w:b/>
          <w:sz w:val="24"/>
        </w:rPr>
        <w:tab/>
      </w:r>
      <w:r>
        <w:rPr>
          <w:b/>
          <w:spacing w:val="-2"/>
          <w:sz w:val="24"/>
        </w:rPr>
        <w:t>APPELLANT</w:t>
      </w: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spacing w:before="138"/>
        <w:rPr>
          <w:b/>
        </w:rPr>
      </w:pPr>
    </w:p>
    <w:p w:rsidR="00CC5770" w:rsidRDefault="00772C18">
      <w:pPr>
        <w:tabs>
          <w:tab w:val="left" w:pos="6481"/>
        </w:tabs>
        <w:rPr>
          <w:b/>
          <w:sz w:val="24"/>
        </w:rPr>
      </w:pPr>
      <w:r>
        <w:rPr>
          <w:b/>
          <w:sz w:val="24"/>
        </w:rPr>
        <w:t>TELECEL</w:t>
      </w:r>
      <w:r>
        <w:rPr>
          <w:b/>
          <w:spacing w:val="-5"/>
          <w:sz w:val="24"/>
        </w:rPr>
        <w:t xml:space="preserve"> </w:t>
      </w:r>
      <w:r>
        <w:rPr>
          <w:b/>
          <w:sz w:val="24"/>
        </w:rPr>
        <w:t>ZIMBABWE</w:t>
      </w:r>
      <w:r>
        <w:rPr>
          <w:b/>
          <w:spacing w:val="-3"/>
          <w:sz w:val="24"/>
        </w:rPr>
        <w:t xml:space="preserve"> </w:t>
      </w:r>
      <w:r>
        <w:rPr>
          <w:b/>
          <w:sz w:val="24"/>
        </w:rPr>
        <w:t>(PVT)</w:t>
      </w:r>
      <w:r>
        <w:rPr>
          <w:b/>
          <w:spacing w:val="-2"/>
          <w:sz w:val="24"/>
        </w:rPr>
        <w:t xml:space="preserve"> </w:t>
      </w:r>
      <w:r>
        <w:rPr>
          <w:b/>
          <w:spacing w:val="-5"/>
          <w:sz w:val="24"/>
        </w:rPr>
        <w:t>LTD</w:t>
      </w:r>
      <w:r>
        <w:rPr>
          <w:b/>
          <w:sz w:val="24"/>
        </w:rPr>
        <w:tab/>
      </w:r>
      <w:r>
        <w:rPr>
          <w:b/>
          <w:spacing w:val="-2"/>
          <w:sz w:val="24"/>
        </w:rPr>
        <w:t>RESPONDENT</w:t>
      </w:r>
    </w:p>
    <w:p w:rsidR="00CC5770" w:rsidRDefault="00CC5770">
      <w:pPr>
        <w:pStyle w:val="BodyText"/>
        <w:rPr>
          <w:b/>
        </w:rPr>
      </w:pPr>
    </w:p>
    <w:p w:rsidR="00CC5770" w:rsidRDefault="00CC5770">
      <w:pPr>
        <w:pStyle w:val="BodyText"/>
        <w:rPr>
          <w:b/>
        </w:rPr>
      </w:pPr>
    </w:p>
    <w:p w:rsidR="00CC5770" w:rsidRDefault="00CC5770">
      <w:pPr>
        <w:pStyle w:val="BodyText"/>
        <w:spacing w:before="139"/>
        <w:rPr>
          <w:b/>
        </w:rPr>
      </w:pPr>
    </w:p>
    <w:p w:rsidR="00CC5770" w:rsidRDefault="00772C18">
      <w:pPr>
        <w:pStyle w:val="BodyText"/>
      </w:pPr>
      <w:r>
        <w:t>Before</w:t>
      </w:r>
      <w:r>
        <w:rPr>
          <w:spacing w:val="-2"/>
        </w:rPr>
        <w:t xml:space="preserve"> </w:t>
      </w:r>
      <w:r>
        <w:t>the</w:t>
      </w:r>
      <w:r>
        <w:rPr>
          <w:spacing w:val="-1"/>
        </w:rPr>
        <w:t xml:space="preserve"> </w:t>
      </w:r>
      <w:r>
        <w:t>Honourable G.</w:t>
      </w:r>
      <w:r>
        <w:rPr>
          <w:spacing w:val="-1"/>
        </w:rPr>
        <w:t xml:space="preserve"> </w:t>
      </w:r>
      <w:r>
        <w:t>Musariri,</w:t>
      </w:r>
      <w:r>
        <w:rPr>
          <w:spacing w:val="-1"/>
        </w:rPr>
        <w:t xml:space="preserve"> </w:t>
      </w:r>
      <w:r>
        <w:rPr>
          <w:spacing w:val="-2"/>
        </w:rPr>
        <w:t>Judge:</w:t>
      </w:r>
    </w:p>
    <w:p w:rsidR="00CC5770" w:rsidRDefault="00CC5770">
      <w:pPr>
        <w:pStyle w:val="BodyText"/>
      </w:pPr>
    </w:p>
    <w:p w:rsidR="00CC5770" w:rsidRDefault="00CC5770">
      <w:pPr>
        <w:pStyle w:val="BodyText"/>
      </w:pPr>
    </w:p>
    <w:p w:rsidR="00CC5770" w:rsidRDefault="00772C18">
      <w:pPr>
        <w:pStyle w:val="BodyText"/>
        <w:tabs>
          <w:tab w:val="left" w:pos="2880"/>
        </w:tabs>
      </w:pPr>
      <w:r>
        <w:t>For</w:t>
      </w:r>
      <w:r>
        <w:rPr>
          <w:spacing w:val="-2"/>
        </w:rPr>
        <w:t xml:space="preserve"> Appellant</w:t>
      </w:r>
      <w:r>
        <w:tab/>
        <w:t>-</w:t>
      </w:r>
      <w:r>
        <w:rPr>
          <w:spacing w:val="-4"/>
        </w:rPr>
        <w:t xml:space="preserve"> </w:t>
      </w:r>
      <w:r>
        <w:t>C.</w:t>
      </w:r>
      <w:r>
        <w:rPr>
          <w:spacing w:val="-1"/>
        </w:rPr>
        <w:t xml:space="preserve"> </w:t>
      </w:r>
      <w:r>
        <w:t>Mukwaiwa,</w:t>
      </w:r>
      <w:r>
        <w:rPr>
          <w:spacing w:val="-1"/>
        </w:rPr>
        <w:t xml:space="preserve"> </w:t>
      </w:r>
      <w:r>
        <w:rPr>
          <w:spacing w:val="-2"/>
        </w:rPr>
        <w:t>Appellant</w:t>
      </w:r>
    </w:p>
    <w:p w:rsidR="00CC5770" w:rsidRDefault="00772C18">
      <w:pPr>
        <w:pStyle w:val="BodyText"/>
        <w:tabs>
          <w:tab w:val="left" w:pos="2880"/>
        </w:tabs>
        <w:spacing w:before="138"/>
      </w:pPr>
      <w:r>
        <w:t>For</w:t>
      </w:r>
      <w:r>
        <w:rPr>
          <w:spacing w:val="-3"/>
        </w:rPr>
        <w:t xml:space="preserve"> </w:t>
      </w:r>
      <w:r>
        <w:rPr>
          <w:spacing w:val="-2"/>
        </w:rPr>
        <w:t>Respondent</w:t>
      </w:r>
      <w:r>
        <w:tab/>
        <w:t>-</w:t>
      </w:r>
      <w:r>
        <w:rPr>
          <w:spacing w:val="-4"/>
        </w:rPr>
        <w:t xml:space="preserve"> </w:t>
      </w:r>
      <w:r>
        <w:t>W.</w:t>
      </w:r>
      <w:r>
        <w:rPr>
          <w:spacing w:val="-1"/>
        </w:rPr>
        <w:t xml:space="preserve"> </w:t>
      </w:r>
      <w:r>
        <w:t xml:space="preserve">Chirongoma, </w:t>
      </w:r>
      <w:r>
        <w:rPr>
          <w:spacing w:val="-2"/>
        </w:rPr>
        <w:t>Respondent</w:t>
      </w:r>
    </w:p>
    <w:p w:rsidR="00CC5770" w:rsidRDefault="00CC5770">
      <w:pPr>
        <w:pStyle w:val="BodyText"/>
      </w:pPr>
    </w:p>
    <w:p w:rsidR="00CC5770" w:rsidRDefault="00CC5770">
      <w:pPr>
        <w:pStyle w:val="BodyText"/>
      </w:pPr>
    </w:p>
    <w:p w:rsidR="00CC5770" w:rsidRDefault="00CC5770">
      <w:pPr>
        <w:pStyle w:val="BodyText"/>
        <w:spacing w:before="139"/>
      </w:pPr>
    </w:p>
    <w:p w:rsidR="00CC5770" w:rsidRDefault="00772C18">
      <w:pPr>
        <w:rPr>
          <w:b/>
          <w:sz w:val="24"/>
        </w:rPr>
      </w:pPr>
      <w:r>
        <w:rPr>
          <w:b/>
          <w:sz w:val="24"/>
        </w:rPr>
        <w:t>MUSARIRI,</w:t>
      </w:r>
      <w:r>
        <w:rPr>
          <w:b/>
          <w:spacing w:val="-7"/>
          <w:sz w:val="24"/>
        </w:rPr>
        <w:t xml:space="preserve"> </w:t>
      </w:r>
      <w:r>
        <w:rPr>
          <w:b/>
          <w:spacing w:val="-5"/>
          <w:sz w:val="24"/>
        </w:rPr>
        <w:t>J:</w:t>
      </w:r>
    </w:p>
    <w:p w:rsidR="00CC5770" w:rsidRDefault="00CC5770">
      <w:pPr>
        <w:pStyle w:val="BodyText"/>
        <w:rPr>
          <w:b/>
        </w:rPr>
      </w:pPr>
    </w:p>
    <w:p w:rsidR="00CC5770" w:rsidRDefault="00CC5770">
      <w:pPr>
        <w:pStyle w:val="BodyText"/>
        <w:rPr>
          <w:b/>
        </w:rPr>
      </w:pPr>
    </w:p>
    <w:p w:rsidR="00CC5770" w:rsidRDefault="00772C18">
      <w:pPr>
        <w:pStyle w:val="BodyText"/>
        <w:spacing w:line="360" w:lineRule="auto"/>
        <w:ind w:right="356" w:firstLine="719"/>
        <w:jc w:val="both"/>
      </w:pPr>
      <w:r>
        <w:t>On 29</w:t>
      </w:r>
      <w:r>
        <w:rPr>
          <w:vertAlign w:val="superscript"/>
        </w:rPr>
        <w:t>th</w:t>
      </w:r>
      <w:r>
        <w:t xml:space="preserve"> April 2025 at Harare, Designated Agent P Mgazi issued a determination which dismissed appellant’s claim against respondent for gratuity and notice pay. Appellant then appealed</w:t>
      </w:r>
      <w:r>
        <w:rPr>
          <w:spacing w:val="-6"/>
        </w:rPr>
        <w:t xml:space="preserve"> </w:t>
      </w:r>
      <w:r>
        <w:t>the</w:t>
      </w:r>
      <w:r>
        <w:rPr>
          <w:spacing w:val="-6"/>
        </w:rPr>
        <w:t xml:space="preserve"> </w:t>
      </w:r>
      <w:r>
        <w:t>determination</w:t>
      </w:r>
      <w:r>
        <w:rPr>
          <w:spacing w:val="-6"/>
        </w:rPr>
        <w:t xml:space="preserve"> </w:t>
      </w:r>
      <w:r>
        <w:t>to</w:t>
      </w:r>
      <w:r>
        <w:rPr>
          <w:spacing w:val="-5"/>
        </w:rPr>
        <w:t xml:space="preserve"> </w:t>
      </w:r>
      <w:r>
        <w:t>this</w:t>
      </w:r>
      <w:r>
        <w:rPr>
          <w:spacing w:val="-8"/>
        </w:rPr>
        <w:t xml:space="preserve"> </w:t>
      </w:r>
      <w:r>
        <w:t>Court</w:t>
      </w:r>
      <w:r>
        <w:rPr>
          <w:spacing w:val="-6"/>
        </w:rPr>
        <w:t xml:space="preserve"> </w:t>
      </w:r>
      <w:r>
        <w:t>in</w:t>
      </w:r>
      <w:r>
        <w:rPr>
          <w:spacing w:val="-8"/>
        </w:rPr>
        <w:t xml:space="preserve"> </w:t>
      </w:r>
      <w:r>
        <w:t>terms</w:t>
      </w:r>
      <w:r>
        <w:rPr>
          <w:spacing w:val="-8"/>
        </w:rPr>
        <w:t xml:space="preserve"> </w:t>
      </w:r>
      <w:r>
        <w:t>of</w:t>
      </w:r>
      <w:r>
        <w:rPr>
          <w:spacing w:val="-7"/>
        </w:rPr>
        <w:t xml:space="preserve"> </w:t>
      </w:r>
      <w:r>
        <w:t>Section</w:t>
      </w:r>
      <w:r>
        <w:rPr>
          <w:spacing w:val="-6"/>
        </w:rPr>
        <w:t xml:space="preserve"> </w:t>
      </w:r>
      <w:r>
        <w:t>92D</w:t>
      </w:r>
      <w:r>
        <w:rPr>
          <w:spacing w:val="-6"/>
        </w:rPr>
        <w:t xml:space="preserve"> </w:t>
      </w:r>
      <w:r>
        <w:t>of</w:t>
      </w:r>
      <w:r>
        <w:rPr>
          <w:spacing w:val="-7"/>
        </w:rPr>
        <w:t xml:space="preserve"> </w:t>
      </w:r>
      <w:r>
        <w:t>the</w:t>
      </w:r>
      <w:r>
        <w:rPr>
          <w:spacing w:val="-4"/>
        </w:rPr>
        <w:t xml:space="preserve"> </w:t>
      </w:r>
      <w:r>
        <w:rPr>
          <w:u w:val="single"/>
        </w:rPr>
        <w:t>Labour</w:t>
      </w:r>
      <w:r>
        <w:rPr>
          <w:spacing w:val="-7"/>
          <w:u w:val="single"/>
        </w:rPr>
        <w:t xml:space="preserve"> </w:t>
      </w:r>
      <w:r>
        <w:rPr>
          <w:u w:val="single"/>
        </w:rPr>
        <w:t>Act</w:t>
      </w:r>
      <w:r>
        <w:rPr>
          <w:spacing w:val="-5"/>
        </w:rPr>
        <w:t xml:space="preserve"> </w:t>
      </w:r>
      <w:r>
        <w:t>Chapt</w:t>
      </w:r>
      <w:r>
        <w:t>er</w:t>
      </w:r>
      <w:r>
        <w:rPr>
          <w:spacing w:val="-7"/>
        </w:rPr>
        <w:t xml:space="preserve"> </w:t>
      </w:r>
      <w:r>
        <w:t>28;01 hereafter called the Act. Respondent opposed the appeal.</w:t>
      </w:r>
    </w:p>
    <w:p w:rsidR="00CC5770" w:rsidRDefault="00772C18">
      <w:pPr>
        <w:pStyle w:val="BodyText"/>
        <w:spacing w:before="1"/>
        <w:jc w:val="both"/>
      </w:pPr>
      <w:r>
        <w:t>The</w:t>
      </w:r>
      <w:r>
        <w:rPr>
          <w:spacing w:val="-3"/>
        </w:rPr>
        <w:t xml:space="preserve"> </w:t>
      </w:r>
      <w:r>
        <w:t>grounds</w:t>
      </w:r>
      <w:r>
        <w:rPr>
          <w:spacing w:val="-2"/>
        </w:rPr>
        <w:t xml:space="preserve"> </w:t>
      </w:r>
      <w:r>
        <w:t>of</w:t>
      </w:r>
      <w:r>
        <w:rPr>
          <w:spacing w:val="-1"/>
        </w:rPr>
        <w:t xml:space="preserve"> </w:t>
      </w:r>
      <w:r>
        <w:t>appeal</w:t>
      </w:r>
      <w:r>
        <w:rPr>
          <w:spacing w:val="-1"/>
        </w:rPr>
        <w:t xml:space="preserve"> </w:t>
      </w:r>
      <w:r>
        <w:t>were</w:t>
      </w:r>
      <w:r>
        <w:rPr>
          <w:spacing w:val="-3"/>
        </w:rPr>
        <w:t xml:space="preserve"> </w:t>
      </w:r>
      <w:r>
        <w:t xml:space="preserve">duet </w:t>
      </w:r>
      <w:r>
        <w:rPr>
          <w:spacing w:val="-2"/>
        </w:rPr>
        <w:t>thus;</w:t>
      </w:r>
    </w:p>
    <w:p w:rsidR="00CC5770" w:rsidRDefault="00CC5770">
      <w:pPr>
        <w:pStyle w:val="BodyText"/>
      </w:pPr>
    </w:p>
    <w:p w:rsidR="00CC5770" w:rsidRDefault="00CC5770">
      <w:pPr>
        <w:pStyle w:val="BodyText"/>
      </w:pPr>
    </w:p>
    <w:p w:rsidR="00CC5770" w:rsidRDefault="00772C18">
      <w:pPr>
        <w:pStyle w:val="BodyText"/>
        <w:spacing w:line="360" w:lineRule="auto"/>
        <w:ind w:left="720" w:right="203"/>
      </w:pPr>
      <w:r>
        <w:t>“1. The Designated Agent erred in concluding that Appellant’s matter had prescribed yet the Appellant’s claim was properly before the Tribunal.</w:t>
      </w:r>
    </w:p>
    <w:p w:rsidR="00CC5770" w:rsidRDefault="00CC5770">
      <w:pPr>
        <w:pStyle w:val="BodyText"/>
        <w:spacing w:line="360" w:lineRule="auto"/>
        <w:sectPr w:rsidR="00CC5770">
          <w:footerReference w:type="default" r:id="rId7"/>
          <w:type w:val="continuous"/>
          <w:pgSz w:w="12240" w:h="15840"/>
          <w:pgMar w:top="1360" w:right="1080" w:bottom="920" w:left="1440" w:header="0" w:footer="739" w:gutter="0"/>
          <w:pgNumType w:start="1"/>
          <w:cols w:space="720"/>
        </w:sectPr>
      </w:pPr>
    </w:p>
    <w:p w:rsidR="00CC5770" w:rsidRDefault="00772C18">
      <w:pPr>
        <w:pStyle w:val="BodyText"/>
        <w:spacing w:before="101" w:line="360" w:lineRule="auto"/>
        <w:ind w:left="720" w:right="355"/>
        <w:jc w:val="both"/>
      </w:pPr>
      <w:r>
        <w:lastRenderedPageBreak/>
        <w:t xml:space="preserve">2. The Designated Agent erred by concluding that Section 12(4a) and (4b) as read with Section 12C of the Labour Act (Chapter 28:01), as it then was, did not apply to the Appellant yet compensation accrued notwithstanding the form of termination of </w:t>
      </w:r>
      <w:r>
        <w:rPr>
          <w:spacing w:val="-2"/>
        </w:rPr>
        <w:t>employme</w:t>
      </w:r>
      <w:r>
        <w:rPr>
          <w:spacing w:val="-2"/>
        </w:rPr>
        <w:t>nt.”</w:t>
      </w:r>
    </w:p>
    <w:p w:rsidR="00CC5770" w:rsidRDefault="00CC5770">
      <w:pPr>
        <w:pStyle w:val="BodyText"/>
        <w:spacing w:before="136"/>
      </w:pPr>
    </w:p>
    <w:p w:rsidR="00CC5770" w:rsidRDefault="00772C18">
      <w:pPr>
        <w:pStyle w:val="BodyText"/>
        <w:spacing w:line="360" w:lineRule="auto"/>
        <w:ind w:left="720" w:right="5105" w:hanging="720"/>
        <w:jc w:val="both"/>
      </w:pPr>
      <w:r>
        <w:t>Respondent’s</w:t>
      </w:r>
      <w:r>
        <w:rPr>
          <w:spacing w:val="-10"/>
        </w:rPr>
        <w:t xml:space="preserve"> </w:t>
      </w:r>
      <w:r>
        <w:t>opposing</w:t>
      </w:r>
      <w:r>
        <w:rPr>
          <w:spacing w:val="-10"/>
        </w:rPr>
        <w:t xml:space="preserve"> </w:t>
      </w:r>
      <w:r>
        <w:t>affidavit</w:t>
      </w:r>
      <w:r>
        <w:rPr>
          <w:spacing w:val="-10"/>
        </w:rPr>
        <w:t xml:space="preserve"> </w:t>
      </w:r>
      <w:r>
        <w:t>countered</w:t>
      </w:r>
      <w:r>
        <w:rPr>
          <w:spacing w:val="-10"/>
        </w:rPr>
        <w:t xml:space="preserve"> </w:t>
      </w:r>
      <w:r>
        <w:t>that; “Ad Ground of Appeal 1</w:t>
      </w:r>
    </w:p>
    <w:p w:rsidR="00CC5770" w:rsidRDefault="00772C18">
      <w:pPr>
        <w:pStyle w:val="BodyText"/>
        <w:spacing w:before="1" w:line="360" w:lineRule="auto"/>
        <w:ind w:left="720" w:right="355"/>
        <w:jc w:val="both"/>
      </w:pPr>
      <w:r>
        <w:t>2.</w:t>
      </w:r>
      <w:r>
        <w:rPr>
          <w:spacing w:val="-6"/>
        </w:rPr>
        <w:t xml:space="preserve"> </w:t>
      </w:r>
      <w:r>
        <w:t>The</w:t>
      </w:r>
      <w:r>
        <w:rPr>
          <w:spacing w:val="-7"/>
        </w:rPr>
        <w:t xml:space="preserve"> </w:t>
      </w:r>
      <w:r>
        <w:t>Designated</w:t>
      </w:r>
      <w:r>
        <w:rPr>
          <w:spacing w:val="-6"/>
        </w:rPr>
        <w:t xml:space="preserve"> </w:t>
      </w:r>
      <w:r>
        <w:t>Agent</w:t>
      </w:r>
      <w:r>
        <w:rPr>
          <w:spacing w:val="-5"/>
        </w:rPr>
        <w:t xml:space="preserve"> </w:t>
      </w:r>
      <w:r>
        <w:t>made</w:t>
      </w:r>
      <w:r>
        <w:rPr>
          <w:spacing w:val="-7"/>
        </w:rPr>
        <w:t xml:space="preserve"> </w:t>
      </w:r>
      <w:r>
        <w:t>no</w:t>
      </w:r>
      <w:r>
        <w:rPr>
          <w:spacing w:val="-6"/>
        </w:rPr>
        <w:t xml:space="preserve"> </w:t>
      </w:r>
      <w:r>
        <w:t>error.</w:t>
      </w:r>
      <w:r>
        <w:rPr>
          <w:spacing w:val="-7"/>
        </w:rPr>
        <w:t xml:space="preserve"> </w:t>
      </w:r>
      <w:r>
        <w:t>The</w:t>
      </w:r>
      <w:r>
        <w:rPr>
          <w:spacing w:val="-7"/>
        </w:rPr>
        <w:t xml:space="preserve"> </w:t>
      </w:r>
      <w:r>
        <w:t>Appellant</w:t>
      </w:r>
      <w:r>
        <w:rPr>
          <w:spacing w:val="-5"/>
        </w:rPr>
        <w:t xml:space="preserve"> </w:t>
      </w:r>
      <w:r>
        <w:t>lodged</w:t>
      </w:r>
      <w:r>
        <w:rPr>
          <w:spacing w:val="-6"/>
        </w:rPr>
        <w:t xml:space="preserve"> </w:t>
      </w:r>
      <w:r>
        <w:t>his</w:t>
      </w:r>
      <w:r>
        <w:rPr>
          <w:spacing w:val="-5"/>
        </w:rPr>
        <w:t xml:space="preserve"> </w:t>
      </w:r>
      <w:r>
        <w:t>claim</w:t>
      </w:r>
      <w:r>
        <w:rPr>
          <w:spacing w:val="-5"/>
        </w:rPr>
        <w:t xml:space="preserve"> </w:t>
      </w:r>
      <w:r>
        <w:t>with</w:t>
      </w:r>
      <w:r>
        <w:rPr>
          <w:spacing w:val="-6"/>
        </w:rPr>
        <w:t xml:space="preserve"> </w:t>
      </w:r>
      <w:r>
        <w:t>the</w:t>
      </w:r>
      <w:r>
        <w:rPr>
          <w:spacing w:val="-6"/>
        </w:rPr>
        <w:t xml:space="preserve"> </w:t>
      </w:r>
      <w:r>
        <w:t>National Employment Council on September 24, 2019, following his dismissal from employment on September 6, 2019. The two-year statutory period for initiating a claim before the Designated Officer had already elapsed. After noting the claim for compensation</w:t>
      </w:r>
      <w:r>
        <w:t xml:space="preserve"> for loss of employment, the Appellant took no further action to have the matter heard until he subsequently filed an application to compel the Designated Agent to proceed with his claim. From</w:t>
      </w:r>
      <w:r>
        <w:rPr>
          <w:spacing w:val="-1"/>
        </w:rPr>
        <w:t xml:space="preserve"> </w:t>
      </w:r>
      <w:r>
        <w:t>2021 onwards the</w:t>
      </w:r>
      <w:r>
        <w:rPr>
          <w:spacing w:val="-1"/>
        </w:rPr>
        <w:t xml:space="preserve"> </w:t>
      </w:r>
      <w:r>
        <w:t>Appellant failed to take any steps to ensure t</w:t>
      </w:r>
      <w:r>
        <w:t>he</w:t>
      </w:r>
      <w:r>
        <w:rPr>
          <w:spacing w:val="-1"/>
        </w:rPr>
        <w:t xml:space="preserve"> </w:t>
      </w:r>
      <w:r>
        <w:t>conclusion of</w:t>
      </w:r>
      <w:r>
        <w:rPr>
          <w:spacing w:val="-12"/>
        </w:rPr>
        <w:t xml:space="preserve"> </w:t>
      </w:r>
      <w:r>
        <w:t>his</w:t>
      </w:r>
      <w:r>
        <w:rPr>
          <w:spacing w:val="-11"/>
        </w:rPr>
        <w:t xml:space="preserve"> </w:t>
      </w:r>
      <w:r>
        <w:t>matter.</w:t>
      </w:r>
      <w:r>
        <w:rPr>
          <w:spacing w:val="-12"/>
        </w:rPr>
        <w:t xml:space="preserve"> </w:t>
      </w:r>
      <w:r>
        <w:t>He</w:t>
      </w:r>
      <w:r>
        <w:rPr>
          <w:spacing w:val="-13"/>
        </w:rPr>
        <w:t xml:space="preserve"> </w:t>
      </w:r>
      <w:r>
        <w:t>presented</w:t>
      </w:r>
      <w:r>
        <w:rPr>
          <w:spacing w:val="-12"/>
        </w:rPr>
        <w:t xml:space="preserve"> </w:t>
      </w:r>
      <w:r>
        <w:t>no</w:t>
      </w:r>
      <w:r>
        <w:rPr>
          <w:spacing w:val="-12"/>
        </w:rPr>
        <w:t xml:space="preserve"> </w:t>
      </w:r>
      <w:r>
        <w:t>evidence</w:t>
      </w:r>
      <w:r>
        <w:rPr>
          <w:spacing w:val="-13"/>
        </w:rPr>
        <w:t xml:space="preserve"> </w:t>
      </w:r>
      <w:r>
        <w:t>demonstrating</w:t>
      </w:r>
      <w:r>
        <w:rPr>
          <w:spacing w:val="-11"/>
        </w:rPr>
        <w:t xml:space="preserve"> </w:t>
      </w:r>
      <w:r>
        <w:t>efforts</w:t>
      </w:r>
      <w:r>
        <w:rPr>
          <w:spacing w:val="-12"/>
        </w:rPr>
        <w:t xml:space="preserve"> </w:t>
      </w:r>
      <w:r>
        <w:t>to</w:t>
      </w:r>
      <w:r>
        <w:rPr>
          <w:spacing w:val="-11"/>
        </w:rPr>
        <w:t xml:space="preserve"> </w:t>
      </w:r>
      <w:r>
        <w:t>successfully</w:t>
      </w:r>
      <w:r>
        <w:rPr>
          <w:spacing w:val="-12"/>
        </w:rPr>
        <w:t xml:space="preserve"> </w:t>
      </w:r>
      <w:r>
        <w:t>prosecute</w:t>
      </w:r>
      <w:r>
        <w:rPr>
          <w:spacing w:val="-12"/>
        </w:rPr>
        <w:t xml:space="preserve"> </w:t>
      </w:r>
      <w:r>
        <w:t>the claim. Instead, he pursued an appeal against unfair dismissal, which was contested up to the</w:t>
      </w:r>
      <w:r>
        <w:rPr>
          <w:spacing w:val="-15"/>
        </w:rPr>
        <w:t xml:space="preserve"> </w:t>
      </w:r>
      <w:r>
        <w:t>Supreme</w:t>
      </w:r>
      <w:r>
        <w:rPr>
          <w:spacing w:val="-15"/>
        </w:rPr>
        <w:t xml:space="preserve"> </w:t>
      </w:r>
      <w:r>
        <w:t>Court</w:t>
      </w:r>
      <w:r>
        <w:rPr>
          <w:spacing w:val="-15"/>
        </w:rPr>
        <w:t xml:space="preserve"> </w:t>
      </w:r>
      <w:r>
        <w:t>under</w:t>
      </w:r>
      <w:r>
        <w:rPr>
          <w:spacing w:val="-15"/>
        </w:rPr>
        <w:t xml:space="preserve"> </w:t>
      </w:r>
      <w:r>
        <w:t>case</w:t>
      </w:r>
      <w:r>
        <w:rPr>
          <w:spacing w:val="-15"/>
        </w:rPr>
        <w:t xml:space="preserve"> </w:t>
      </w:r>
      <w:r>
        <w:t>number</w:t>
      </w:r>
      <w:r>
        <w:rPr>
          <w:spacing w:val="-15"/>
        </w:rPr>
        <w:t xml:space="preserve"> </w:t>
      </w:r>
      <w:r>
        <w:t>SC</w:t>
      </w:r>
      <w:r>
        <w:rPr>
          <w:spacing w:val="-15"/>
        </w:rPr>
        <w:t xml:space="preserve"> </w:t>
      </w:r>
      <w:r>
        <w:t>440/24</w:t>
      </w:r>
      <w:r>
        <w:rPr>
          <w:spacing w:val="-15"/>
        </w:rPr>
        <w:t xml:space="preserve"> </w:t>
      </w:r>
      <w:r>
        <w:t>see</w:t>
      </w:r>
      <w:r>
        <w:rPr>
          <w:spacing w:val="-15"/>
        </w:rPr>
        <w:t xml:space="preserve"> </w:t>
      </w:r>
      <w:r>
        <w:t>record</w:t>
      </w:r>
      <w:r>
        <w:rPr>
          <w:spacing w:val="-15"/>
        </w:rPr>
        <w:t xml:space="preserve"> </w:t>
      </w:r>
      <w:r>
        <w:t>of</w:t>
      </w:r>
      <w:r>
        <w:rPr>
          <w:spacing w:val="-15"/>
        </w:rPr>
        <w:t xml:space="preserve"> </w:t>
      </w:r>
      <w:r>
        <w:t>p</w:t>
      </w:r>
      <w:r>
        <w:t>roceedings</w:t>
      </w:r>
      <w:r>
        <w:rPr>
          <w:spacing w:val="-15"/>
        </w:rPr>
        <w:t xml:space="preserve"> </w:t>
      </w:r>
      <w:r>
        <w:t>attached</w:t>
      </w:r>
      <w:r>
        <w:rPr>
          <w:spacing w:val="-15"/>
        </w:rPr>
        <w:t xml:space="preserve"> </w:t>
      </w:r>
      <w:r>
        <w:t>hereto marked B. Given that the claim had prescribed, the Designated Agent’s findings on this issue cannot be challenged.</w:t>
      </w:r>
    </w:p>
    <w:p w:rsidR="00CC5770" w:rsidRDefault="00772C18">
      <w:pPr>
        <w:pStyle w:val="BodyText"/>
        <w:spacing w:before="1"/>
        <w:ind w:left="720"/>
        <w:jc w:val="both"/>
      </w:pPr>
      <w:r>
        <w:t>Ad</w:t>
      </w:r>
      <w:r>
        <w:rPr>
          <w:spacing w:val="-1"/>
        </w:rPr>
        <w:t xml:space="preserve"> </w:t>
      </w:r>
      <w:r>
        <w:t>Ground</w:t>
      </w:r>
      <w:r>
        <w:rPr>
          <w:spacing w:val="-2"/>
        </w:rPr>
        <w:t xml:space="preserve"> </w:t>
      </w:r>
      <w:r>
        <w:t>of</w:t>
      </w:r>
      <w:r>
        <w:rPr>
          <w:spacing w:val="-1"/>
        </w:rPr>
        <w:t xml:space="preserve"> </w:t>
      </w:r>
      <w:r>
        <w:t xml:space="preserve">Appeal </w:t>
      </w:r>
      <w:r>
        <w:rPr>
          <w:spacing w:val="-10"/>
        </w:rPr>
        <w:t>2</w:t>
      </w:r>
    </w:p>
    <w:p w:rsidR="00CC5770" w:rsidRDefault="00772C18">
      <w:pPr>
        <w:pStyle w:val="BodyText"/>
        <w:spacing w:before="139" w:line="360" w:lineRule="auto"/>
        <w:ind w:left="720" w:right="355"/>
        <w:jc w:val="both"/>
      </w:pPr>
      <w:r>
        <w:t>3.</w:t>
      </w:r>
      <w:r>
        <w:rPr>
          <w:spacing w:val="-10"/>
        </w:rPr>
        <w:t xml:space="preserve"> </w:t>
      </w:r>
      <w:r>
        <w:t>This</w:t>
      </w:r>
      <w:r>
        <w:rPr>
          <w:spacing w:val="-9"/>
        </w:rPr>
        <w:t xml:space="preserve"> </w:t>
      </w:r>
      <w:r>
        <w:t>ground</w:t>
      </w:r>
      <w:r>
        <w:rPr>
          <w:spacing w:val="-10"/>
        </w:rPr>
        <w:t xml:space="preserve"> </w:t>
      </w:r>
      <w:r>
        <w:t>is</w:t>
      </w:r>
      <w:r>
        <w:rPr>
          <w:spacing w:val="-9"/>
        </w:rPr>
        <w:t xml:space="preserve"> </w:t>
      </w:r>
      <w:r>
        <w:t>denied.</w:t>
      </w:r>
      <w:r>
        <w:rPr>
          <w:spacing w:val="-7"/>
        </w:rPr>
        <w:t xml:space="preserve"> </w:t>
      </w:r>
      <w:r>
        <w:t>The</w:t>
      </w:r>
      <w:r>
        <w:rPr>
          <w:spacing w:val="-11"/>
        </w:rPr>
        <w:t xml:space="preserve"> </w:t>
      </w:r>
      <w:r>
        <w:t>Designated</w:t>
      </w:r>
      <w:r>
        <w:rPr>
          <w:spacing w:val="-10"/>
        </w:rPr>
        <w:t xml:space="preserve"> </w:t>
      </w:r>
      <w:r>
        <w:t>Agent</w:t>
      </w:r>
      <w:r>
        <w:rPr>
          <w:spacing w:val="-9"/>
        </w:rPr>
        <w:t xml:space="preserve"> </w:t>
      </w:r>
      <w:r>
        <w:t>did</w:t>
      </w:r>
      <w:r>
        <w:rPr>
          <w:spacing w:val="-9"/>
        </w:rPr>
        <w:t xml:space="preserve"> </w:t>
      </w:r>
      <w:r>
        <w:t>not</w:t>
      </w:r>
      <w:r>
        <w:rPr>
          <w:spacing w:val="-9"/>
        </w:rPr>
        <w:t xml:space="preserve"> </w:t>
      </w:r>
      <w:r>
        <w:t>err</w:t>
      </w:r>
      <w:r>
        <w:rPr>
          <w:spacing w:val="-9"/>
        </w:rPr>
        <w:t xml:space="preserve"> </w:t>
      </w:r>
      <w:r>
        <w:t>in</w:t>
      </w:r>
      <w:r>
        <w:rPr>
          <w:spacing w:val="-9"/>
        </w:rPr>
        <w:t xml:space="preserve"> </w:t>
      </w:r>
      <w:r>
        <w:t>making</w:t>
      </w:r>
      <w:r>
        <w:rPr>
          <w:spacing w:val="-10"/>
        </w:rPr>
        <w:t xml:space="preserve"> </w:t>
      </w:r>
      <w:r>
        <w:t>a</w:t>
      </w:r>
      <w:r>
        <w:rPr>
          <w:spacing w:val="-8"/>
        </w:rPr>
        <w:t xml:space="preserve"> </w:t>
      </w:r>
      <w:r>
        <w:t>finding</w:t>
      </w:r>
      <w:r>
        <w:rPr>
          <w:spacing w:val="-9"/>
        </w:rPr>
        <w:t xml:space="preserve"> </w:t>
      </w:r>
      <w:r>
        <w:t>concerning the claim for compensation for loss of employment. The Appellant’s employment was terminated</w:t>
      </w:r>
      <w:r>
        <w:rPr>
          <w:spacing w:val="-1"/>
        </w:rPr>
        <w:t xml:space="preserve"> </w:t>
      </w:r>
      <w:r>
        <w:t>for</w:t>
      </w:r>
      <w:r>
        <w:rPr>
          <w:spacing w:val="-1"/>
        </w:rPr>
        <w:t xml:space="preserve"> </w:t>
      </w:r>
      <w:r>
        <w:t>cause, and as such, his claim falls to be addressed within the framework</w:t>
      </w:r>
      <w:r>
        <w:rPr>
          <w:spacing w:val="-1"/>
        </w:rPr>
        <w:t xml:space="preserve"> </w:t>
      </w:r>
      <w:r>
        <w:t>of Section 13 of the Labour Act (Chapter 28:01) which governs terminal bene</w:t>
      </w:r>
      <w:r>
        <w:t>fits upon employment termination. Consequently, the Appellant cannot validly make</w:t>
      </w:r>
      <w:r>
        <w:rPr>
          <w:spacing w:val="-1"/>
        </w:rPr>
        <w:t xml:space="preserve"> </w:t>
      </w:r>
      <w:r>
        <w:t>a</w:t>
      </w:r>
      <w:r>
        <w:rPr>
          <w:spacing w:val="-1"/>
        </w:rPr>
        <w:t xml:space="preserve"> </w:t>
      </w:r>
      <w:r>
        <w:t>claim under Section 12(4) of the Labour Act.”</w:t>
      </w:r>
    </w:p>
    <w:p w:rsidR="00CC5770" w:rsidRDefault="00CC5770">
      <w:pPr>
        <w:pStyle w:val="BodyText"/>
        <w:spacing w:before="138"/>
      </w:pPr>
    </w:p>
    <w:p w:rsidR="00CC5770" w:rsidRDefault="00772C18">
      <w:pPr>
        <w:pStyle w:val="BodyText"/>
        <w:spacing w:line="360" w:lineRule="auto"/>
      </w:pPr>
      <w:r>
        <w:t xml:space="preserve">The grounds of appeal and the response thereto raise 2 (two) issues which shall be addressed </w:t>
      </w:r>
      <w:r>
        <w:rPr>
          <w:u w:val="single"/>
        </w:rPr>
        <w:t>ad</w:t>
      </w:r>
      <w:r>
        <w:t xml:space="preserve"> </w:t>
      </w:r>
      <w:r>
        <w:rPr>
          <w:spacing w:val="-2"/>
          <w:u w:val="single"/>
        </w:rPr>
        <w:t>seriatim</w:t>
      </w:r>
      <w:r>
        <w:rPr>
          <w:spacing w:val="-2"/>
        </w:rPr>
        <w:t>.</w:t>
      </w:r>
    </w:p>
    <w:p w:rsidR="00CC5770" w:rsidRDefault="00CC5770">
      <w:pPr>
        <w:pStyle w:val="BodyText"/>
        <w:spacing w:before="139"/>
      </w:pPr>
    </w:p>
    <w:p w:rsidR="00CC5770" w:rsidRDefault="00772C18">
      <w:pPr>
        <w:pStyle w:val="ListParagraph"/>
        <w:numPr>
          <w:ilvl w:val="0"/>
          <w:numId w:val="2"/>
        </w:numPr>
        <w:tabs>
          <w:tab w:val="left" w:pos="233"/>
        </w:tabs>
        <w:ind w:left="233" w:hanging="233"/>
        <w:rPr>
          <w:b/>
          <w:sz w:val="24"/>
        </w:rPr>
      </w:pPr>
      <w:r>
        <w:rPr>
          <w:b/>
          <w:spacing w:val="-5"/>
          <w:sz w:val="24"/>
          <w:u w:val="single"/>
        </w:rPr>
        <w:t xml:space="preserve"> </w:t>
      </w:r>
      <w:r>
        <w:rPr>
          <w:b/>
          <w:sz w:val="24"/>
          <w:u w:val="single"/>
        </w:rPr>
        <w:t>Whether</w:t>
      </w:r>
      <w:r>
        <w:rPr>
          <w:b/>
          <w:spacing w:val="-2"/>
          <w:sz w:val="24"/>
          <w:u w:val="single"/>
        </w:rPr>
        <w:t xml:space="preserve"> </w:t>
      </w:r>
      <w:r>
        <w:rPr>
          <w:b/>
          <w:sz w:val="24"/>
          <w:u w:val="single"/>
        </w:rPr>
        <w:t>appellant</w:t>
      </w:r>
      <w:r>
        <w:rPr>
          <w:b/>
          <w:sz w:val="24"/>
          <w:u w:val="single"/>
        </w:rPr>
        <w:t>’s</w:t>
      </w:r>
      <w:r>
        <w:rPr>
          <w:b/>
          <w:spacing w:val="-1"/>
          <w:sz w:val="24"/>
          <w:u w:val="single"/>
        </w:rPr>
        <w:t xml:space="preserve"> </w:t>
      </w:r>
      <w:r>
        <w:rPr>
          <w:b/>
          <w:sz w:val="24"/>
          <w:u w:val="single"/>
        </w:rPr>
        <w:t>claims</w:t>
      </w:r>
      <w:r>
        <w:rPr>
          <w:b/>
          <w:spacing w:val="-2"/>
          <w:sz w:val="24"/>
          <w:u w:val="single"/>
        </w:rPr>
        <w:t xml:space="preserve"> </w:t>
      </w:r>
      <w:r>
        <w:rPr>
          <w:b/>
          <w:sz w:val="24"/>
          <w:u w:val="single"/>
        </w:rPr>
        <w:t>for</w:t>
      </w:r>
      <w:r>
        <w:rPr>
          <w:b/>
          <w:spacing w:val="-3"/>
          <w:sz w:val="24"/>
          <w:u w:val="single"/>
        </w:rPr>
        <w:t xml:space="preserve"> </w:t>
      </w:r>
      <w:r>
        <w:rPr>
          <w:b/>
          <w:sz w:val="24"/>
          <w:u w:val="single"/>
        </w:rPr>
        <w:t>gratuity</w:t>
      </w:r>
      <w:r>
        <w:rPr>
          <w:b/>
          <w:spacing w:val="-2"/>
          <w:sz w:val="24"/>
          <w:u w:val="single"/>
        </w:rPr>
        <w:t xml:space="preserve"> </w:t>
      </w:r>
      <w:r>
        <w:rPr>
          <w:b/>
          <w:sz w:val="24"/>
          <w:u w:val="single"/>
        </w:rPr>
        <w:t>and</w:t>
      </w:r>
      <w:r>
        <w:rPr>
          <w:b/>
          <w:spacing w:val="-1"/>
          <w:sz w:val="24"/>
          <w:u w:val="single"/>
        </w:rPr>
        <w:t xml:space="preserve"> </w:t>
      </w:r>
      <w:r>
        <w:rPr>
          <w:b/>
          <w:sz w:val="24"/>
          <w:u w:val="single"/>
        </w:rPr>
        <w:t>notice</w:t>
      </w:r>
      <w:r>
        <w:rPr>
          <w:b/>
          <w:spacing w:val="-3"/>
          <w:sz w:val="24"/>
          <w:u w:val="single"/>
        </w:rPr>
        <w:t xml:space="preserve"> </w:t>
      </w:r>
      <w:r>
        <w:rPr>
          <w:b/>
          <w:sz w:val="24"/>
          <w:u w:val="single"/>
        </w:rPr>
        <w:t>pay</w:t>
      </w:r>
      <w:r>
        <w:rPr>
          <w:b/>
          <w:spacing w:val="-1"/>
          <w:sz w:val="24"/>
          <w:u w:val="single"/>
        </w:rPr>
        <w:t xml:space="preserve"> </w:t>
      </w:r>
      <w:r>
        <w:rPr>
          <w:b/>
          <w:sz w:val="24"/>
          <w:u w:val="single"/>
        </w:rPr>
        <w:t>had</w:t>
      </w:r>
      <w:r>
        <w:rPr>
          <w:b/>
          <w:spacing w:val="-1"/>
          <w:sz w:val="24"/>
          <w:u w:val="single"/>
        </w:rPr>
        <w:t xml:space="preserve"> </w:t>
      </w:r>
      <w:r>
        <w:rPr>
          <w:b/>
          <w:spacing w:val="-2"/>
          <w:sz w:val="24"/>
          <w:u w:val="single"/>
        </w:rPr>
        <w:t>prescribed:</w:t>
      </w:r>
    </w:p>
    <w:p w:rsidR="00CC5770" w:rsidRDefault="00CC5770">
      <w:pPr>
        <w:pStyle w:val="ListParagraph"/>
        <w:rPr>
          <w:b/>
          <w:sz w:val="24"/>
        </w:rPr>
        <w:sectPr w:rsidR="00CC5770">
          <w:headerReference w:type="default" r:id="rId8"/>
          <w:footerReference w:type="default" r:id="rId9"/>
          <w:pgSz w:w="12240" w:h="15840"/>
          <w:pgMar w:top="1320" w:right="1080" w:bottom="920" w:left="1440" w:header="729" w:footer="739" w:gutter="0"/>
          <w:cols w:space="720"/>
        </w:sectPr>
      </w:pPr>
    </w:p>
    <w:p w:rsidR="00CC5770" w:rsidRDefault="00772C18">
      <w:pPr>
        <w:pStyle w:val="BodyText"/>
        <w:spacing w:before="101"/>
      </w:pPr>
      <w:r>
        <w:lastRenderedPageBreak/>
        <w:t>In</w:t>
      </w:r>
      <w:r>
        <w:rPr>
          <w:spacing w:val="-2"/>
        </w:rPr>
        <w:t xml:space="preserve"> </w:t>
      </w:r>
      <w:r>
        <w:t>his</w:t>
      </w:r>
      <w:r>
        <w:rPr>
          <w:spacing w:val="-2"/>
        </w:rPr>
        <w:t xml:space="preserve"> </w:t>
      </w:r>
      <w:r>
        <w:t>determination</w:t>
      </w:r>
      <w:r>
        <w:rPr>
          <w:spacing w:val="-2"/>
        </w:rPr>
        <w:t xml:space="preserve"> </w:t>
      </w:r>
      <w:r>
        <w:t>the Designated</w:t>
      </w:r>
      <w:r>
        <w:rPr>
          <w:spacing w:val="-1"/>
        </w:rPr>
        <w:t xml:space="preserve"> </w:t>
      </w:r>
      <w:r>
        <w:t>Agent</w:t>
      </w:r>
      <w:r>
        <w:rPr>
          <w:spacing w:val="-2"/>
        </w:rPr>
        <w:t xml:space="preserve"> </w:t>
      </w:r>
      <w:r>
        <w:t>(DA)</w:t>
      </w:r>
      <w:r>
        <w:rPr>
          <w:spacing w:val="-1"/>
        </w:rPr>
        <w:t xml:space="preserve"> </w:t>
      </w:r>
      <w:r>
        <w:t>opined</w:t>
      </w:r>
      <w:r>
        <w:rPr>
          <w:spacing w:val="-1"/>
        </w:rPr>
        <w:t xml:space="preserve"> </w:t>
      </w:r>
      <w:r>
        <w:rPr>
          <w:spacing w:val="-2"/>
        </w:rPr>
        <w:t>that,</w:t>
      </w:r>
    </w:p>
    <w:p w:rsidR="00CC5770" w:rsidRDefault="00CC5770">
      <w:pPr>
        <w:pStyle w:val="BodyText"/>
        <w:spacing w:before="100"/>
      </w:pPr>
    </w:p>
    <w:p w:rsidR="00CC5770" w:rsidRDefault="00772C18">
      <w:pPr>
        <w:pStyle w:val="BodyText"/>
        <w:spacing w:line="360" w:lineRule="auto"/>
        <w:ind w:left="720" w:right="356"/>
        <w:jc w:val="both"/>
      </w:pPr>
      <w:r>
        <w:t>“6.4 At this stage it has to be established when the cause of action first arose. When the Claimant</w:t>
      </w:r>
      <w:r>
        <w:rPr>
          <w:spacing w:val="-11"/>
        </w:rPr>
        <w:t xml:space="preserve"> </w:t>
      </w:r>
      <w:r>
        <w:t>initially</w:t>
      </w:r>
      <w:r>
        <w:rPr>
          <w:spacing w:val="-10"/>
        </w:rPr>
        <w:t xml:space="preserve"> </w:t>
      </w:r>
      <w:r>
        <w:t>filed</w:t>
      </w:r>
      <w:r>
        <w:rPr>
          <w:spacing w:val="-11"/>
        </w:rPr>
        <w:t xml:space="preserve"> </w:t>
      </w:r>
      <w:r>
        <w:t>his</w:t>
      </w:r>
      <w:r>
        <w:rPr>
          <w:spacing w:val="-10"/>
        </w:rPr>
        <w:t xml:space="preserve"> </w:t>
      </w:r>
      <w:r>
        <w:t>complaint</w:t>
      </w:r>
      <w:r>
        <w:rPr>
          <w:spacing w:val="-10"/>
        </w:rPr>
        <w:t xml:space="preserve"> </w:t>
      </w:r>
      <w:r>
        <w:t>with</w:t>
      </w:r>
      <w:r>
        <w:rPr>
          <w:spacing w:val="-13"/>
        </w:rPr>
        <w:t xml:space="preserve"> </w:t>
      </w:r>
      <w:r>
        <w:t>the</w:t>
      </w:r>
      <w:r>
        <w:rPr>
          <w:spacing w:val="-11"/>
        </w:rPr>
        <w:t xml:space="preserve"> </w:t>
      </w:r>
      <w:r>
        <w:t>NEC?</w:t>
      </w:r>
      <w:r>
        <w:rPr>
          <w:spacing w:val="-12"/>
        </w:rPr>
        <w:t xml:space="preserve"> </w:t>
      </w:r>
      <w:r>
        <w:t>It</w:t>
      </w:r>
      <w:r>
        <w:rPr>
          <w:spacing w:val="-10"/>
        </w:rPr>
        <w:t xml:space="preserve"> </w:t>
      </w:r>
      <w:r>
        <w:t>is</w:t>
      </w:r>
      <w:r>
        <w:rPr>
          <w:spacing w:val="-10"/>
        </w:rPr>
        <w:t xml:space="preserve"> </w:t>
      </w:r>
      <w:r>
        <w:t>clear</w:t>
      </w:r>
      <w:r>
        <w:rPr>
          <w:spacing w:val="-11"/>
        </w:rPr>
        <w:t xml:space="preserve"> </w:t>
      </w:r>
      <w:r>
        <w:t>on</w:t>
      </w:r>
      <w:r>
        <w:rPr>
          <w:spacing w:val="-11"/>
        </w:rPr>
        <w:t xml:space="preserve"> </w:t>
      </w:r>
      <w:r>
        <w:t>the</w:t>
      </w:r>
      <w:r>
        <w:rPr>
          <w:spacing w:val="-11"/>
        </w:rPr>
        <w:t xml:space="preserve"> </w:t>
      </w:r>
      <w:r>
        <w:t>letter</w:t>
      </w:r>
      <w:r>
        <w:rPr>
          <w:spacing w:val="-12"/>
        </w:rPr>
        <w:t xml:space="preserve"> </w:t>
      </w:r>
      <w:r>
        <w:t>from</w:t>
      </w:r>
      <w:r>
        <w:rPr>
          <w:spacing w:val="-10"/>
        </w:rPr>
        <w:t xml:space="preserve"> </w:t>
      </w:r>
      <w:r>
        <w:t>his</w:t>
      </w:r>
      <w:r>
        <w:rPr>
          <w:spacing w:val="-10"/>
        </w:rPr>
        <w:t xml:space="preserve"> </w:t>
      </w:r>
      <w:r>
        <w:t xml:space="preserve">lawyer to the Chief Designated Agent dated 19 September 2019 that it was received by the NEC on </w:t>
      </w:r>
      <w:r>
        <w:rPr>
          <w:u w:val="single"/>
        </w:rPr>
        <w:t>23</w:t>
      </w:r>
      <w:r>
        <w:t xml:space="preserve"> </w:t>
      </w:r>
      <w:r>
        <w:rPr>
          <w:u w:val="single"/>
        </w:rPr>
        <w:t>September</w:t>
      </w:r>
      <w:r>
        <w:rPr>
          <w:spacing w:val="-1"/>
        </w:rPr>
        <w:t xml:space="preserve"> </w:t>
      </w:r>
      <w:r>
        <w:rPr>
          <w:u w:val="single"/>
        </w:rPr>
        <w:t>2019</w:t>
      </w:r>
      <w:r>
        <w:t xml:space="preserve"> and in the</w:t>
      </w:r>
      <w:r>
        <w:rPr>
          <w:spacing w:val="-1"/>
        </w:rPr>
        <w:t xml:space="preserve"> </w:t>
      </w:r>
      <w:r>
        <w:t>same</w:t>
      </w:r>
      <w:r>
        <w:rPr>
          <w:spacing w:val="-1"/>
        </w:rPr>
        <w:t xml:space="preserve"> </w:t>
      </w:r>
      <w:r>
        <w:t>letter</w:t>
      </w:r>
      <w:r>
        <w:rPr>
          <w:spacing w:val="-2"/>
        </w:rPr>
        <w:t xml:space="preserve"> </w:t>
      </w:r>
      <w:r>
        <w:t>there</w:t>
      </w:r>
      <w:r>
        <w:rPr>
          <w:spacing w:val="-1"/>
        </w:rPr>
        <w:t xml:space="preserve"> </w:t>
      </w:r>
      <w:r>
        <w:t>is no date</w:t>
      </w:r>
      <w:r>
        <w:rPr>
          <w:spacing w:val="-1"/>
        </w:rPr>
        <w:t xml:space="preserve"> </w:t>
      </w:r>
      <w:r>
        <w:t>of</w:t>
      </w:r>
      <w:r>
        <w:rPr>
          <w:spacing w:val="-1"/>
        </w:rPr>
        <w:t xml:space="preserve"> </w:t>
      </w:r>
      <w:r>
        <w:t>termination… It is crucial to note that in most of the submissions filed the termination date is gi</w:t>
      </w:r>
      <w:r>
        <w:t xml:space="preserve">ven as with effect from </w:t>
      </w:r>
      <w:r>
        <w:rPr>
          <w:u w:val="single"/>
        </w:rPr>
        <w:t>06</w:t>
      </w:r>
      <w:r>
        <w:t xml:space="preserve"> </w:t>
      </w:r>
      <w:r>
        <w:rPr>
          <w:u w:val="single"/>
        </w:rPr>
        <w:t>September</w:t>
      </w:r>
      <w:r>
        <w:t xml:space="preserve"> </w:t>
      </w:r>
      <w:r>
        <w:rPr>
          <w:u w:val="single"/>
        </w:rPr>
        <w:t>2017</w:t>
      </w:r>
      <w:r>
        <w:t>. That being the case the cause of action is already known that it is 06 September 2017.</w:t>
      </w:r>
    </w:p>
    <w:p w:rsidR="00CC5770" w:rsidRDefault="00772C18">
      <w:pPr>
        <w:pStyle w:val="BodyText"/>
        <w:spacing w:before="242" w:line="360" w:lineRule="auto"/>
        <w:ind w:left="720" w:right="356"/>
        <w:jc w:val="both"/>
      </w:pPr>
      <w:r>
        <w:t>6.9</w:t>
      </w:r>
      <w:r>
        <w:rPr>
          <w:spacing w:val="-15"/>
        </w:rPr>
        <w:t xml:space="preserve"> </w:t>
      </w:r>
      <w:r>
        <w:t>What</w:t>
      </w:r>
      <w:r>
        <w:rPr>
          <w:spacing w:val="-15"/>
        </w:rPr>
        <w:t xml:space="preserve"> </w:t>
      </w:r>
      <w:r>
        <w:t>the</w:t>
      </w:r>
      <w:r>
        <w:rPr>
          <w:spacing w:val="-15"/>
        </w:rPr>
        <w:t xml:space="preserve"> </w:t>
      </w:r>
      <w:r>
        <w:t>Claimant</w:t>
      </w:r>
      <w:r>
        <w:rPr>
          <w:spacing w:val="-15"/>
        </w:rPr>
        <w:t xml:space="preserve"> </w:t>
      </w:r>
      <w:r>
        <w:t>might</w:t>
      </w:r>
      <w:r>
        <w:rPr>
          <w:spacing w:val="-14"/>
        </w:rPr>
        <w:t xml:space="preserve"> </w:t>
      </w:r>
      <w:r>
        <w:t>not</w:t>
      </w:r>
      <w:r>
        <w:rPr>
          <w:spacing w:val="-15"/>
        </w:rPr>
        <w:t xml:space="preserve"> </w:t>
      </w:r>
      <w:r>
        <w:t>have</w:t>
      </w:r>
      <w:r>
        <w:rPr>
          <w:spacing w:val="-15"/>
        </w:rPr>
        <w:t xml:space="preserve"> </w:t>
      </w:r>
      <w:r>
        <w:t>known</w:t>
      </w:r>
      <w:r>
        <w:rPr>
          <w:spacing w:val="-15"/>
        </w:rPr>
        <w:t xml:space="preserve"> </w:t>
      </w:r>
      <w:r>
        <w:t>is</w:t>
      </w:r>
      <w:r>
        <w:rPr>
          <w:spacing w:val="-14"/>
        </w:rPr>
        <w:t xml:space="preserve"> </w:t>
      </w:r>
      <w:r>
        <w:t>that</w:t>
      </w:r>
      <w:r>
        <w:rPr>
          <w:spacing w:val="-15"/>
        </w:rPr>
        <w:t xml:space="preserve"> </w:t>
      </w:r>
      <w:r>
        <w:t>he</w:t>
      </w:r>
      <w:r>
        <w:rPr>
          <w:spacing w:val="-15"/>
        </w:rPr>
        <w:t xml:space="preserve"> </w:t>
      </w:r>
      <w:r>
        <w:t>was</w:t>
      </w:r>
      <w:r>
        <w:rPr>
          <w:spacing w:val="-14"/>
        </w:rPr>
        <w:t xml:space="preserve"> </w:t>
      </w:r>
      <w:r>
        <w:t>not</w:t>
      </w:r>
      <w:r>
        <w:rPr>
          <w:spacing w:val="-15"/>
        </w:rPr>
        <w:t xml:space="preserve"> </w:t>
      </w:r>
      <w:r>
        <w:t>supposed</w:t>
      </w:r>
      <w:r>
        <w:rPr>
          <w:spacing w:val="-15"/>
        </w:rPr>
        <w:t xml:space="preserve"> </w:t>
      </w:r>
      <w:r>
        <w:t>to</w:t>
      </w:r>
      <w:r>
        <w:rPr>
          <w:spacing w:val="-15"/>
        </w:rPr>
        <w:t xml:space="preserve"> </w:t>
      </w:r>
      <w:r>
        <w:t>be</w:t>
      </w:r>
      <w:r>
        <w:rPr>
          <w:spacing w:val="-15"/>
        </w:rPr>
        <w:t xml:space="preserve"> </w:t>
      </w:r>
      <w:r>
        <w:t>kept</w:t>
      </w:r>
      <w:r>
        <w:rPr>
          <w:spacing w:val="-14"/>
        </w:rPr>
        <w:t xml:space="preserve"> </w:t>
      </w:r>
      <w:r>
        <w:t>waiting by the Respondent without lodging hi</w:t>
      </w:r>
      <w:r>
        <w:t>s claim with the next port of call timeously when internal engagements had proved not to yield positive results or were taking too long to conclude. It is correct that the claimant after lodging his claim with the NEC he never stopped following up on his m</w:t>
      </w:r>
      <w:r>
        <w:t xml:space="preserve">atter as such the matter cannot be said that he failed to prosecute his claim to finality as he was making frantic efforts to have his matter heard. The issue is that </w:t>
      </w:r>
      <w:r>
        <w:rPr>
          <w:u w:val="single"/>
        </w:rPr>
        <w:t>he brought his claim to the NEC when the prescribed two years had</w:t>
      </w:r>
      <w:r>
        <w:t xml:space="preserve"> </w:t>
      </w:r>
      <w:r>
        <w:rPr>
          <w:spacing w:val="-2"/>
          <w:u w:val="single"/>
        </w:rPr>
        <w:t>lapsed</w:t>
      </w:r>
      <w:r>
        <w:rPr>
          <w:spacing w:val="-2"/>
        </w:rPr>
        <w:t>.”</w:t>
      </w:r>
    </w:p>
    <w:p w:rsidR="00CC5770" w:rsidRDefault="00772C18">
      <w:pPr>
        <w:pStyle w:val="BodyText"/>
        <w:spacing w:before="241"/>
        <w:jc w:val="both"/>
      </w:pPr>
      <w:r>
        <w:t>The</w:t>
      </w:r>
      <w:r>
        <w:rPr>
          <w:spacing w:val="-3"/>
        </w:rPr>
        <w:t xml:space="preserve"> </w:t>
      </w:r>
      <w:r>
        <w:t>DA’s concl</w:t>
      </w:r>
      <w:r>
        <w:t>usion</w:t>
      </w:r>
      <w:r>
        <w:rPr>
          <w:spacing w:val="-1"/>
        </w:rPr>
        <w:t xml:space="preserve"> </w:t>
      </w:r>
      <w:r>
        <w:t>is consistent</w:t>
      </w:r>
      <w:r>
        <w:rPr>
          <w:spacing w:val="-1"/>
        </w:rPr>
        <w:t xml:space="preserve"> </w:t>
      </w:r>
      <w:r>
        <w:t>with</w:t>
      </w:r>
      <w:r>
        <w:rPr>
          <w:spacing w:val="-1"/>
        </w:rPr>
        <w:t xml:space="preserve"> </w:t>
      </w:r>
      <w:r>
        <w:t>Section 94</w:t>
      </w:r>
      <w:r>
        <w:rPr>
          <w:spacing w:val="-4"/>
        </w:rPr>
        <w:t xml:space="preserve"> </w:t>
      </w:r>
      <w:r>
        <w:t>of</w:t>
      </w:r>
      <w:r>
        <w:rPr>
          <w:spacing w:val="-1"/>
        </w:rPr>
        <w:t xml:space="preserve"> </w:t>
      </w:r>
      <w:r>
        <w:t>the</w:t>
      </w:r>
      <w:r>
        <w:rPr>
          <w:spacing w:val="-2"/>
        </w:rPr>
        <w:t xml:space="preserve"> </w:t>
      </w:r>
      <w:r>
        <w:t>Act</w:t>
      </w:r>
      <w:r>
        <w:rPr>
          <w:spacing w:val="-1"/>
        </w:rPr>
        <w:t xml:space="preserve"> </w:t>
      </w:r>
      <w:r>
        <w:t>which</w:t>
      </w:r>
      <w:r>
        <w:rPr>
          <w:spacing w:val="-1"/>
        </w:rPr>
        <w:t xml:space="preserve"> </w:t>
      </w:r>
      <w:r>
        <w:t>provides</w:t>
      </w:r>
      <w:r>
        <w:rPr>
          <w:spacing w:val="-1"/>
        </w:rPr>
        <w:t xml:space="preserve"> </w:t>
      </w:r>
      <w:r>
        <w:rPr>
          <w:spacing w:val="-2"/>
        </w:rPr>
        <w:t>that;</w:t>
      </w:r>
    </w:p>
    <w:p w:rsidR="00CC5770" w:rsidRDefault="00CC5770">
      <w:pPr>
        <w:pStyle w:val="BodyText"/>
        <w:spacing w:before="101"/>
      </w:pPr>
    </w:p>
    <w:p w:rsidR="00CC5770" w:rsidRDefault="00772C18">
      <w:pPr>
        <w:pStyle w:val="BodyText"/>
        <w:spacing w:line="360" w:lineRule="auto"/>
        <w:ind w:left="720"/>
      </w:pPr>
      <w:r>
        <w:t>“(1) Subject to subsection (2) no labour officer shall entertain any dispute or unfair labor practice unless-</w:t>
      </w:r>
    </w:p>
    <w:p w:rsidR="00CC5770" w:rsidRDefault="00772C18">
      <w:pPr>
        <w:pStyle w:val="ListParagraph"/>
        <w:numPr>
          <w:ilvl w:val="0"/>
          <w:numId w:val="1"/>
        </w:numPr>
        <w:tabs>
          <w:tab w:val="left" w:pos="1079"/>
        </w:tabs>
        <w:ind w:left="1079" w:hanging="359"/>
        <w:rPr>
          <w:sz w:val="24"/>
        </w:rPr>
      </w:pPr>
      <w:r>
        <w:rPr>
          <w:sz w:val="24"/>
        </w:rPr>
        <w:t>it</w:t>
      </w:r>
      <w:r>
        <w:rPr>
          <w:spacing w:val="-3"/>
          <w:sz w:val="24"/>
        </w:rPr>
        <w:t xml:space="preserve"> </w:t>
      </w:r>
      <w:r>
        <w:rPr>
          <w:sz w:val="24"/>
        </w:rPr>
        <w:t>is</w:t>
      </w:r>
      <w:r>
        <w:rPr>
          <w:spacing w:val="-2"/>
          <w:sz w:val="24"/>
        </w:rPr>
        <w:t xml:space="preserve"> </w:t>
      </w:r>
      <w:r>
        <w:rPr>
          <w:sz w:val="24"/>
        </w:rPr>
        <w:t>referred</w:t>
      </w:r>
      <w:r>
        <w:rPr>
          <w:spacing w:val="-1"/>
          <w:sz w:val="24"/>
        </w:rPr>
        <w:t xml:space="preserve"> </w:t>
      </w:r>
      <w:r>
        <w:rPr>
          <w:sz w:val="24"/>
        </w:rPr>
        <w:t>to</w:t>
      </w:r>
      <w:r>
        <w:rPr>
          <w:spacing w:val="-1"/>
          <w:sz w:val="24"/>
        </w:rPr>
        <w:t xml:space="preserve"> </w:t>
      </w:r>
      <w:r>
        <w:rPr>
          <w:sz w:val="24"/>
        </w:rPr>
        <w:t>him;</w:t>
      </w:r>
      <w:r>
        <w:rPr>
          <w:spacing w:val="-1"/>
          <w:sz w:val="24"/>
        </w:rPr>
        <w:t xml:space="preserve"> </w:t>
      </w:r>
      <w:r>
        <w:rPr>
          <w:spacing w:val="-5"/>
          <w:sz w:val="24"/>
        </w:rPr>
        <w:t>or</w:t>
      </w:r>
    </w:p>
    <w:p w:rsidR="00CC5770" w:rsidRDefault="00772C18">
      <w:pPr>
        <w:pStyle w:val="ListParagraph"/>
        <w:numPr>
          <w:ilvl w:val="0"/>
          <w:numId w:val="1"/>
        </w:numPr>
        <w:tabs>
          <w:tab w:val="left" w:pos="1080"/>
        </w:tabs>
        <w:spacing w:before="139" w:line="360" w:lineRule="auto"/>
        <w:ind w:right="358"/>
        <w:rPr>
          <w:sz w:val="24"/>
        </w:rPr>
      </w:pPr>
      <w:r>
        <w:rPr>
          <w:sz w:val="24"/>
        </w:rPr>
        <w:t xml:space="preserve">has otherwise come to his attention; within </w:t>
      </w:r>
      <w:r>
        <w:rPr>
          <w:sz w:val="24"/>
          <w:u w:val="single"/>
        </w:rPr>
        <w:t>two</w:t>
      </w:r>
      <w:r>
        <w:rPr>
          <w:sz w:val="24"/>
        </w:rPr>
        <w:t xml:space="preserve"> </w:t>
      </w:r>
      <w:r>
        <w:rPr>
          <w:sz w:val="24"/>
          <w:u w:val="single"/>
        </w:rPr>
        <w:t>years</w:t>
      </w:r>
      <w:r>
        <w:rPr>
          <w:sz w:val="24"/>
        </w:rPr>
        <w:t xml:space="preserve"> from the date when the dispute or unfair labour practice first arose.</w:t>
      </w:r>
    </w:p>
    <w:p w:rsidR="00CC5770" w:rsidRDefault="00CC5770">
      <w:pPr>
        <w:pStyle w:val="BodyText"/>
        <w:spacing w:before="138"/>
      </w:pPr>
    </w:p>
    <w:p w:rsidR="00CC5770" w:rsidRDefault="00772C18">
      <w:pPr>
        <w:pStyle w:val="BodyText"/>
        <w:spacing w:line="360" w:lineRule="auto"/>
        <w:ind w:right="353"/>
        <w:jc w:val="both"/>
      </w:pPr>
      <w:r>
        <w:t>Appellant was dismissed from employment by Respondent on 6 September 2017. His attorney referred</w:t>
      </w:r>
      <w:r>
        <w:rPr>
          <w:spacing w:val="-6"/>
        </w:rPr>
        <w:t xml:space="preserve"> </w:t>
      </w:r>
      <w:r>
        <w:t>his</w:t>
      </w:r>
      <w:r>
        <w:rPr>
          <w:spacing w:val="-5"/>
        </w:rPr>
        <w:t xml:space="preserve"> </w:t>
      </w:r>
      <w:r>
        <w:t>claims</w:t>
      </w:r>
      <w:r>
        <w:rPr>
          <w:spacing w:val="-5"/>
        </w:rPr>
        <w:t xml:space="preserve"> </w:t>
      </w:r>
      <w:r>
        <w:t>for</w:t>
      </w:r>
      <w:r>
        <w:rPr>
          <w:spacing w:val="-7"/>
        </w:rPr>
        <w:t xml:space="preserve"> </w:t>
      </w:r>
      <w:r>
        <w:t>gratuity</w:t>
      </w:r>
      <w:r>
        <w:rPr>
          <w:spacing w:val="-5"/>
        </w:rPr>
        <w:t xml:space="preserve"> </w:t>
      </w:r>
      <w:r>
        <w:t>and</w:t>
      </w:r>
      <w:r>
        <w:rPr>
          <w:spacing w:val="-6"/>
        </w:rPr>
        <w:t xml:space="preserve"> </w:t>
      </w:r>
      <w:r>
        <w:t>notice-pay</w:t>
      </w:r>
      <w:r>
        <w:rPr>
          <w:spacing w:val="-6"/>
        </w:rPr>
        <w:t xml:space="preserve"> </w:t>
      </w:r>
      <w:r>
        <w:t>to</w:t>
      </w:r>
      <w:r>
        <w:rPr>
          <w:spacing w:val="-5"/>
        </w:rPr>
        <w:t xml:space="preserve"> </w:t>
      </w:r>
      <w:r>
        <w:t>the</w:t>
      </w:r>
      <w:r>
        <w:rPr>
          <w:spacing w:val="-6"/>
        </w:rPr>
        <w:t xml:space="preserve"> </w:t>
      </w:r>
      <w:r>
        <w:t>NEC</w:t>
      </w:r>
      <w:r>
        <w:rPr>
          <w:spacing w:val="-5"/>
        </w:rPr>
        <w:t xml:space="preserve"> </w:t>
      </w:r>
      <w:r>
        <w:t>on</w:t>
      </w:r>
      <w:r>
        <w:rPr>
          <w:spacing w:val="-6"/>
        </w:rPr>
        <w:t xml:space="preserve"> </w:t>
      </w:r>
      <w:r>
        <w:t>23</w:t>
      </w:r>
      <w:r>
        <w:rPr>
          <w:spacing w:val="-6"/>
        </w:rPr>
        <w:t xml:space="preserve"> </w:t>
      </w:r>
      <w:r>
        <w:t>September</w:t>
      </w:r>
      <w:r>
        <w:rPr>
          <w:spacing w:val="-7"/>
        </w:rPr>
        <w:t xml:space="preserve"> </w:t>
      </w:r>
      <w:r>
        <w:t>2019</w:t>
      </w:r>
      <w:r>
        <w:rPr>
          <w:spacing w:val="-6"/>
        </w:rPr>
        <w:t xml:space="preserve"> </w:t>
      </w:r>
      <w:r>
        <w:t>which</w:t>
      </w:r>
      <w:r>
        <w:rPr>
          <w:spacing w:val="-6"/>
        </w:rPr>
        <w:t xml:space="preserve"> </w:t>
      </w:r>
      <w:r>
        <w:t>was</w:t>
      </w:r>
      <w:r>
        <w:rPr>
          <w:spacing w:val="-6"/>
        </w:rPr>
        <w:t xml:space="preserve"> </w:t>
      </w:r>
      <w:r>
        <w:t>m</w:t>
      </w:r>
      <w:r>
        <w:t xml:space="preserve">ore that the prescribed </w:t>
      </w:r>
      <w:r>
        <w:rPr>
          <w:u w:val="single"/>
        </w:rPr>
        <w:t>two</w:t>
      </w:r>
      <w:r>
        <w:t xml:space="preserve"> </w:t>
      </w:r>
      <w:r>
        <w:rPr>
          <w:u w:val="single"/>
        </w:rPr>
        <w:t>year</w:t>
      </w:r>
      <w:r>
        <w:t xml:space="preserve"> limit in the Act.</w:t>
      </w:r>
    </w:p>
    <w:p w:rsidR="00CC5770" w:rsidRDefault="00CC5770">
      <w:pPr>
        <w:pStyle w:val="BodyText"/>
        <w:spacing w:line="360" w:lineRule="auto"/>
        <w:jc w:val="both"/>
        <w:sectPr w:rsidR="00CC5770">
          <w:pgSz w:w="12240" w:h="15840"/>
          <w:pgMar w:top="1320" w:right="1080" w:bottom="920" w:left="1440" w:header="729" w:footer="739" w:gutter="0"/>
          <w:cols w:space="720"/>
        </w:sectPr>
      </w:pPr>
    </w:p>
    <w:p w:rsidR="00CC5770" w:rsidRDefault="00772C18">
      <w:pPr>
        <w:pStyle w:val="BodyText"/>
        <w:spacing w:before="101" w:line="360" w:lineRule="auto"/>
        <w:ind w:right="356"/>
        <w:jc w:val="both"/>
      </w:pPr>
      <w:r>
        <w:lastRenderedPageBreak/>
        <w:t>Appellant</w:t>
      </w:r>
      <w:r>
        <w:rPr>
          <w:spacing w:val="-15"/>
        </w:rPr>
        <w:t xml:space="preserve"> </w:t>
      </w:r>
      <w:r>
        <w:t>sought</w:t>
      </w:r>
      <w:r>
        <w:rPr>
          <w:spacing w:val="-15"/>
        </w:rPr>
        <w:t xml:space="preserve"> </w:t>
      </w:r>
      <w:r>
        <w:t>to</w:t>
      </w:r>
      <w:r>
        <w:rPr>
          <w:spacing w:val="-15"/>
        </w:rPr>
        <w:t xml:space="preserve"> </w:t>
      </w:r>
      <w:r>
        <w:t>argue</w:t>
      </w:r>
      <w:r>
        <w:rPr>
          <w:spacing w:val="-15"/>
        </w:rPr>
        <w:t xml:space="preserve"> </w:t>
      </w:r>
      <w:r>
        <w:t>that</w:t>
      </w:r>
      <w:r>
        <w:rPr>
          <w:spacing w:val="-15"/>
        </w:rPr>
        <w:t xml:space="preserve"> </w:t>
      </w:r>
      <w:r>
        <w:t>prescription</w:t>
      </w:r>
      <w:r>
        <w:rPr>
          <w:spacing w:val="-15"/>
        </w:rPr>
        <w:t xml:space="preserve"> </w:t>
      </w:r>
      <w:r>
        <w:t>started</w:t>
      </w:r>
      <w:r>
        <w:rPr>
          <w:spacing w:val="-15"/>
        </w:rPr>
        <w:t xml:space="preserve"> </w:t>
      </w:r>
      <w:r>
        <w:t>to</w:t>
      </w:r>
      <w:r>
        <w:rPr>
          <w:spacing w:val="-15"/>
        </w:rPr>
        <w:t xml:space="preserve"> </w:t>
      </w:r>
      <w:r>
        <w:t>run</w:t>
      </w:r>
      <w:r>
        <w:rPr>
          <w:spacing w:val="-15"/>
        </w:rPr>
        <w:t xml:space="preserve"> </w:t>
      </w:r>
      <w:r>
        <w:t>on</w:t>
      </w:r>
      <w:r>
        <w:rPr>
          <w:spacing w:val="-15"/>
        </w:rPr>
        <w:t xml:space="preserve"> </w:t>
      </w:r>
      <w:r>
        <w:t>5</w:t>
      </w:r>
      <w:r>
        <w:rPr>
          <w:vertAlign w:val="superscript"/>
        </w:rPr>
        <w:t>th</w:t>
      </w:r>
      <w:r>
        <w:rPr>
          <w:spacing w:val="-15"/>
        </w:rPr>
        <w:t xml:space="preserve"> </w:t>
      </w:r>
      <w:r>
        <w:t>March</w:t>
      </w:r>
      <w:r>
        <w:rPr>
          <w:spacing w:val="-15"/>
        </w:rPr>
        <w:t xml:space="preserve"> </w:t>
      </w:r>
      <w:r>
        <w:t>2018</w:t>
      </w:r>
      <w:r>
        <w:rPr>
          <w:spacing w:val="-15"/>
        </w:rPr>
        <w:t xml:space="preserve"> </w:t>
      </w:r>
      <w:r>
        <w:t>when</w:t>
      </w:r>
      <w:r>
        <w:rPr>
          <w:spacing w:val="-15"/>
        </w:rPr>
        <w:t xml:space="preserve"> </w:t>
      </w:r>
      <w:r>
        <w:t>respondent</w:t>
      </w:r>
      <w:r>
        <w:rPr>
          <w:spacing w:val="-15"/>
        </w:rPr>
        <w:t xml:space="preserve"> </w:t>
      </w:r>
      <w:r>
        <w:t xml:space="preserve">failed to comply with his demand for payment. The argument does not hold as it is not grounded in the applicable statutory provision quoted above. The provision does not make any exception related to demands or responses thereto. </w:t>
      </w:r>
      <w:r>
        <w:rPr>
          <w:u w:val="single"/>
        </w:rPr>
        <w:t>Cadit quaestio</w:t>
      </w:r>
      <w:r>
        <w:t>.</w:t>
      </w:r>
    </w:p>
    <w:p w:rsidR="00CC5770" w:rsidRDefault="00CC5770">
      <w:pPr>
        <w:pStyle w:val="BodyText"/>
        <w:spacing w:before="136"/>
      </w:pPr>
    </w:p>
    <w:p w:rsidR="00CC5770" w:rsidRDefault="00772C18">
      <w:pPr>
        <w:pStyle w:val="ListParagraph"/>
        <w:numPr>
          <w:ilvl w:val="0"/>
          <w:numId w:val="2"/>
        </w:numPr>
        <w:tabs>
          <w:tab w:val="left" w:pos="220"/>
        </w:tabs>
        <w:spacing w:line="360" w:lineRule="auto"/>
        <w:ind w:left="0" w:right="368" w:firstLine="0"/>
        <w:rPr>
          <w:b/>
          <w:sz w:val="24"/>
        </w:rPr>
      </w:pPr>
      <w:r>
        <w:rPr>
          <w:b/>
          <w:sz w:val="24"/>
          <w:u w:val="single"/>
        </w:rPr>
        <w:t xml:space="preserve"> Whether </w:t>
      </w:r>
      <w:r>
        <w:rPr>
          <w:b/>
          <w:sz w:val="24"/>
          <w:u w:val="single"/>
        </w:rPr>
        <w:t>the minimum retrenchment is payable by respondent to appellant in terms of</w:t>
      </w:r>
      <w:r>
        <w:rPr>
          <w:b/>
          <w:sz w:val="24"/>
        </w:rPr>
        <w:t xml:space="preserve"> </w:t>
      </w:r>
      <w:r>
        <w:rPr>
          <w:b/>
          <w:sz w:val="24"/>
          <w:u w:val="single"/>
        </w:rPr>
        <w:t>Sections 12C and 12(4a) of the Act:</w:t>
      </w:r>
    </w:p>
    <w:p w:rsidR="00CC5770" w:rsidRDefault="00772C18">
      <w:pPr>
        <w:pStyle w:val="BodyText"/>
        <w:spacing w:before="241"/>
      </w:pPr>
      <w:r>
        <w:t>The</w:t>
      </w:r>
      <w:r>
        <w:rPr>
          <w:spacing w:val="-5"/>
        </w:rPr>
        <w:t xml:space="preserve"> </w:t>
      </w:r>
      <w:r>
        <w:t>Court’s</w:t>
      </w:r>
      <w:r>
        <w:rPr>
          <w:spacing w:val="-2"/>
        </w:rPr>
        <w:t xml:space="preserve"> </w:t>
      </w:r>
      <w:r>
        <w:t>conclusion apropos</w:t>
      </w:r>
      <w:r>
        <w:rPr>
          <w:spacing w:val="-2"/>
        </w:rPr>
        <w:t xml:space="preserve"> </w:t>
      </w:r>
      <w:r>
        <w:t>the first</w:t>
      </w:r>
      <w:r>
        <w:rPr>
          <w:spacing w:val="-1"/>
        </w:rPr>
        <w:t xml:space="preserve"> </w:t>
      </w:r>
      <w:r>
        <w:t>issue</w:t>
      </w:r>
      <w:r>
        <w:rPr>
          <w:spacing w:val="-1"/>
        </w:rPr>
        <w:t xml:space="preserve"> </w:t>
      </w:r>
      <w:r>
        <w:t>above, renders</w:t>
      </w:r>
      <w:r>
        <w:rPr>
          <w:spacing w:val="-2"/>
        </w:rPr>
        <w:t xml:space="preserve"> </w:t>
      </w:r>
      <w:r>
        <w:t>the</w:t>
      </w:r>
      <w:r>
        <w:rPr>
          <w:spacing w:val="-1"/>
        </w:rPr>
        <w:t xml:space="preserve"> </w:t>
      </w:r>
      <w:r>
        <w:t>second</w:t>
      </w:r>
      <w:r>
        <w:rPr>
          <w:spacing w:val="-1"/>
        </w:rPr>
        <w:t xml:space="preserve"> </w:t>
      </w:r>
      <w:r>
        <w:t>issue</w:t>
      </w:r>
      <w:r>
        <w:rPr>
          <w:spacing w:val="-1"/>
        </w:rPr>
        <w:t xml:space="preserve"> </w:t>
      </w:r>
      <w:r>
        <w:rPr>
          <w:spacing w:val="-2"/>
        </w:rPr>
        <w:t>redundant.</w:t>
      </w:r>
    </w:p>
    <w:p w:rsidR="00CC5770" w:rsidRDefault="00CC5770">
      <w:pPr>
        <w:pStyle w:val="BodyText"/>
        <w:spacing w:before="103"/>
      </w:pPr>
    </w:p>
    <w:p w:rsidR="00CC5770" w:rsidRDefault="00772C18">
      <w:pPr>
        <w:rPr>
          <w:b/>
          <w:sz w:val="24"/>
        </w:rPr>
      </w:pPr>
      <w:r>
        <w:rPr>
          <w:b/>
          <w:spacing w:val="-2"/>
          <w:sz w:val="24"/>
          <w:u w:val="single"/>
        </w:rPr>
        <w:t>Conclusion</w:t>
      </w:r>
    </w:p>
    <w:p w:rsidR="00CC5770" w:rsidRDefault="00CC5770">
      <w:pPr>
        <w:pStyle w:val="BodyText"/>
        <w:spacing w:before="101"/>
        <w:rPr>
          <w:b/>
        </w:rPr>
      </w:pPr>
    </w:p>
    <w:p w:rsidR="00CC5770" w:rsidRDefault="00772C18">
      <w:pPr>
        <w:pStyle w:val="BodyText"/>
        <w:spacing w:line="360" w:lineRule="auto"/>
        <w:ind w:right="359"/>
      </w:pPr>
      <w:r>
        <w:t xml:space="preserve">The main issue </w:t>
      </w:r>
      <w:r>
        <w:rPr>
          <w:u w:val="single"/>
        </w:rPr>
        <w:t>in</w:t>
      </w:r>
      <w:r>
        <w:t xml:space="preserve"> </w:t>
      </w:r>
      <w:r>
        <w:rPr>
          <w:u w:val="single"/>
        </w:rPr>
        <w:t>casu</w:t>
      </w:r>
      <w:r>
        <w:t xml:space="preserve"> resolves against ap</w:t>
      </w:r>
      <w:r>
        <w:t>pellant. Therefore, the appeal ought to be dismissed as devoid of merit.</w:t>
      </w:r>
    </w:p>
    <w:p w:rsidR="00CC5770" w:rsidRDefault="00CC5770">
      <w:pPr>
        <w:pStyle w:val="BodyText"/>
      </w:pPr>
    </w:p>
    <w:p w:rsidR="00CC5770" w:rsidRDefault="00CC5770">
      <w:pPr>
        <w:pStyle w:val="BodyText"/>
      </w:pPr>
    </w:p>
    <w:p w:rsidR="00CC5770" w:rsidRDefault="00CC5770">
      <w:pPr>
        <w:pStyle w:val="BodyText"/>
      </w:pPr>
    </w:p>
    <w:p w:rsidR="00CC5770" w:rsidRDefault="00CC5770">
      <w:pPr>
        <w:pStyle w:val="BodyText"/>
      </w:pPr>
    </w:p>
    <w:p w:rsidR="00CC5770" w:rsidRDefault="00CC5770">
      <w:pPr>
        <w:pStyle w:val="BodyText"/>
        <w:spacing w:before="103"/>
      </w:pPr>
    </w:p>
    <w:p w:rsidR="00CC5770" w:rsidRDefault="00772C18">
      <w:pPr>
        <w:spacing w:before="1"/>
        <w:rPr>
          <w:b/>
          <w:sz w:val="24"/>
        </w:rPr>
      </w:pPr>
      <w:r>
        <w:rPr>
          <w:b/>
          <w:sz w:val="24"/>
        </w:rPr>
        <w:t>Wherefore</w:t>
      </w:r>
      <w:r>
        <w:rPr>
          <w:b/>
          <w:spacing w:val="-3"/>
          <w:sz w:val="24"/>
        </w:rPr>
        <w:t xml:space="preserve"> </w:t>
      </w:r>
      <w:r>
        <w:rPr>
          <w:b/>
          <w:sz w:val="24"/>
        </w:rPr>
        <w:t>it</w:t>
      </w:r>
      <w:r>
        <w:rPr>
          <w:b/>
          <w:spacing w:val="-1"/>
          <w:sz w:val="24"/>
        </w:rPr>
        <w:t xml:space="preserve"> </w:t>
      </w:r>
      <w:r>
        <w:rPr>
          <w:b/>
          <w:sz w:val="24"/>
        </w:rPr>
        <w:t>is</w:t>
      </w:r>
      <w:r>
        <w:rPr>
          <w:b/>
          <w:spacing w:val="-3"/>
          <w:sz w:val="24"/>
        </w:rPr>
        <w:t xml:space="preserve"> </w:t>
      </w:r>
      <w:r>
        <w:rPr>
          <w:b/>
          <w:sz w:val="24"/>
        </w:rPr>
        <w:t>ordered</w:t>
      </w:r>
      <w:r>
        <w:rPr>
          <w:b/>
          <w:spacing w:val="-1"/>
          <w:sz w:val="24"/>
        </w:rPr>
        <w:t xml:space="preserve"> </w:t>
      </w:r>
      <w:r>
        <w:rPr>
          <w:b/>
          <w:spacing w:val="-2"/>
          <w:sz w:val="24"/>
        </w:rPr>
        <w:t>that,</w:t>
      </w: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772C18">
      <w:pPr>
        <w:pStyle w:val="ListParagraph"/>
        <w:numPr>
          <w:ilvl w:val="1"/>
          <w:numId w:val="2"/>
        </w:numPr>
        <w:tabs>
          <w:tab w:val="left" w:pos="719"/>
        </w:tabs>
        <w:ind w:left="719" w:hanging="359"/>
        <w:jc w:val="left"/>
        <w:rPr>
          <w:b/>
          <w:sz w:val="24"/>
        </w:rPr>
      </w:pPr>
      <w:r>
        <w:rPr>
          <w:b/>
          <w:sz w:val="24"/>
        </w:rPr>
        <w:t>The</w:t>
      </w:r>
      <w:r>
        <w:rPr>
          <w:b/>
          <w:spacing w:val="-3"/>
          <w:sz w:val="24"/>
        </w:rPr>
        <w:t xml:space="preserve"> </w:t>
      </w:r>
      <w:r>
        <w:rPr>
          <w:b/>
          <w:sz w:val="24"/>
        </w:rPr>
        <w:t>appeal</w:t>
      </w:r>
      <w:r>
        <w:rPr>
          <w:b/>
          <w:spacing w:val="-1"/>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2"/>
          <w:sz w:val="24"/>
        </w:rPr>
        <w:t xml:space="preserve"> </w:t>
      </w:r>
      <w:r>
        <w:rPr>
          <w:b/>
          <w:sz w:val="24"/>
        </w:rPr>
        <w:t>hereby</w:t>
      </w:r>
      <w:r>
        <w:rPr>
          <w:b/>
          <w:spacing w:val="-1"/>
          <w:sz w:val="24"/>
        </w:rPr>
        <w:t xml:space="preserve"> </w:t>
      </w:r>
      <w:r>
        <w:rPr>
          <w:b/>
          <w:sz w:val="24"/>
        </w:rPr>
        <w:t>dismissed;</w:t>
      </w:r>
      <w:r>
        <w:rPr>
          <w:b/>
          <w:spacing w:val="-2"/>
          <w:sz w:val="24"/>
        </w:rPr>
        <w:t xml:space="preserve"> </w:t>
      </w:r>
      <w:r>
        <w:rPr>
          <w:b/>
          <w:spacing w:val="-5"/>
          <w:sz w:val="24"/>
        </w:rPr>
        <w:t>and</w:t>
      </w: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rPr>
          <w:b/>
        </w:rPr>
      </w:pPr>
    </w:p>
    <w:p w:rsidR="00CC5770" w:rsidRDefault="00CC5770">
      <w:pPr>
        <w:pStyle w:val="BodyText"/>
        <w:spacing w:before="240"/>
        <w:rPr>
          <w:b/>
        </w:rPr>
      </w:pPr>
    </w:p>
    <w:p w:rsidR="00CC5770" w:rsidRDefault="00772C18">
      <w:pPr>
        <w:pStyle w:val="ListParagraph"/>
        <w:numPr>
          <w:ilvl w:val="1"/>
          <w:numId w:val="2"/>
        </w:numPr>
        <w:tabs>
          <w:tab w:val="left" w:pos="810"/>
        </w:tabs>
        <w:ind w:left="810" w:hanging="330"/>
        <w:jc w:val="left"/>
        <w:rPr>
          <w:b/>
          <w:sz w:val="24"/>
        </w:rPr>
      </w:pPr>
      <w:bookmarkStart w:id="0" w:name="_GoBack"/>
      <w:bookmarkEnd w:id="0"/>
      <w:r>
        <w:rPr>
          <w:b/>
          <w:sz w:val="24"/>
        </w:rPr>
        <w:t>Each</w:t>
      </w:r>
      <w:r>
        <w:rPr>
          <w:b/>
          <w:spacing w:val="-2"/>
          <w:sz w:val="24"/>
        </w:rPr>
        <w:t xml:space="preserve"> </w:t>
      </w:r>
      <w:r>
        <w:rPr>
          <w:b/>
          <w:sz w:val="24"/>
        </w:rPr>
        <w:t>party</w:t>
      </w:r>
      <w:r>
        <w:rPr>
          <w:b/>
          <w:spacing w:val="-2"/>
          <w:sz w:val="24"/>
        </w:rPr>
        <w:t xml:space="preserve"> </w:t>
      </w:r>
      <w:r>
        <w:rPr>
          <w:b/>
          <w:sz w:val="24"/>
        </w:rPr>
        <w:t>shall</w:t>
      </w:r>
      <w:r>
        <w:rPr>
          <w:b/>
          <w:spacing w:val="-2"/>
          <w:sz w:val="24"/>
        </w:rPr>
        <w:t xml:space="preserve"> </w:t>
      </w:r>
      <w:r>
        <w:rPr>
          <w:b/>
          <w:sz w:val="24"/>
        </w:rPr>
        <w:t>bear</w:t>
      </w:r>
      <w:r>
        <w:rPr>
          <w:b/>
          <w:spacing w:val="-3"/>
          <w:sz w:val="24"/>
        </w:rPr>
        <w:t xml:space="preserve"> </w:t>
      </w:r>
      <w:r>
        <w:rPr>
          <w:b/>
          <w:sz w:val="24"/>
        </w:rPr>
        <w:t>its</w:t>
      </w:r>
      <w:r>
        <w:rPr>
          <w:b/>
          <w:spacing w:val="-3"/>
          <w:sz w:val="24"/>
        </w:rPr>
        <w:t xml:space="preserve"> </w:t>
      </w:r>
      <w:r>
        <w:rPr>
          <w:b/>
          <w:sz w:val="24"/>
        </w:rPr>
        <w:t>own</w:t>
      </w:r>
      <w:r>
        <w:rPr>
          <w:b/>
          <w:spacing w:val="-2"/>
          <w:sz w:val="24"/>
        </w:rPr>
        <w:t xml:space="preserve"> costs.</w:t>
      </w:r>
    </w:p>
    <w:p w:rsidR="00CC5770" w:rsidRDefault="00CC5770">
      <w:pPr>
        <w:pStyle w:val="BodyText"/>
        <w:rPr>
          <w:b/>
        </w:rPr>
      </w:pPr>
    </w:p>
    <w:p w:rsidR="00CC5770" w:rsidRDefault="00CC5770">
      <w:pPr>
        <w:pStyle w:val="BodyText"/>
        <w:rPr>
          <w:b/>
        </w:rPr>
      </w:pPr>
    </w:p>
    <w:p w:rsidR="00CC5770" w:rsidRDefault="00CC5770">
      <w:pPr>
        <w:pStyle w:val="BodyText"/>
        <w:spacing w:before="138"/>
        <w:rPr>
          <w:b/>
        </w:rPr>
      </w:pPr>
    </w:p>
    <w:p w:rsidR="00CC5770" w:rsidRDefault="00772C18">
      <w:pPr>
        <w:ind w:left="4474" w:right="3851" w:hanging="154"/>
        <w:rPr>
          <w:b/>
          <w:sz w:val="24"/>
        </w:rPr>
      </w:pPr>
      <w:r>
        <w:rPr>
          <w:b/>
          <w:sz w:val="24"/>
        </w:rPr>
        <w:t>G.</w:t>
      </w:r>
      <w:r>
        <w:rPr>
          <w:b/>
          <w:spacing w:val="-15"/>
          <w:sz w:val="24"/>
        </w:rPr>
        <w:t xml:space="preserve"> </w:t>
      </w:r>
      <w:r>
        <w:rPr>
          <w:b/>
          <w:sz w:val="24"/>
        </w:rPr>
        <w:t xml:space="preserve">MUSARIRI </w:t>
      </w:r>
      <w:r>
        <w:rPr>
          <w:b/>
          <w:spacing w:val="-2"/>
          <w:sz w:val="24"/>
        </w:rPr>
        <w:t>J-U-D-G-E</w:t>
      </w:r>
    </w:p>
    <w:sectPr w:rsidR="00CC5770">
      <w:pgSz w:w="12240" w:h="15840"/>
      <w:pgMar w:top="1320" w:right="1080" w:bottom="920" w:left="1440" w:header="729" w:footer="7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18" w:rsidRDefault="00772C18">
      <w:r>
        <w:separator/>
      </w:r>
    </w:p>
  </w:endnote>
  <w:endnote w:type="continuationSeparator" w:id="0">
    <w:p w:rsidR="00772C18" w:rsidRDefault="0077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70" w:rsidRDefault="00772C18">
    <w:pPr>
      <w:pStyle w:val="BodyText"/>
      <w:spacing w:line="14" w:lineRule="auto"/>
      <w:rPr>
        <w:sz w:val="20"/>
      </w:rPr>
    </w:pPr>
    <w:r>
      <w:rPr>
        <w:noProof/>
        <w:sz w:val="20"/>
      </w:rPr>
      <mc:AlternateContent>
        <mc:Choice Requires="wps">
          <w:drawing>
            <wp:anchor distT="0" distB="0" distL="0" distR="0" simplePos="0" relativeHeight="487516160" behindDoc="1" locked="0" layoutInCell="1" allowOverlap="1">
              <wp:simplePos x="0" y="0"/>
              <wp:positionH relativeFrom="page">
                <wp:posOffset>4036186</wp:posOffset>
              </wp:positionH>
              <wp:positionV relativeFrom="page">
                <wp:posOffset>9449511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C5770" w:rsidRDefault="00772C1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A0404">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7.8pt;margin-top:744.05pt;width:12.6pt;height:13.0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" filled="f" stroked="f">
              <v:path arrowok="t"/>
              <v:textbox inset="0,0,0,0">
                <w:txbxContent>
                  <w:p w:rsidR="00CC5770" w:rsidRDefault="00772C1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A0404">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70" w:rsidRDefault="00772C18">
    <w:pPr>
      <w:pStyle w:val="BodyText"/>
      <w:spacing w:line="14" w:lineRule="auto"/>
      <w:rPr>
        <w:sz w:val="20"/>
      </w:rPr>
    </w:pPr>
    <w:r>
      <w:rPr>
        <w:noProof/>
        <w:sz w:val="20"/>
      </w:rPr>
      <mc:AlternateContent>
        <mc:Choice Requires="wps">
          <w:drawing>
            <wp:anchor distT="0" distB="0" distL="0" distR="0" simplePos="0" relativeHeight="487517184" behindDoc="1" locked="0" layoutInCell="1" allowOverlap="1">
              <wp:simplePos x="0" y="0"/>
              <wp:positionH relativeFrom="page">
                <wp:posOffset>4036186</wp:posOffset>
              </wp:positionH>
              <wp:positionV relativeFrom="page">
                <wp:posOffset>9449511</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C5770" w:rsidRDefault="00772C1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A0404">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17.8pt;margin-top:744.05pt;width:12.6pt;height:13.05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" filled="f" stroked="f">
              <v:path arrowok="t"/>
              <v:textbox inset="0,0,0,0">
                <w:txbxContent>
                  <w:p w:rsidR="00CC5770" w:rsidRDefault="00772C1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A0404">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18" w:rsidRDefault="00772C18">
      <w:r>
        <w:separator/>
      </w:r>
    </w:p>
  </w:footnote>
  <w:footnote w:type="continuationSeparator" w:id="0">
    <w:p w:rsidR="00772C18" w:rsidRDefault="00772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70" w:rsidRDefault="00772C18">
    <w:pPr>
      <w:pStyle w:val="BodyText"/>
      <w:spacing w:line="14" w:lineRule="auto"/>
      <w:rPr>
        <w:sz w:val="20"/>
      </w:rPr>
    </w:pPr>
    <w:r>
      <w:rPr>
        <w:noProof/>
        <w:sz w:val="20"/>
      </w:rPr>
      <mc:AlternateContent>
        <mc:Choice Requires="wps">
          <w:drawing>
            <wp:anchor distT="0" distB="0" distL="0" distR="0" simplePos="0" relativeHeight="487516672" behindDoc="1" locked="0" layoutInCell="1" allowOverlap="1">
              <wp:simplePos x="0" y="0"/>
              <wp:positionH relativeFrom="page">
                <wp:posOffset>5207889</wp:posOffset>
              </wp:positionH>
              <wp:positionV relativeFrom="page">
                <wp:posOffset>450426</wp:posOffset>
              </wp:positionV>
              <wp:extent cx="2082800"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800" cy="369570"/>
                      </a:xfrm>
                      <a:prstGeom prst="rect">
                        <a:avLst/>
                      </a:prstGeom>
                    </wps:spPr>
                    <wps:txbx>
                      <w:txbxContent>
                        <w:p w:rsidR="00CC5770" w:rsidRDefault="00772C18">
                          <w:pPr>
                            <w:spacing w:before="10"/>
                            <w:ind w:left="20" w:right="18" w:firstLine="4"/>
                            <w:rPr>
                              <w:b/>
                              <w:sz w:val="24"/>
                            </w:rPr>
                          </w:pPr>
                          <w:r>
                            <w:rPr>
                              <w:b/>
                              <w:sz w:val="24"/>
                            </w:rPr>
                            <w:t>JUDGMENT</w:t>
                          </w:r>
                          <w:r>
                            <w:rPr>
                              <w:b/>
                              <w:spacing w:val="-15"/>
                              <w:sz w:val="24"/>
                            </w:rPr>
                            <w:t xml:space="preserve"> </w:t>
                          </w:r>
                          <w:r>
                            <w:rPr>
                              <w:b/>
                              <w:sz w:val="24"/>
                            </w:rPr>
                            <w:t>NO.</w:t>
                          </w:r>
                          <w:r>
                            <w:rPr>
                              <w:b/>
                              <w:spacing w:val="-15"/>
                              <w:sz w:val="24"/>
                            </w:rPr>
                            <w:t xml:space="preserve"> </w:t>
                          </w:r>
                          <w:r>
                            <w:rPr>
                              <w:b/>
                              <w:sz w:val="24"/>
                            </w:rPr>
                            <w:t>LC/H/264/25 CASE NO. LC/H/462/25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10.05pt;margin-top:35.45pt;width:164pt;height:29.1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" filled="f" stroked="f">
              <v:path arrowok="t"/>
              <v:textbox inset="0,0,0,0">
                <w:txbxContent>
                  <w:p w:rsidR="00CC5770" w:rsidRDefault="00772C18">
                    <w:pPr>
                      <w:spacing w:before="10"/>
                      <w:ind w:left="20" w:right="18" w:firstLine="4"/>
                      <w:rPr>
                        <w:b/>
                        <w:sz w:val="24"/>
                      </w:rPr>
                    </w:pPr>
                    <w:r>
                      <w:rPr>
                        <w:b/>
                        <w:sz w:val="24"/>
                      </w:rPr>
                      <w:t>JUDGMENT</w:t>
                    </w:r>
                    <w:r>
                      <w:rPr>
                        <w:b/>
                        <w:spacing w:val="-15"/>
                        <w:sz w:val="24"/>
                      </w:rPr>
                      <w:t xml:space="preserve"> </w:t>
                    </w:r>
                    <w:r>
                      <w:rPr>
                        <w:b/>
                        <w:sz w:val="24"/>
                      </w:rPr>
                      <w:t>NO.</w:t>
                    </w:r>
                    <w:r>
                      <w:rPr>
                        <w:b/>
                        <w:spacing w:val="-15"/>
                        <w:sz w:val="24"/>
                      </w:rPr>
                      <w:t xml:space="preserve"> </w:t>
                    </w:r>
                    <w:r>
                      <w:rPr>
                        <w:b/>
                        <w:sz w:val="24"/>
                      </w:rPr>
                      <w:t>LC/H/264/25 CASE NO. LC/H/462/25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6FE9"/>
    <w:multiLevelType w:val="hybridMultilevel"/>
    <w:tmpl w:val="209A2ACE"/>
    <w:lvl w:ilvl="0" w:tplc="69380684">
      <w:start w:val="1"/>
      <w:numFmt w:val="upperLetter"/>
      <w:lvlText w:val="%1."/>
      <w:lvlJc w:val="left"/>
      <w:pPr>
        <w:ind w:left="293" w:hanging="293"/>
        <w:jc w:val="left"/>
      </w:pPr>
      <w:rPr>
        <w:rFonts w:ascii="Times New Roman" w:eastAsia="Times New Roman" w:hAnsi="Times New Roman" w:cs="Times New Roman" w:hint="default"/>
        <w:b/>
        <w:bCs/>
        <w:i w:val="0"/>
        <w:iCs w:val="0"/>
        <w:spacing w:val="0"/>
        <w:w w:val="90"/>
        <w:sz w:val="24"/>
        <w:szCs w:val="24"/>
        <w:u w:val="single" w:color="000000"/>
        <w:lang w:val="en-US" w:eastAsia="en-US" w:bidi="ar-SA"/>
      </w:rPr>
    </w:lvl>
    <w:lvl w:ilvl="1" w:tplc="43D6E79A">
      <w:start w:val="1"/>
      <w:numFmt w:val="decimal"/>
      <w:lvlText w:val="%2."/>
      <w:lvlJc w:val="left"/>
      <w:pPr>
        <w:ind w:left="7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7BBA0B20">
      <w:numFmt w:val="bullet"/>
      <w:lvlText w:val="•"/>
      <w:lvlJc w:val="left"/>
      <w:pPr>
        <w:ind w:left="1720" w:hanging="360"/>
      </w:pPr>
      <w:rPr>
        <w:rFonts w:hint="default"/>
        <w:lang w:val="en-US" w:eastAsia="en-US" w:bidi="ar-SA"/>
      </w:rPr>
    </w:lvl>
    <w:lvl w:ilvl="3" w:tplc="0FF6D2BE">
      <w:numFmt w:val="bullet"/>
      <w:lvlText w:val="•"/>
      <w:lvlJc w:val="left"/>
      <w:pPr>
        <w:ind w:left="2720" w:hanging="360"/>
      </w:pPr>
      <w:rPr>
        <w:rFonts w:hint="default"/>
        <w:lang w:val="en-US" w:eastAsia="en-US" w:bidi="ar-SA"/>
      </w:rPr>
    </w:lvl>
    <w:lvl w:ilvl="4" w:tplc="726CF512">
      <w:numFmt w:val="bullet"/>
      <w:lvlText w:val="•"/>
      <w:lvlJc w:val="left"/>
      <w:pPr>
        <w:ind w:left="3720" w:hanging="360"/>
      </w:pPr>
      <w:rPr>
        <w:rFonts w:hint="default"/>
        <w:lang w:val="en-US" w:eastAsia="en-US" w:bidi="ar-SA"/>
      </w:rPr>
    </w:lvl>
    <w:lvl w:ilvl="5" w:tplc="3CEECDB0">
      <w:numFmt w:val="bullet"/>
      <w:lvlText w:val="•"/>
      <w:lvlJc w:val="left"/>
      <w:pPr>
        <w:ind w:left="4720" w:hanging="360"/>
      </w:pPr>
      <w:rPr>
        <w:rFonts w:hint="default"/>
        <w:lang w:val="en-US" w:eastAsia="en-US" w:bidi="ar-SA"/>
      </w:rPr>
    </w:lvl>
    <w:lvl w:ilvl="6" w:tplc="54967420">
      <w:numFmt w:val="bullet"/>
      <w:lvlText w:val="•"/>
      <w:lvlJc w:val="left"/>
      <w:pPr>
        <w:ind w:left="5720" w:hanging="360"/>
      </w:pPr>
      <w:rPr>
        <w:rFonts w:hint="default"/>
        <w:lang w:val="en-US" w:eastAsia="en-US" w:bidi="ar-SA"/>
      </w:rPr>
    </w:lvl>
    <w:lvl w:ilvl="7" w:tplc="7250DE10">
      <w:numFmt w:val="bullet"/>
      <w:lvlText w:val="•"/>
      <w:lvlJc w:val="left"/>
      <w:pPr>
        <w:ind w:left="6720" w:hanging="360"/>
      </w:pPr>
      <w:rPr>
        <w:rFonts w:hint="default"/>
        <w:lang w:val="en-US" w:eastAsia="en-US" w:bidi="ar-SA"/>
      </w:rPr>
    </w:lvl>
    <w:lvl w:ilvl="8" w:tplc="BC548CE8">
      <w:numFmt w:val="bullet"/>
      <w:lvlText w:val="•"/>
      <w:lvlJc w:val="left"/>
      <w:pPr>
        <w:ind w:left="7720" w:hanging="360"/>
      </w:pPr>
      <w:rPr>
        <w:rFonts w:hint="default"/>
        <w:lang w:val="en-US" w:eastAsia="en-US" w:bidi="ar-SA"/>
      </w:rPr>
    </w:lvl>
  </w:abstractNum>
  <w:abstractNum w:abstractNumId="1" w15:restartNumberingAfterBreak="0">
    <w:nsid w:val="673E07B7"/>
    <w:multiLevelType w:val="hybridMultilevel"/>
    <w:tmpl w:val="2F703694"/>
    <w:lvl w:ilvl="0" w:tplc="2B2CB7A0">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091CD5E4">
      <w:numFmt w:val="bullet"/>
      <w:lvlText w:val="•"/>
      <w:lvlJc w:val="left"/>
      <w:pPr>
        <w:ind w:left="1944" w:hanging="360"/>
      </w:pPr>
      <w:rPr>
        <w:rFonts w:hint="default"/>
        <w:lang w:val="en-US" w:eastAsia="en-US" w:bidi="ar-SA"/>
      </w:rPr>
    </w:lvl>
    <w:lvl w:ilvl="2" w:tplc="4B206CFC">
      <w:numFmt w:val="bullet"/>
      <w:lvlText w:val="•"/>
      <w:lvlJc w:val="left"/>
      <w:pPr>
        <w:ind w:left="2808" w:hanging="360"/>
      </w:pPr>
      <w:rPr>
        <w:rFonts w:hint="default"/>
        <w:lang w:val="en-US" w:eastAsia="en-US" w:bidi="ar-SA"/>
      </w:rPr>
    </w:lvl>
    <w:lvl w:ilvl="3" w:tplc="5F00FF9A">
      <w:numFmt w:val="bullet"/>
      <w:lvlText w:val="•"/>
      <w:lvlJc w:val="left"/>
      <w:pPr>
        <w:ind w:left="3672" w:hanging="360"/>
      </w:pPr>
      <w:rPr>
        <w:rFonts w:hint="default"/>
        <w:lang w:val="en-US" w:eastAsia="en-US" w:bidi="ar-SA"/>
      </w:rPr>
    </w:lvl>
    <w:lvl w:ilvl="4" w:tplc="834EAB8A">
      <w:numFmt w:val="bullet"/>
      <w:lvlText w:val="•"/>
      <w:lvlJc w:val="left"/>
      <w:pPr>
        <w:ind w:left="4536" w:hanging="360"/>
      </w:pPr>
      <w:rPr>
        <w:rFonts w:hint="default"/>
        <w:lang w:val="en-US" w:eastAsia="en-US" w:bidi="ar-SA"/>
      </w:rPr>
    </w:lvl>
    <w:lvl w:ilvl="5" w:tplc="46F6A720">
      <w:numFmt w:val="bullet"/>
      <w:lvlText w:val="•"/>
      <w:lvlJc w:val="left"/>
      <w:pPr>
        <w:ind w:left="5400" w:hanging="360"/>
      </w:pPr>
      <w:rPr>
        <w:rFonts w:hint="default"/>
        <w:lang w:val="en-US" w:eastAsia="en-US" w:bidi="ar-SA"/>
      </w:rPr>
    </w:lvl>
    <w:lvl w:ilvl="6" w:tplc="0BA63666">
      <w:numFmt w:val="bullet"/>
      <w:lvlText w:val="•"/>
      <w:lvlJc w:val="left"/>
      <w:pPr>
        <w:ind w:left="6264" w:hanging="360"/>
      </w:pPr>
      <w:rPr>
        <w:rFonts w:hint="default"/>
        <w:lang w:val="en-US" w:eastAsia="en-US" w:bidi="ar-SA"/>
      </w:rPr>
    </w:lvl>
    <w:lvl w:ilvl="7" w:tplc="626426BC">
      <w:numFmt w:val="bullet"/>
      <w:lvlText w:val="•"/>
      <w:lvlJc w:val="left"/>
      <w:pPr>
        <w:ind w:left="7128" w:hanging="360"/>
      </w:pPr>
      <w:rPr>
        <w:rFonts w:hint="default"/>
        <w:lang w:val="en-US" w:eastAsia="en-US" w:bidi="ar-SA"/>
      </w:rPr>
    </w:lvl>
    <w:lvl w:ilvl="8" w:tplc="51D6F492">
      <w:numFmt w:val="bullet"/>
      <w:lvlText w:val="•"/>
      <w:lvlJc w:val="left"/>
      <w:pPr>
        <w:ind w:left="799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C5770"/>
    <w:rsid w:val="00772C18"/>
    <w:rsid w:val="009A0404"/>
    <w:rsid w:val="00CC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09E7D-2805-4FC4-B872-DF15647C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dcterms:created xsi:type="dcterms:W3CDTF">2025-08-01T09:11:00Z</dcterms:created>
  <dcterms:modified xsi:type="dcterms:W3CDTF">2025-08-01T09:31:00Z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2019</vt:lpwstr>
  </property>
  <property fmtid="{D5CDD505-2E9C-101B-9397-08002B2CF9AE}" pid="4" name="LastSaved">
    <vt:filetime>2025-08-01T00:00:00Z</vt:filetime>
  </property>
  <property fmtid="{D5CDD505-2E9C-101B-9397-08002B2CF9AE}" pid="5" name="Producer">
    <vt:lpwstr>䵩捲潳潦璮⁗潲搠㈰ㄹ㬠浯摩晩敤⁵獩湧⁩呥硴′⸱⸷⁢礠ㅔ㍘</vt:lpwstr>
  </property>
</Properties>
</file>