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49" w:rsidRDefault="00FF04AA" w:rsidP="00C13F49">
      <w:pPr>
        <w:spacing w:after="0"/>
      </w:pPr>
      <w:bookmarkStart w:id="0" w:name="_GoBack"/>
      <w:bookmarkEnd w:id="0"/>
      <w:r w:rsidRPr="00FC11CD">
        <w:t>CHARLES MIKE</w:t>
      </w:r>
      <w:r w:rsidR="0092428D" w:rsidRPr="00FC11CD">
        <w:br/>
      </w:r>
      <w:r w:rsidR="00397381">
        <w:t>versus</w:t>
      </w:r>
    </w:p>
    <w:p w:rsidR="00397381" w:rsidRDefault="00FF04AA" w:rsidP="00C13F49">
      <w:pPr>
        <w:spacing w:after="0"/>
      </w:pPr>
      <w:r w:rsidRPr="00FC11CD">
        <w:t>MAGGIO CENTRE (PVT) LTD</w:t>
      </w:r>
      <w:r w:rsidR="0092428D" w:rsidRPr="00FC11CD">
        <w:br/>
      </w:r>
    </w:p>
    <w:p w:rsidR="00397381" w:rsidRDefault="00397381" w:rsidP="00397381">
      <w:pPr>
        <w:spacing w:after="0" w:line="240" w:lineRule="auto"/>
      </w:pPr>
    </w:p>
    <w:p w:rsidR="00CF41C6" w:rsidRPr="00FC11CD" w:rsidRDefault="00CF41C6" w:rsidP="00397381">
      <w:pPr>
        <w:spacing w:after="0" w:line="240" w:lineRule="auto"/>
      </w:pPr>
      <w:r w:rsidRPr="00FC11CD">
        <w:t xml:space="preserve">HIGH COURT </w:t>
      </w:r>
      <w:r w:rsidR="00255F4F" w:rsidRPr="00FC11CD">
        <w:t>OF ZIMBABWE</w:t>
      </w:r>
      <w:r w:rsidRPr="00FC11CD">
        <w:br/>
        <w:t xml:space="preserve">TSANGA </w:t>
      </w:r>
      <w:r w:rsidR="008E3ED5" w:rsidRPr="00FC11CD">
        <w:t>J</w:t>
      </w:r>
      <w:r w:rsidRPr="00FC11CD">
        <w:t xml:space="preserve"> &amp; MAXWELL J</w:t>
      </w:r>
      <w:r w:rsidRPr="00FC11CD">
        <w:br/>
      </w:r>
      <w:r w:rsidR="00C13F49">
        <w:t xml:space="preserve">HARARE, </w:t>
      </w:r>
      <w:r w:rsidR="003716A6">
        <w:t>27</w:t>
      </w:r>
      <w:r w:rsidR="003716A6" w:rsidRPr="00FC11CD">
        <w:t xml:space="preserve"> JANUARY</w:t>
      </w:r>
      <w:r w:rsidR="00C13F49">
        <w:t>,</w:t>
      </w:r>
      <w:r w:rsidR="003716A6" w:rsidRPr="00FC11CD">
        <w:t xml:space="preserve"> 2022</w:t>
      </w:r>
    </w:p>
    <w:p w:rsidR="003E3F32" w:rsidRPr="00FC11CD" w:rsidRDefault="003E3F32">
      <w:pPr>
        <w:rPr>
          <w:b/>
          <w:u w:val="single"/>
        </w:rPr>
      </w:pPr>
    </w:p>
    <w:p w:rsidR="00A24F0B" w:rsidRPr="00C13F49" w:rsidRDefault="00A24F0B">
      <w:pPr>
        <w:rPr>
          <w:b/>
        </w:rPr>
      </w:pPr>
      <w:r w:rsidRPr="00C13F49">
        <w:rPr>
          <w:b/>
        </w:rPr>
        <w:t>Civil Appeal</w:t>
      </w:r>
    </w:p>
    <w:p w:rsidR="003E3F32" w:rsidRDefault="003E3F32">
      <w:pPr>
        <w:rPr>
          <w:i/>
        </w:rPr>
      </w:pPr>
    </w:p>
    <w:p w:rsidR="00A24F0B" w:rsidRPr="00FC11CD" w:rsidRDefault="004E3E9A">
      <w:pPr>
        <w:rPr>
          <w:i/>
        </w:rPr>
      </w:pPr>
      <w:r w:rsidRPr="00FC11CD">
        <w:rPr>
          <w:i/>
        </w:rPr>
        <w:t xml:space="preserve">T Nyakunika </w:t>
      </w:r>
      <w:r w:rsidRPr="00EE5E85">
        <w:t>with</w:t>
      </w:r>
      <w:r w:rsidRPr="00FC11CD">
        <w:rPr>
          <w:i/>
        </w:rPr>
        <w:t xml:space="preserve"> S Chikotora</w:t>
      </w:r>
      <w:r w:rsidR="00587F7A">
        <w:rPr>
          <w:i/>
        </w:rPr>
        <w:t>,</w:t>
      </w:r>
      <w:r w:rsidRPr="00FC11CD">
        <w:rPr>
          <w:i/>
        </w:rPr>
        <w:t xml:space="preserve"> </w:t>
      </w:r>
      <w:r w:rsidRPr="008B7D56">
        <w:t>for</w:t>
      </w:r>
      <w:r w:rsidR="00587F7A">
        <w:t xml:space="preserve"> the</w:t>
      </w:r>
      <w:r w:rsidRPr="008B7D56">
        <w:t xml:space="preserve"> appellant</w:t>
      </w:r>
      <w:r w:rsidRPr="00FC11CD">
        <w:rPr>
          <w:i/>
        </w:rPr>
        <w:br/>
        <w:t>F Ndou</w:t>
      </w:r>
      <w:r w:rsidR="00587F7A">
        <w:rPr>
          <w:i/>
        </w:rPr>
        <w:t>,</w:t>
      </w:r>
      <w:r w:rsidRPr="00FC11CD">
        <w:rPr>
          <w:i/>
        </w:rPr>
        <w:t xml:space="preserve"> </w:t>
      </w:r>
      <w:r w:rsidRPr="008B7D56">
        <w:t>for</w:t>
      </w:r>
      <w:r w:rsidR="00587F7A">
        <w:t xml:space="preserve"> the</w:t>
      </w:r>
      <w:r w:rsidRPr="008B7D56">
        <w:t xml:space="preserve"> respondent</w:t>
      </w:r>
      <w:r w:rsidRPr="00FC11CD">
        <w:rPr>
          <w:i/>
        </w:rPr>
        <w:t xml:space="preserve"> </w:t>
      </w:r>
    </w:p>
    <w:p w:rsidR="004E3E9A" w:rsidRPr="00FC11CD" w:rsidRDefault="004E3E9A" w:rsidP="00A24F0B">
      <w:pPr>
        <w:spacing w:line="360" w:lineRule="auto"/>
        <w:jc w:val="both"/>
      </w:pPr>
    </w:p>
    <w:p w:rsidR="003E3F32" w:rsidRDefault="008E3ED5" w:rsidP="00F35B2C">
      <w:pPr>
        <w:spacing w:after="0" w:line="360" w:lineRule="auto"/>
        <w:ind w:firstLine="720"/>
        <w:jc w:val="both"/>
      </w:pPr>
      <w:r w:rsidRPr="00FC11CD">
        <w:t>TSANGA J:</w:t>
      </w:r>
      <w:r w:rsidR="003E3F32">
        <w:t xml:space="preserve"> On 18 November 2021, the appellant’s appeal against eviction from p</w:t>
      </w:r>
      <w:r w:rsidR="003E3F32" w:rsidRPr="00FC11CD">
        <w:t xml:space="preserve">roperty known as Stand No. 11740A Harare </w:t>
      </w:r>
      <w:r w:rsidR="00CA2063">
        <w:t xml:space="preserve">Road, </w:t>
      </w:r>
      <w:r w:rsidR="003E3F32" w:rsidRPr="00FC11CD">
        <w:t>Mbare</w:t>
      </w:r>
      <w:r w:rsidR="003E3F32">
        <w:t xml:space="preserve"> was dismissed. The judgment was given </w:t>
      </w:r>
      <w:r w:rsidR="003E3F32" w:rsidRPr="003E3F32">
        <w:rPr>
          <w:i/>
        </w:rPr>
        <w:t>ex tempo</w:t>
      </w:r>
      <w:r w:rsidR="003E3F32">
        <w:t>. The appellant has appealed</w:t>
      </w:r>
      <w:r w:rsidR="003716A6">
        <w:t xml:space="preserve"> </w:t>
      </w:r>
      <w:r w:rsidR="003E3F32">
        <w:t>to the</w:t>
      </w:r>
      <w:r w:rsidR="003716A6">
        <w:t xml:space="preserve"> </w:t>
      </w:r>
      <w:r w:rsidR="003E3F32">
        <w:t>Supreme</w:t>
      </w:r>
      <w:r w:rsidR="003716A6">
        <w:t xml:space="preserve"> </w:t>
      </w:r>
      <w:r w:rsidR="003E3F32">
        <w:t>Court</w:t>
      </w:r>
      <w:r w:rsidR="003716A6">
        <w:t xml:space="preserve"> </w:t>
      </w:r>
      <w:r w:rsidR="003E3F32">
        <w:t>against the</w:t>
      </w:r>
      <w:r w:rsidR="003716A6">
        <w:t xml:space="preserve"> </w:t>
      </w:r>
      <w:r w:rsidR="003E3F32">
        <w:t>dismissal of</w:t>
      </w:r>
      <w:r w:rsidR="003716A6">
        <w:t xml:space="preserve"> </w:t>
      </w:r>
      <w:r w:rsidR="003E3F32">
        <w:t>his appeal</w:t>
      </w:r>
      <w:r w:rsidR="003716A6">
        <w:t xml:space="preserve"> </w:t>
      </w:r>
      <w:r w:rsidR="003E3F32">
        <w:t xml:space="preserve">and has requested the full reasons </w:t>
      </w:r>
      <w:r w:rsidR="00CA2063">
        <w:t>for</w:t>
      </w:r>
      <w:r w:rsidR="003716A6">
        <w:t xml:space="preserve"> </w:t>
      </w:r>
      <w:r w:rsidR="00CA2063">
        <w:t xml:space="preserve">dismissal </w:t>
      </w:r>
      <w:r w:rsidR="003E3F32">
        <w:t>in writing. These are they.</w:t>
      </w:r>
    </w:p>
    <w:p w:rsidR="003E3F32" w:rsidRPr="003E3F32" w:rsidRDefault="003E3F32" w:rsidP="00F35B2C">
      <w:pPr>
        <w:spacing w:after="0" w:line="360" w:lineRule="auto"/>
        <w:jc w:val="both"/>
        <w:rPr>
          <w:b/>
          <w:u w:val="single"/>
        </w:rPr>
      </w:pPr>
      <w:r w:rsidRPr="003E3F32">
        <w:rPr>
          <w:b/>
          <w:u w:val="single"/>
        </w:rPr>
        <w:t>The background facts</w:t>
      </w:r>
    </w:p>
    <w:p w:rsidR="007539D0" w:rsidRPr="00FC11CD" w:rsidRDefault="00606F83" w:rsidP="00F35B2C">
      <w:pPr>
        <w:spacing w:after="0" w:line="360" w:lineRule="auto"/>
        <w:ind w:firstLine="720"/>
        <w:jc w:val="both"/>
      </w:pPr>
      <w:r w:rsidRPr="00FC11CD">
        <w:t>T</w:t>
      </w:r>
      <w:r w:rsidR="008E3ED5" w:rsidRPr="00FC11CD">
        <w:t>he</w:t>
      </w:r>
      <w:r w:rsidR="00A24F0B" w:rsidRPr="00FC11CD">
        <w:t xml:space="preserve"> </w:t>
      </w:r>
      <w:r w:rsidR="008E3ED5" w:rsidRPr="00FC11CD">
        <w:t>respondent</w:t>
      </w:r>
      <w:r w:rsidR="00A24F0B" w:rsidRPr="00FC11CD">
        <w:t xml:space="preserve"> </w:t>
      </w:r>
      <w:r w:rsidR="008E3ED5" w:rsidRPr="00FC11CD">
        <w:t xml:space="preserve">herein </w:t>
      </w:r>
      <w:r w:rsidR="00FF04AA" w:rsidRPr="00FC11CD">
        <w:t>issued</w:t>
      </w:r>
      <w:r w:rsidR="00CC2680" w:rsidRPr="00FC11CD">
        <w:t xml:space="preserve"> </w:t>
      </w:r>
      <w:r w:rsidR="00FF04AA" w:rsidRPr="00FC11CD">
        <w:t>summons</w:t>
      </w:r>
      <w:r w:rsidRPr="00FC11CD">
        <w:t xml:space="preserve"> </w:t>
      </w:r>
      <w:r w:rsidR="007539D0" w:rsidRPr="00FC11CD">
        <w:t>(</w:t>
      </w:r>
      <w:r w:rsidRPr="00FC11CD">
        <w:t>as</w:t>
      </w:r>
      <w:r w:rsidR="00A24F0B" w:rsidRPr="00FC11CD">
        <w:t xml:space="preserve"> </w:t>
      </w:r>
      <w:r w:rsidRPr="00FC11CD">
        <w:t>plaintiff</w:t>
      </w:r>
      <w:r w:rsidR="007539D0" w:rsidRPr="00FC11CD">
        <w:t>)</w:t>
      </w:r>
      <w:r w:rsidRPr="00FC11CD">
        <w:t xml:space="preserve"> </w:t>
      </w:r>
      <w:r w:rsidR="00FF04AA" w:rsidRPr="00FC11CD">
        <w:t>for the</w:t>
      </w:r>
      <w:r w:rsidR="00CC2680" w:rsidRPr="00FC11CD">
        <w:t xml:space="preserve"> </w:t>
      </w:r>
      <w:r w:rsidR="00FF04AA" w:rsidRPr="00FC11CD">
        <w:t>eviction of the appellant</w:t>
      </w:r>
      <w:r w:rsidR="00CC2680" w:rsidRPr="00FC11CD">
        <w:t xml:space="preserve"> </w:t>
      </w:r>
      <w:r w:rsidR="007539D0" w:rsidRPr="00FC11CD">
        <w:t xml:space="preserve"> </w:t>
      </w:r>
      <w:r w:rsidR="00587F7A">
        <w:t>(</w:t>
      </w:r>
      <w:r w:rsidR="007539D0" w:rsidRPr="00FC11CD">
        <w:t>the defendant in the</w:t>
      </w:r>
      <w:r w:rsidR="00066A53" w:rsidRPr="00FC11CD">
        <w:t xml:space="preserve"> </w:t>
      </w:r>
      <w:r w:rsidR="007539D0" w:rsidRPr="00FC11CD">
        <w:t xml:space="preserve">court below) </w:t>
      </w:r>
      <w:r w:rsidR="003E3F32" w:rsidRPr="00FC11CD">
        <w:t>from property known as Stand No. 11740A Harare Road</w:t>
      </w:r>
      <w:r w:rsidR="00CA2063">
        <w:t>,</w:t>
      </w:r>
      <w:r w:rsidR="003E3F32" w:rsidRPr="00FC11CD">
        <w:t xml:space="preserve"> Mbare </w:t>
      </w:r>
      <w:r w:rsidR="007539D0" w:rsidRPr="00FC11CD">
        <w:t>where he</w:t>
      </w:r>
      <w:r w:rsidRPr="00FC11CD">
        <w:t xml:space="preserve"> had been</w:t>
      </w:r>
      <w:r w:rsidR="00FF04AA" w:rsidRPr="00FC11CD">
        <w:t xml:space="preserve"> contrac</w:t>
      </w:r>
      <w:r w:rsidR="00CC2680" w:rsidRPr="00FC11CD">
        <w:t>te</w:t>
      </w:r>
      <w:r w:rsidR="00FF04AA" w:rsidRPr="00FC11CD">
        <w:t xml:space="preserve">d to </w:t>
      </w:r>
      <w:r w:rsidR="00CC2680" w:rsidRPr="00FC11CD">
        <w:t xml:space="preserve">provide </w:t>
      </w:r>
      <w:r w:rsidR="00FF04AA" w:rsidRPr="00FC11CD">
        <w:t>security</w:t>
      </w:r>
      <w:r w:rsidR="00CC2680" w:rsidRPr="00FC11CD">
        <w:t xml:space="preserve"> </w:t>
      </w:r>
      <w:r w:rsidR="00FF04AA" w:rsidRPr="00FC11CD">
        <w:t>services</w:t>
      </w:r>
      <w:r w:rsidR="00CC2680" w:rsidRPr="00FC11CD">
        <w:t xml:space="preserve"> over</w:t>
      </w:r>
      <w:r w:rsidR="00FF04AA" w:rsidRPr="00FC11CD">
        <w:t xml:space="preserve"> the property.</w:t>
      </w:r>
      <w:r w:rsidR="000F469B" w:rsidRPr="00FC11CD">
        <w:t xml:space="preserve"> Sometime in</w:t>
      </w:r>
      <w:r w:rsidR="004E3E9A" w:rsidRPr="00FC11CD">
        <w:t xml:space="preserve"> </w:t>
      </w:r>
      <w:r w:rsidR="000F469B" w:rsidRPr="00FC11CD">
        <w:t>November</w:t>
      </w:r>
      <w:r w:rsidR="004E3E9A" w:rsidRPr="00FC11CD">
        <w:t xml:space="preserve"> </w:t>
      </w:r>
      <w:r w:rsidR="000F469B" w:rsidRPr="00FC11CD">
        <w:t>2015, o</w:t>
      </w:r>
      <w:r w:rsidR="00FF04AA" w:rsidRPr="00FC11CD">
        <w:t>ne of the</w:t>
      </w:r>
      <w:r w:rsidR="00CC2680" w:rsidRPr="00FC11CD">
        <w:t xml:space="preserve"> </w:t>
      </w:r>
      <w:r w:rsidR="00FF04AA" w:rsidRPr="00FC11CD">
        <w:t>directors</w:t>
      </w:r>
      <w:r w:rsidR="000F469B" w:rsidRPr="00FC11CD">
        <w:t xml:space="preserve"> of the</w:t>
      </w:r>
      <w:r w:rsidR="004E3E9A" w:rsidRPr="00FC11CD">
        <w:t xml:space="preserve"> </w:t>
      </w:r>
      <w:r w:rsidR="000F469B" w:rsidRPr="00FC11CD">
        <w:t>respondent</w:t>
      </w:r>
      <w:r w:rsidR="00066A53" w:rsidRPr="00FC11CD">
        <w:t xml:space="preserve"> </w:t>
      </w:r>
      <w:r w:rsidR="007539D0" w:rsidRPr="00FC11CD">
        <w:t>was said to have written</w:t>
      </w:r>
      <w:r w:rsidR="000F469B" w:rsidRPr="00FC11CD">
        <w:t xml:space="preserve"> to appellant advising him that</w:t>
      </w:r>
      <w:r w:rsidR="004E3E9A" w:rsidRPr="00FC11CD">
        <w:t xml:space="preserve"> </w:t>
      </w:r>
      <w:r w:rsidR="000F469B" w:rsidRPr="00FC11CD">
        <w:t>his</w:t>
      </w:r>
      <w:r w:rsidR="00066A53" w:rsidRPr="00FC11CD">
        <w:t xml:space="preserve"> </w:t>
      </w:r>
      <w:r w:rsidR="007539D0" w:rsidRPr="00FC11CD">
        <w:t>security s</w:t>
      </w:r>
      <w:r w:rsidR="000F469B" w:rsidRPr="00FC11CD">
        <w:t>ervices were no longer</w:t>
      </w:r>
      <w:r w:rsidR="004E3E9A" w:rsidRPr="00FC11CD">
        <w:t xml:space="preserve"> </w:t>
      </w:r>
      <w:r w:rsidR="000F469B" w:rsidRPr="00FC11CD">
        <w:t>needed</w:t>
      </w:r>
      <w:r w:rsidR="004E3E9A" w:rsidRPr="00FC11CD">
        <w:t xml:space="preserve"> </w:t>
      </w:r>
      <w:r w:rsidR="000F469B" w:rsidRPr="00FC11CD">
        <w:t>and that he</w:t>
      </w:r>
      <w:r w:rsidR="004E3E9A" w:rsidRPr="00FC11CD">
        <w:t xml:space="preserve"> </w:t>
      </w:r>
      <w:r w:rsidR="000F469B" w:rsidRPr="00FC11CD">
        <w:t>would be paid in full at the</w:t>
      </w:r>
      <w:r w:rsidR="004E3E9A" w:rsidRPr="00FC11CD">
        <w:t xml:space="preserve"> </w:t>
      </w:r>
      <w:r w:rsidR="000F469B" w:rsidRPr="00FC11CD">
        <w:t>end</w:t>
      </w:r>
      <w:r w:rsidR="007539D0" w:rsidRPr="00FC11CD">
        <w:t xml:space="preserve"> of</w:t>
      </w:r>
      <w:r w:rsidR="00066A53" w:rsidRPr="00FC11CD">
        <w:t xml:space="preserve"> </w:t>
      </w:r>
      <w:r w:rsidR="00CA2063">
        <w:t>t</w:t>
      </w:r>
      <w:r w:rsidR="000F469B" w:rsidRPr="00FC11CD">
        <w:t>hat</w:t>
      </w:r>
      <w:r w:rsidR="004E3E9A" w:rsidRPr="00FC11CD">
        <w:t xml:space="preserve"> </w:t>
      </w:r>
      <w:r w:rsidR="000F469B" w:rsidRPr="00FC11CD">
        <w:t>month.</w:t>
      </w:r>
      <w:r w:rsidR="004E3E9A" w:rsidRPr="00FC11CD">
        <w:t xml:space="preserve"> </w:t>
      </w:r>
      <w:r w:rsidR="000F469B" w:rsidRPr="00FC11CD">
        <w:t>The appellant is said to have</w:t>
      </w:r>
      <w:r w:rsidR="004E3E9A" w:rsidRPr="00FC11CD">
        <w:t xml:space="preserve"> </w:t>
      </w:r>
      <w:r w:rsidR="000F469B" w:rsidRPr="00FC11CD">
        <w:t>refused</w:t>
      </w:r>
      <w:r w:rsidR="004E3E9A" w:rsidRPr="00FC11CD">
        <w:t xml:space="preserve"> </w:t>
      </w:r>
      <w:r w:rsidR="000F469B" w:rsidRPr="00FC11CD">
        <w:t>to move</w:t>
      </w:r>
      <w:r w:rsidR="004E3E9A" w:rsidRPr="00FC11CD">
        <w:t xml:space="preserve"> </w:t>
      </w:r>
      <w:r w:rsidR="000F469B" w:rsidRPr="00FC11CD">
        <w:t>out</w:t>
      </w:r>
      <w:r w:rsidR="004E3E9A" w:rsidRPr="00FC11CD">
        <w:t xml:space="preserve"> </w:t>
      </w:r>
      <w:r w:rsidR="000F469B" w:rsidRPr="00FC11CD">
        <w:t>and instead</w:t>
      </w:r>
      <w:r w:rsidR="003716A6">
        <w:t xml:space="preserve"> </w:t>
      </w:r>
      <w:r w:rsidR="00CA2063">
        <w:t xml:space="preserve">had </w:t>
      </w:r>
      <w:r w:rsidR="000F469B" w:rsidRPr="00FC11CD">
        <w:t>started</w:t>
      </w:r>
      <w:r w:rsidR="004E3E9A" w:rsidRPr="00FC11CD">
        <w:t xml:space="preserve"> </w:t>
      </w:r>
      <w:r w:rsidR="00CA2063">
        <w:t>using</w:t>
      </w:r>
      <w:r w:rsidR="000F469B" w:rsidRPr="00FC11CD">
        <w:t xml:space="preserve"> the property</w:t>
      </w:r>
      <w:r w:rsidR="004E3E9A" w:rsidRPr="00FC11CD">
        <w:t xml:space="preserve"> </w:t>
      </w:r>
      <w:r w:rsidR="000F469B" w:rsidRPr="00FC11CD">
        <w:t>f</w:t>
      </w:r>
      <w:r w:rsidR="007539D0" w:rsidRPr="00FC11CD">
        <w:t>o</w:t>
      </w:r>
      <w:r w:rsidR="000F469B" w:rsidRPr="00FC11CD">
        <w:t>r his own</w:t>
      </w:r>
      <w:r w:rsidR="004E3E9A" w:rsidRPr="00FC11CD">
        <w:t xml:space="preserve"> </w:t>
      </w:r>
      <w:r w:rsidR="000F469B" w:rsidRPr="00FC11CD">
        <w:t>benefit</w:t>
      </w:r>
      <w:r w:rsidR="004E3E9A" w:rsidRPr="00FC11CD">
        <w:t xml:space="preserve"> </w:t>
      </w:r>
      <w:r w:rsidR="000F469B" w:rsidRPr="00FC11CD">
        <w:t>with</w:t>
      </w:r>
      <w:r w:rsidR="007539D0" w:rsidRPr="00FC11CD">
        <w:t>o</w:t>
      </w:r>
      <w:r w:rsidR="000F469B" w:rsidRPr="00FC11CD">
        <w:t>ut the</w:t>
      </w:r>
      <w:r w:rsidR="004E3E9A" w:rsidRPr="00FC11CD">
        <w:t xml:space="preserve"> </w:t>
      </w:r>
      <w:r w:rsidR="000F469B" w:rsidRPr="00FC11CD">
        <w:t>mandate of the respondent</w:t>
      </w:r>
      <w:r w:rsidR="007539D0" w:rsidRPr="00FC11CD">
        <w:t xml:space="preserve">. </w:t>
      </w:r>
    </w:p>
    <w:p w:rsidR="00D9271A" w:rsidRPr="00FC11CD" w:rsidRDefault="007539D0" w:rsidP="00F35B2C">
      <w:pPr>
        <w:spacing w:after="0" w:line="360" w:lineRule="auto"/>
        <w:ind w:firstLine="720"/>
        <w:jc w:val="both"/>
      </w:pPr>
      <w:r w:rsidRPr="00FC11CD">
        <w:t>Having</w:t>
      </w:r>
      <w:r w:rsidR="00066A53" w:rsidRPr="00FC11CD">
        <w:t xml:space="preserve"> </w:t>
      </w:r>
      <w:r w:rsidRPr="00FC11CD">
        <w:t>reported the</w:t>
      </w:r>
      <w:r w:rsidR="00066A53" w:rsidRPr="00FC11CD">
        <w:t xml:space="preserve"> </w:t>
      </w:r>
      <w:r w:rsidRPr="00FC11CD">
        <w:t>matter to the</w:t>
      </w:r>
      <w:r w:rsidR="00066A53" w:rsidRPr="00FC11CD">
        <w:t xml:space="preserve"> </w:t>
      </w:r>
      <w:r w:rsidRPr="00FC11CD">
        <w:t>police to</w:t>
      </w:r>
      <w:r w:rsidR="00066A53" w:rsidRPr="00FC11CD">
        <w:t xml:space="preserve"> </w:t>
      </w:r>
      <w:r w:rsidRPr="00FC11CD">
        <w:t>no</w:t>
      </w:r>
      <w:r w:rsidR="00066A53" w:rsidRPr="00FC11CD">
        <w:t xml:space="preserve"> </w:t>
      </w:r>
      <w:r w:rsidRPr="00FC11CD">
        <w:t>avail</w:t>
      </w:r>
      <w:r w:rsidR="00D9271A" w:rsidRPr="00FC11CD">
        <w:t>,</w:t>
      </w:r>
      <w:r w:rsidR="00066A53" w:rsidRPr="00FC11CD">
        <w:t xml:space="preserve"> </w:t>
      </w:r>
      <w:r w:rsidRPr="00FC11CD">
        <w:t>the</w:t>
      </w:r>
      <w:r w:rsidR="00066A53" w:rsidRPr="00FC11CD">
        <w:t xml:space="preserve"> </w:t>
      </w:r>
      <w:r w:rsidRPr="00FC11CD">
        <w:t>respondent thereupon</w:t>
      </w:r>
      <w:r w:rsidR="00066A53" w:rsidRPr="00FC11CD">
        <w:t xml:space="preserve"> </w:t>
      </w:r>
      <w:r w:rsidRPr="00FC11CD">
        <w:t>issued</w:t>
      </w:r>
      <w:r w:rsidR="00066A53" w:rsidRPr="00FC11CD">
        <w:t xml:space="preserve"> </w:t>
      </w:r>
      <w:r w:rsidRPr="00FC11CD">
        <w:t>summons</w:t>
      </w:r>
      <w:r w:rsidR="00066A53" w:rsidRPr="00FC11CD">
        <w:t xml:space="preserve"> </w:t>
      </w:r>
      <w:r w:rsidRPr="00FC11CD">
        <w:t>for</w:t>
      </w:r>
      <w:r w:rsidR="00066A53" w:rsidRPr="00FC11CD">
        <w:t xml:space="preserve"> </w:t>
      </w:r>
      <w:r w:rsidR="006B6EC9" w:rsidRPr="00FC11CD">
        <w:t>the</w:t>
      </w:r>
      <w:r w:rsidR="00066A53" w:rsidRPr="00FC11CD">
        <w:t xml:space="preserve"> </w:t>
      </w:r>
      <w:r w:rsidRPr="00FC11CD">
        <w:t>eviction</w:t>
      </w:r>
      <w:r w:rsidR="006B6EC9" w:rsidRPr="00FC11CD">
        <w:t xml:space="preserve"> of</w:t>
      </w:r>
      <w:r w:rsidR="00066A53" w:rsidRPr="00FC11CD">
        <w:t xml:space="preserve"> </w:t>
      </w:r>
      <w:r w:rsidR="00D9271A" w:rsidRPr="00FC11CD">
        <w:t>t</w:t>
      </w:r>
      <w:r w:rsidR="006B6EC9" w:rsidRPr="00FC11CD">
        <w:t>he ap</w:t>
      </w:r>
      <w:r w:rsidR="00D9271A" w:rsidRPr="00FC11CD">
        <w:t>p</w:t>
      </w:r>
      <w:r w:rsidR="006B6EC9" w:rsidRPr="00FC11CD">
        <w:t>ellant</w:t>
      </w:r>
      <w:r w:rsidR="00CA2063">
        <w:t>,</w:t>
      </w:r>
      <w:r w:rsidR="00D9271A" w:rsidRPr="00FC11CD">
        <w:t xml:space="preserve"> who</w:t>
      </w:r>
      <w:r w:rsidR="00066A53" w:rsidRPr="00FC11CD">
        <w:t xml:space="preserve"> </w:t>
      </w:r>
      <w:r w:rsidR="00D9271A" w:rsidRPr="00FC11CD">
        <w:t>entered</w:t>
      </w:r>
      <w:r w:rsidR="00066A53" w:rsidRPr="00FC11CD">
        <w:t xml:space="preserve"> </w:t>
      </w:r>
      <w:r w:rsidR="00D9271A" w:rsidRPr="00FC11CD">
        <w:t xml:space="preserve">an </w:t>
      </w:r>
      <w:r w:rsidR="00606F83" w:rsidRPr="00FC11CD">
        <w:t>a</w:t>
      </w:r>
      <w:r w:rsidR="00CC2680" w:rsidRPr="00FC11CD">
        <w:t>ppearance</w:t>
      </w:r>
      <w:r w:rsidR="00FF04AA" w:rsidRPr="00FC11CD">
        <w:t xml:space="preserve"> to </w:t>
      </w:r>
      <w:r w:rsidR="00CC2680" w:rsidRPr="00FC11CD">
        <w:t>defend</w:t>
      </w:r>
      <w:r w:rsidR="00CA2063">
        <w:t>. T</w:t>
      </w:r>
      <w:r w:rsidR="000F469B" w:rsidRPr="00FC11CD">
        <w:t>he appellant</w:t>
      </w:r>
      <w:r w:rsidR="004E3E9A" w:rsidRPr="00FC11CD">
        <w:t xml:space="preserve"> </w:t>
      </w:r>
      <w:r w:rsidR="000F469B" w:rsidRPr="00FC11CD">
        <w:t>also</w:t>
      </w:r>
      <w:r w:rsidR="004E3E9A" w:rsidRPr="00FC11CD">
        <w:t xml:space="preserve"> </w:t>
      </w:r>
      <w:r w:rsidR="00CC2680" w:rsidRPr="00FC11CD">
        <w:t>requested further particulars</w:t>
      </w:r>
      <w:r w:rsidR="00622F21" w:rsidRPr="00FC11CD">
        <w:t xml:space="preserve"> in June</w:t>
      </w:r>
      <w:r w:rsidR="00CC2680" w:rsidRPr="00FC11CD">
        <w:t xml:space="preserve"> </w:t>
      </w:r>
      <w:r w:rsidR="00622F21" w:rsidRPr="00FC11CD">
        <w:t>2020</w:t>
      </w:r>
      <w:r w:rsidR="00CA2063">
        <w:t xml:space="preserve">, namely, the </w:t>
      </w:r>
      <w:r w:rsidR="00622F21" w:rsidRPr="00FC11CD">
        <w:t>certificate of incorporation and</w:t>
      </w:r>
      <w:r w:rsidR="00CC2680" w:rsidRPr="00FC11CD">
        <w:t xml:space="preserve"> </w:t>
      </w:r>
      <w:r w:rsidR="00622F21" w:rsidRPr="00FC11CD">
        <w:t>proof</w:t>
      </w:r>
      <w:r w:rsidR="00CC2680" w:rsidRPr="00FC11CD">
        <w:t xml:space="preserve"> </w:t>
      </w:r>
      <w:r w:rsidR="00622F21" w:rsidRPr="00FC11CD">
        <w:t>of</w:t>
      </w:r>
      <w:r w:rsidR="00CC2680" w:rsidRPr="00FC11CD">
        <w:t xml:space="preserve"> ownership</w:t>
      </w:r>
      <w:r w:rsidR="00D9271A" w:rsidRPr="00FC11CD">
        <w:t xml:space="preserve"> of the premises. </w:t>
      </w:r>
      <w:r w:rsidR="000F469B" w:rsidRPr="00FC11CD">
        <w:t>T</w:t>
      </w:r>
      <w:r w:rsidR="00622F21" w:rsidRPr="00FC11CD">
        <w:t>he</w:t>
      </w:r>
      <w:r w:rsidR="004E3E9A" w:rsidRPr="00FC11CD">
        <w:t xml:space="preserve"> </w:t>
      </w:r>
      <w:r w:rsidR="000F469B" w:rsidRPr="00FC11CD">
        <w:t>respondent</w:t>
      </w:r>
      <w:r w:rsidR="00CA2063">
        <w:t xml:space="preserve"> as plaintiff</w:t>
      </w:r>
      <w:r w:rsidR="003716A6">
        <w:t xml:space="preserve"> </w:t>
      </w:r>
      <w:r w:rsidR="00622F21" w:rsidRPr="00FC11CD">
        <w:t>applied</w:t>
      </w:r>
      <w:r w:rsidR="00CC2680" w:rsidRPr="00FC11CD">
        <w:t xml:space="preserve"> </w:t>
      </w:r>
      <w:r w:rsidR="00622F21" w:rsidRPr="00FC11CD">
        <w:t>for summary</w:t>
      </w:r>
      <w:r w:rsidR="00CC2680" w:rsidRPr="00FC11CD">
        <w:t xml:space="preserve"> </w:t>
      </w:r>
      <w:r w:rsidR="00622F21" w:rsidRPr="00FC11CD">
        <w:t>judgment</w:t>
      </w:r>
      <w:r w:rsidR="00CC2680" w:rsidRPr="00FC11CD">
        <w:t xml:space="preserve"> </w:t>
      </w:r>
      <w:r w:rsidR="00E758E2" w:rsidRPr="00FC11CD">
        <w:t>on basis that the</w:t>
      </w:r>
      <w:r w:rsidR="003716A6">
        <w:t xml:space="preserve"> </w:t>
      </w:r>
      <w:r w:rsidR="00CA2063">
        <w:t xml:space="preserve">appellant as </w:t>
      </w:r>
      <w:r w:rsidR="00E758E2" w:rsidRPr="00FC11CD">
        <w:t>defendant</w:t>
      </w:r>
      <w:r w:rsidR="00CA2063">
        <w:t>,</w:t>
      </w:r>
      <w:r w:rsidR="00E758E2" w:rsidRPr="00FC11CD">
        <w:t xml:space="preserve"> had</w:t>
      </w:r>
      <w:r w:rsidR="00CC2680" w:rsidRPr="00FC11CD">
        <w:t xml:space="preserve"> </w:t>
      </w:r>
      <w:r w:rsidR="00E758E2" w:rsidRPr="00FC11CD">
        <w:t>no real</w:t>
      </w:r>
      <w:r w:rsidR="00CC2680" w:rsidRPr="00FC11CD">
        <w:t xml:space="preserve"> </w:t>
      </w:r>
      <w:r w:rsidR="00E758E2" w:rsidRPr="00FC11CD">
        <w:t>defence</w:t>
      </w:r>
      <w:r w:rsidR="00CA2063">
        <w:t xml:space="preserve"> to the</w:t>
      </w:r>
      <w:r w:rsidR="003716A6">
        <w:t xml:space="preserve"> </w:t>
      </w:r>
      <w:r w:rsidR="00CA2063">
        <w:t>eviction</w:t>
      </w:r>
      <w:r w:rsidR="003716A6">
        <w:t xml:space="preserve"> </w:t>
      </w:r>
      <w:r w:rsidR="00CA2063">
        <w:t>claim. The respondent</w:t>
      </w:r>
      <w:r w:rsidR="003716A6">
        <w:t xml:space="preserve"> </w:t>
      </w:r>
      <w:r w:rsidR="00CA2063">
        <w:t>included the</w:t>
      </w:r>
      <w:r w:rsidR="003716A6">
        <w:t xml:space="preserve"> </w:t>
      </w:r>
      <w:r w:rsidR="00CA2063">
        <w:t>requested</w:t>
      </w:r>
      <w:r w:rsidR="003716A6">
        <w:t xml:space="preserve"> </w:t>
      </w:r>
      <w:r w:rsidR="00CA2063">
        <w:t>documents in the</w:t>
      </w:r>
      <w:r w:rsidR="003716A6">
        <w:t xml:space="preserve"> </w:t>
      </w:r>
      <w:r w:rsidR="00CA2063">
        <w:t>application for</w:t>
      </w:r>
      <w:r w:rsidR="003716A6">
        <w:t xml:space="preserve"> </w:t>
      </w:r>
      <w:r w:rsidR="00CA2063">
        <w:t xml:space="preserve">summary judgment. </w:t>
      </w:r>
    </w:p>
    <w:p w:rsidR="007A595A" w:rsidRPr="00FC11CD" w:rsidRDefault="00D9271A" w:rsidP="00F35B2C">
      <w:pPr>
        <w:spacing w:after="0" w:line="360" w:lineRule="auto"/>
        <w:ind w:firstLine="720"/>
        <w:jc w:val="both"/>
      </w:pPr>
      <w:r w:rsidRPr="00FC11CD">
        <w:lastRenderedPageBreak/>
        <w:t xml:space="preserve">At the hearing </w:t>
      </w:r>
      <w:r w:rsidR="00CA2063" w:rsidRPr="00FC11CD">
        <w:t>in the court below</w:t>
      </w:r>
      <w:r w:rsidR="0041037F">
        <w:t>,</w:t>
      </w:r>
      <w:r w:rsidR="00CA2063" w:rsidRPr="00FC11CD">
        <w:t xml:space="preserve"> </w:t>
      </w:r>
      <w:r w:rsidRPr="00FC11CD">
        <w:t>the app</w:t>
      </w:r>
      <w:r w:rsidR="007A595A" w:rsidRPr="00FC11CD">
        <w:t>ellant</w:t>
      </w:r>
      <w:r w:rsidR="00E84909" w:rsidRPr="00FC11CD">
        <w:t xml:space="preserve"> had</w:t>
      </w:r>
      <w:r w:rsidR="00066A53" w:rsidRPr="00FC11CD">
        <w:t xml:space="preserve"> </w:t>
      </w:r>
      <w:r w:rsidRPr="00FC11CD">
        <w:t>raised a</w:t>
      </w:r>
      <w:r w:rsidR="00066A53" w:rsidRPr="00FC11CD">
        <w:t xml:space="preserve"> </w:t>
      </w:r>
      <w:r w:rsidRPr="00FC11CD">
        <w:t xml:space="preserve">point </w:t>
      </w:r>
      <w:r w:rsidRPr="00FC11CD">
        <w:rPr>
          <w:i/>
        </w:rPr>
        <w:t>in limine</w:t>
      </w:r>
      <w:r w:rsidR="00066A53" w:rsidRPr="00FC11CD">
        <w:t xml:space="preserve"> </w:t>
      </w:r>
      <w:r w:rsidRPr="00FC11CD">
        <w:t>that the application was improperly</w:t>
      </w:r>
      <w:r w:rsidR="00066A53" w:rsidRPr="00FC11CD">
        <w:t xml:space="preserve"> </w:t>
      </w:r>
      <w:r w:rsidRPr="00FC11CD">
        <w:t xml:space="preserve">before </w:t>
      </w:r>
      <w:r w:rsidR="00E84909" w:rsidRPr="00FC11CD">
        <w:t>t</w:t>
      </w:r>
      <w:r w:rsidRPr="00FC11CD">
        <w:t>he court becau</w:t>
      </w:r>
      <w:r w:rsidR="00E84909" w:rsidRPr="00FC11CD">
        <w:t>s</w:t>
      </w:r>
      <w:r w:rsidRPr="00FC11CD">
        <w:t>e the</w:t>
      </w:r>
      <w:r w:rsidR="00066A53" w:rsidRPr="00FC11CD">
        <w:t xml:space="preserve"> </w:t>
      </w:r>
      <w:r w:rsidRPr="00FC11CD">
        <w:t>applicant</w:t>
      </w:r>
      <w:r w:rsidR="00066A53" w:rsidRPr="00FC11CD">
        <w:t xml:space="preserve"> </w:t>
      </w:r>
      <w:r w:rsidRPr="00FC11CD">
        <w:t xml:space="preserve">was a </w:t>
      </w:r>
      <w:r w:rsidR="004B2E74" w:rsidRPr="00FC11CD">
        <w:t>non-existent</w:t>
      </w:r>
      <w:r w:rsidR="00066A53" w:rsidRPr="00FC11CD">
        <w:t xml:space="preserve"> </w:t>
      </w:r>
      <w:r w:rsidRPr="00FC11CD">
        <w:t>entity</w:t>
      </w:r>
      <w:r w:rsidR="004E60A4" w:rsidRPr="00FC11CD">
        <w:t>.</w:t>
      </w:r>
      <w:r w:rsidR="00066A53" w:rsidRPr="00FC11CD">
        <w:t xml:space="preserve"> </w:t>
      </w:r>
      <w:r w:rsidRPr="00FC11CD">
        <w:t xml:space="preserve">He </w:t>
      </w:r>
      <w:r w:rsidR="00606F83" w:rsidRPr="00FC11CD">
        <w:t>said</w:t>
      </w:r>
      <w:r w:rsidR="00A24F0B" w:rsidRPr="00FC11CD">
        <w:t xml:space="preserve"> </w:t>
      </w:r>
      <w:r w:rsidR="00606F83" w:rsidRPr="00FC11CD">
        <w:t xml:space="preserve">he </w:t>
      </w:r>
      <w:r w:rsidR="00F46CF7" w:rsidRPr="00FC11CD">
        <w:t>intended to file a special plea</w:t>
      </w:r>
      <w:r w:rsidR="00A24F0B" w:rsidRPr="00FC11CD">
        <w:t xml:space="preserve"> </w:t>
      </w:r>
      <w:r w:rsidR="00F46CF7" w:rsidRPr="00FC11CD">
        <w:t>as</w:t>
      </w:r>
      <w:r w:rsidR="00606F83" w:rsidRPr="00FC11CD">
        <w:t xml:space="preserve"> the</w:t>
      </w:r>
      <w:r w:rsidR="00A24F0B" w:rsidRPr="00FC11CD">
        <w:t xml:space="preserve"> </w:t>
      </w:r>
      <w:r w:rsidR="00606F83" w:rsidRPr="00FC11CD">
        <w:t>entity in question</w:t>
      </w:r>
      <w:r w:rsidR="00A24F0B" w:rsidRPr="00FC11CD">
        <w:t xml:space="preserve"> </w:t>
      </w:r>
      <w:r w:rsidR="00606F83" w:rsidRPr="00FC11CD">
        <w:t xml:space="preserve">is </w:t>
      </w:r>
      <w:r w:rsidR="00A20BC5" w:rsidRPr="00FC11CD">
        <w:t xml:space="preserve">known as Maggiocentre </w:t>
      </w:r>
      <w:r w:rsidR="0041037F">
        <w:t xml:space="preserve">Pvt Ltd </w:t>
      </w:r>
      <w:r w:rsidR="00A20BC5" w:rsidRPr="00FC11CD">
        <w:t>and not Maggio Centre</w:t>
      </w:r>
      <w:r w:rsidR="00CC2680" w:rsidRPr="00FC11CD">
        <w:t xml:space="preserve"> </w:t>
      </w:r>
      <w:r w:rsidR="0041037F">
        <w:t>(Pvt)</w:t>
      </w:r>
      <w:r w:rsidR="003716A6">
        <w:t xml:space="preserve"> </w:t>
      </w:r>
      <w:r w:rsidR="0041037F">
        <w:t xml:space="preserve">Ltd </w:t>
      </w:r>
      <w:r w:rsidR="00A20BC5" w:rsidRPr="00FC11CD">
        <w:t xml:space="preserve">and </w:t>
      </w:r>
      <w:r w:rsidR="00CC2680" w:rsidRPr="00FC11CD">
        <w:t>that</w:t>
      </w:r>
      <w:r w:rsidR="00A20BC5" w:rsidRPr="00FC11CD">
        <w:t xml:space="preserve"> therefore</w:t>
      </w:r>
      <w:r w:rsidR="00A24F0B" w:rsidRPr="00FC11CD">
        <w:t xml:space="preserve"> </w:t>
      </w:r>
      <w:r w:rsidR="00606F83" w:rsidRPr="00FC11CD">
        <w:t>there</w:t>
      </w:r>
      <w:r w:rsidR="00A24F0B" w:rsidRPr="00FC11CD">
        <w:t xml:space="preserve"> </w:t>
      </w:r>
      <w:r w:rsidR="00606F83" w:rsidRPr="00FC11CD">
        <w:t>was</w:t>
      </w:r>
      <w:r w:rsidR="00A24F0B" w:rsidRPr="00FC11CD">
        <w:t xml:space="preserve"> </w:t>
      </w:r>
      <w:r w:rsidR="00A20BC5" w:rsidRPr="00FC11CD">
        <w:t>no</w:t>
      </w:r>
      <w:r w:rsidR="00606F83" w:rsidRPr="00FC11CD">
        <w:t xml:space="preserve"> proper</w:t>
      </w:r>
      <w:r w:rsidR="00A24F0B" w:rsidRPr="00FC11CD">
        <w:t xml:space="preserve"> </w:t>
      </w:r>
      <w:r w:rsidR="00606F83" w:rsidRPr="00FC11CD">
        <w:t>application</w:t>
      </w:r>
      <w:r w:rsidR="00A24F0B" w:rsidRPr="00FC11CD">
        <w:t xml:space="preserve"> </w:t>
      </w:r>
      <w:r w:rsidR="00606F83" w:rsidRPr="00FC11CD">
        <w:t>for</w:t>
      </w:r>
      <w:r w:rsidR="00A24F0B" w:rsidRPr="00FC11CD">
        <w:t xml:space="preserve"> </w:t>
      </w:r>
      <w:r w:rsidR="00606F83" w:rsidRPr="00FC11CD">
        <w:t>summary</w:t>
      </w:r>
      <w:r w:rsidR="00A24F0B" w:rsidRPr="00FC11CD">
        <w:t xml:space="preserve"> </w:t>
      </w:r>
      <w:r w:rsidR="00606F83" w:rsidRPr="00FC11CD">
        <w:t>judgment</w:t>
      </w:r>
      <w:r w:rsidR="00A24F0B" w:rsidRPr="00FC11CD">
        <w:t xml:space="preserve"> </w:t>
      </w:r>
      <w:r w:rsidR="00606F83" w:rsidRPr="00FC11CD">
        <w:t>before the courts. He</w:t>
      </w:r>
      <w:r w:rsidR="00A24F0B" w:rsidRPr="00FC11CD">
        <w:t xml:space="preserve"> </w:t>
      </w:r>
      <w:r w:rsidR="00606F83" w:rsidRPr="00FC11CD">
        <w:t>also</w:t>
      </w:r>
      <w:r w:rsidR="00A24F0B" w:rsidRPr="00FC11CD">
        <w:t xml:space="preserve"> </w:t>
      </w:r>
      <w:r w:rsidR="00606F83" w:rsidRPr="00FC11CD">
        <w:t>stated that</w:t>
      </w:r>
      <w:r w:rsidR="00A24F0B" w:rsidRPr="00FC11CD">
        <w:t xml:space="preserve"> </w:t>
      </w:r>
      <w:r w:rsidR="00606F83" w:rsidRPr="00FC11CD">
        <w:t xml:space="preserve">the </w:t>
      </w:r>
      <w:r w:rsidR="00A20BC5" w:rsidRPr="00FC11CD">
        <w:t>failure</w:t>
      </w:r>
      <w:r w:rsidR="00CC2680" w:rsidRPr="00FC11CD">
        <w:t xml:space="preserve"> </w:t>
      </w:r>
      <w:r w:rsidR="00A20BC5" w:rsidRPr="00FC11CD">
        <w:t>to give</w:t>
      </w:r>
      <w:r w:rsidR="00CC2680" w:rsidRPr="00FC11CD">
        <w:t xml:space="preserve"> particulars</w:t>
      </w:r>
      <w:r w:rsidR="004E3E9A" w:rsidRPr="00FC11CD">
        <w:t xml:space="preserve"> </w:t>
      </w:r>
      <w:r w:rsidR="007A595A" w:rsidRPr="00FC11CD">
        <w:t xml:space="preserve">had </w:t>
      </w:r>
      <w:r w:rsidR="00A20BC5" w:rsidRPr="00FC11CD">
        <w:t xml:space="preserve">resulted in </w:t>
      </w:r>
      <w:r w:rsidR="00CC2680" w:rsidRPr="00FC11CD">
        <w:t>failure</w:t>
      </w:r>
      <w:r w:rsidR="00A20BC5" w:rsidRPr="00FC11CD">
        <w:t xml:space="preserve"> to</w:t>
      </w:r>
      <w:r w:rsidR="00CC2680" w:rsidRPr="00FC11CD">
        <w:t xml:space="preserve"> </w:t>
      </w:r>
      <w:r w:rsidR="00A20BC5" w:rsidRPr="00FC11CD">
        <w:t>file</w:t>
      </w:r>
      <w:r w:rsidR="00A24F0B" w:rsidRPr="00FC11CD">
        <w:t xml:space="preserve"> </w:t>
      </w:r>
      <w:r w:rsidR="00606F83" w:rsidRPr="00FC11CD">
        <w:t xml:space="preserve">his </w:t>
      </w:r>
      <w:r w:rsidR="00A20BC5" w:rsidRPr="00FC11CD">
        <w:t>plea.</w:t>
      </w:r>
      <w:r w:rsidR="00E419FA" w:rsidRPr="00FC11CD">
        <w:t xml:space="preserve"> </w:t>
      </w:r>
    </w:p>
    <w:p w:rsidR="00DD1287" w:rsidRPr="00FC11CD" w:rsidRDefault="00E84909" w:rsidP="00F35B2C">
      <w:pPr>
        <w:spacing w:after="0" w:line="360" w:lineRule="auto"/>
        <w:ind w:firstLine="720"/>
        <w:jc w:val="both"/>
      </w:pPr>
      <w:r w:rsidRPr="00FC11CD">
        <w:t xml:space="preserve">In the application </w:t>
      </w:r>
      <w:r w:rsidR="007A595A" w:rsidRPr="00FC11CD">
        <w:t>for</w:t>
      </w:r>
      <w:r w:rsidR="004E3E9A" w:rsidRPr="00FC11CD">
        <w:t xml:space="preserve"> </w:t>
      </w:r>
      <w:r w:rsidR="007A595A" w:rsidRPr="00FC11CD">
        <w:t>summary</w:t>
      </w:r>
      <w:r w:rsidR="004E3E9A" w:rsidRPr="00FC11CD">
        <w:t xml:space="preserve"> </w:t>
      </w:r>
      <w:r w:rsidR="007A595A" w:rsidRPr="00FC11CD">
        <w:t>judgement</w:t>
      </w:r>
      <w:r w:rsidR="0041037F">
        <w:t>,</w:t>
      </w:r>
      <w:r w:rsidR="007A595A" w:rsidRPr="00FC11CD">
        <w:t xml:space="preserve"> </w:t>
      </w:r>
      <w:r w:rsidRPr="00FC11CD">
        <w:t>t</w:t>
      </w:r>
      <w:r w:rsidR="007A595A" w:rsidRPr="00FC11CD">
        <w:t xml:space="preserve">he respondent </w:t>
      </w:r>
      <w:r w:rsidR="00AD0FEB" w:rsidRPr="00FC11CD">
        <w:t>had attached to its founding</w:t>
      </w:r>
      <w:r w:rsidR="00CC2680" w:rsidRPr="00FC11CD">
        <w:t xml:space="preserve"> </w:t>
      </w:r>
      <w:r w:rsidR="00AD0FEB" w:rsidRPr="00FC11CD">
        <w:t>affidavit</w:t>
      </w:r>
      <w:r w:rsidR="00EA6917" w:rsidRPr="00FC11CD">
        <w:t xml:space="preserve"> documents </w:t>
      </w:r>
      <w:r w:rsidR="00AD0FEB" w:rsidRPr="00FC11CD">
        <w:t>showing</w:t>
      </w:r>
      <w:r w:rsidR="00CC2680" w:rsidRPr="00FC11CD">
        <w:t xml:space="preserve"> </w:t>
      </w:r>
      <w:r w:rsidR="00AD0FEB" w:rsidRPr="00FC11CD">
        <w:t>ownership and registration</w:t>
      </w:r>
      <w:r w:rsidRPr="00FC11CD">
        <w:t>. The respondent had theref</w:t>
      </w:r>
      <w:r w:rsidR="00BA7E12" w:rsidRPr="00FC11CD">
        <w:t>o</w:t>
      </w:r>
      <w:r w:rsidRPr="00FC11CD">
        <w:t xml:space="preserve">re </w:t>
      </w:r>
      <w:r w:rsidR="007A595A" w:rsidRPr="00FC11CD">
        <w:t xml:space="preserve">maintained that </w:t>
      </w:r>
      <w:r w:rsidR="00EA6917" w:rsidRPr="00FC11CD">
        <w:t>the</w:t>
      </w:r>
      <w:r w:rsidR="00AD0FEB" w:rsidRPr="00FC11CD">
        <w:t xml:space="preserve"> </w:t>
      </w:r>
      <w:r w:rsidR="007A595A" w:rsidRPr="00FC11CD">
        <w:t>appellant</w:t>
      </w:r>
      <w:r w:rsidR="004E3E9A" w:rsidRPr="00FC11CD">
        <w:t xml:space="preserve"> </w:t>
      </w:r>
      <w:r w:rsidR="00EA6917" w:rsidRPr="00FC11CD">
        <w:t xml:space="preserve">had </w:t>
      </w:r>
      <w:r w:rsidR="00AD0FEB" w:rsidRPr="00FC11CD">
        <w:t>not</w:t>
      </w:r>
      <w:r w:rsidR="00CC2680" w:rsidRPr="00FC11CD">
        <w:t xml:space="preserve"> </w:t>
      </w:r>
      <w:r w:rsidR="00AD0FEB" w:rsidRPr="00FC11CD">
        <w:t>file</w:t>
      </w:r>
      <w:r w:rsidR="00EA6917" w:rsidRPr="00FC11CD">
        <w:t>d</w:t>
      </w:r>
      <w:r w:rsidR="00CC2680" w:rsidRPr="00FC11CD">
        <w:t xml:space="preserve"> </w:t>
      </w:r>
      <w:r w:rsidR="00AD0FEB" w:rsidRPr="00FC11CD">
        <w:t>a plea</w:t>
      </w:r>
      <w:r w:rsidR="00CC2680" w:rsidRPr="00FC11CD">
        <w:t xml:space="preserve"> because</w:t>
      </w:r>
      <w:r w:rsidRPr="00FC11CD">
        <w:t xml:space="preserve"> it had</w:t>
      </w:r>
      <w:r w:rsidR="00CC2680" w:rsidRPr="00FC11CD">
        <w:t xml:space="preserve"> </w:t>
      </w:r>
      <w:r w:rsidR="00AD0FEB" w:rsidRPr="00FC11CD">
        <w:t>nothing to</w:t>
      </w:r>
      <w:r w:rsidR="00CC2680" w:rsidRPr="00FC11CD">
        <w:t xml:space="preserve"> </w:t>
      </w:r>
      <w:r w:rsidR="00AD0FEB" w:rsidRPr="00FC11CD">
        <w:t>say</w:t>
      </w:r>
      <w:r w:rsidR="00EA6917" w:rsidRPr="00FC11CD">
        <w:t xml:space="preserve"> and had</w:t>
      </w:r>
      <w:r w:rsidR="00A24F0B" w:rsidRPr="00FC11CD">
        <w:t xml:space="preserve"> </w:t>
      </w:r>
      <w:r w:rsidR="00EA6917" w:rsidRPr="00FC11CD">
        <w:t>no defence to the</w:t>
      </w:r>
      <w:r w:rsidR="00066A53" w:rsidRPr="00FC11CD">
        <w:t xml:space="preserve"> </w:t>
      </w:r>
      <w:r w:rsidRPr="00FC11CD">
        <w:t xml:space="preserve">application for </w:t>
      </w:r>
      <w:r w:rsidR="00A24F0B" w:rsidRPr="00FC11CD">
        <w:t xml:space="preserve">summary </w:t>
      </w:r>
      <w:r w:rsidR="00EA6917" w:rsidRPr="00FC11CD">
        <w:t>judgment</w:t>
      </w:r>
      <w:r w:rsidR="00AD0FEB" w:rsidRPr="00FC11CD">
        <w:t>.</w:t>
      </w:r>
      <w:r w:rsidR="00EA6917" w:rsidRPr="00FC11CD">
        <w:t xml:space="preserve"> </w:t>
      </w:r>
      <w:r w:rsidR="007A595A" w:rsidRPr="00FC11CD">
        <w:t>He had also argued</w:t>
      </w:r>
      <w:r w:rsidR="004E3E9A" w:rsidRPr="00FC11CD">
        <w:t xml:space="preserve"> </w:t>
      </w:r>
      <w:r w:rsidR="007A595A" w:rsidRPr="00FC11CD">
        <w:t>in the court</w:t>
      </w:r>
      <w:r w:rsidR="004E3E9A" w:rsidRPr="00FC11CD">
        <w:t xml:space="preserve"> </w:t>
      </w:r>
      <w:r w:rsidR="007A595A" w:rsidRPr="00FC11CD">
        <w:t xml:space="preserve">below that the </w:t>
      </w:r>
      <w:r w:rsidR="00CC2680" w:rsidRPr="00FC11CD">
        <w:t>technicality</w:t>
      </w:r>
      <w:r w:rsidR="00DD1287" w:rsidRPr="00FC11CD">
        <w:t xml:space="preserve"> on the name</w:t>
      </w:r>
      <w:r w:rsidR="00CC2680" w:rsidRPr="00FC11CD">
        <w:t xml:space="preserve"> </w:t>
      </w:r>
      <w:r w:rsidR="00DD1287" w:rsidRPr="00FC11CD">
        <w:t>does</w:t>
      </w:r>
      <w:r w:rsidR="00CC2680" w:rsidRPr="00FC11CD">
        <w:t xml:space="preserve"> </w:t>
      </w:r>
      <w:r w:rsidR="00DD1287" w:rsidRPr="00FC11CD">
        <w:t>not even</w:t>
      </w:r>
      <w:r w:rsidR="00CC2680" w:rsidRPr="00FC11CD">
        <w:t xml:space="preserve"> </w:t>
      </w:r>
      <w:r w:rsidR="00DD1287" w:rsidRPr="00FC11CD">
        <w:t>exist</w:t>
      </w:r>
      <w:r w:rsidR="007A595A" w:rsidRPr="00FC11CD">
        <w:t xml:space="preserve"> a</w:t>
      </w:r>
      <w:r w:rsidR="0041037F">
        <w:t>s</w:t>
      </w:r>
      <w:r w:rsidR="007A595A" w:rsidRPr="00FC11CD">
        <w:t xml:space="preserve"> it</w:t>
      </w:r>
      <w:r w:rsidR="004E3E9A" w:rsidRPr="00FC11CD">
        <w:t xml:space="preserve"> </w:t>
      </w:r>
      <w:r w:rsidR="007A595A" w:rsidRPr="00FC11CD">
        <w:t>was</w:t>
      </w:r>
      <w:r w:rsidR="004E3E9A" w:rsidRPr="00FC11CD">
        <w:t xml:space="preserve"> </w:t>
      </w:r>
      <w:r w:rsidR="007A595A" w:rsidRPr="00FC11CD">
        <w:t>clear</w:t>
      </w:r>
      <w:r w:rsidR="00066A53" w:rsidRPr="00FC11CD">
        <w:t xml:space="preserve"> </w:t>
      </w:r>
      <w:r w:rsidRPr="00FC11CD">
        <w:t>that the</w:t>
      </w:r>
      <w:r w:rsidR="00066A53" w:rsidRPr="00FC11CD">
        <w:t xml:space="preserve"> </w:t>
      </w:r>
      <w:r w:rsidRPr="00FC11CD">
        <w:t xml:space="preserve">respondent </w:t>
      </w:r>
      <w:r w:rsidR="00811677">
        <w:t>i</w:t>
      </w:r>
      <w:r w:rsidRPr="00FC11CD">
        <w:t>s the</w:t>
      </w:r>
      <w:r w:rsidR="00066A53" w:rsidRPr="00FC11CD">
        <w:t xml:space="preserve"> </w:t>
      </w:r>
      <w:r w:rsidR="00DD1287" w:rsidRPr="00FC11CD">
        <w:t>owner</w:t>
      </w:r>
      <w:r w:rsidR="0041037F">
        <w:t xml:space="preserve"> of the property in</w:t>
      </w:r>
      <w:r w:rsidR="003716A6">
        <w:t xml:space="preserve"> </w:t>
      </w:r>
      <w:r w:rsidR="0041037F">
        <w:t>question</w:t>
      </w:r>
      <w:r w:rsidRPr="00FC11CD">
        <w:t>.</w:t>
      </w:r>
    </w:p>
    <w:p w:rsidR="00070B30" w:rsidRPr="00FC11CD" w:rsidRDefault="00EA6917" w:rsidP="00F35B2C">
      <w:pPr>
        <w:spacing w:after="0" w:line="360" w:lineRule="auto"/>
        <w:ind w:firstLine="720"/>
        <w:jc w:val="both"/>
      </w:pPr>
      <w:r w:rsidRPr="00FC11CD">
        <w:t>The</w:t>
      </w:r>
      <w:r w:rsidR="00A24F0B" w:rsidRPr="00FC11CD">
        <w:t xml:space="preserve"> </w:t>
      </w:r>
      <w:r w:rsidR="0041037F">
        <w:t>M</w:t>
      </w:r>
      <w:r w:rsidRPr="00FC11CD">
        <w:t>agistrate</w:t>
      </w:r>
      <w:r w:rsidR="00A24F0B" w:rsidRPr="00FC11CD">
        <w:t xml:space="preserve"> </w:t>
      </w:r>
      <w:r w:rsidRPr="00FC11CD">
        <w:t>found in favour of the respondent</w:t>
      </w:r>
      <w:r w:rsidR="00811677">
        <w:t>,</w:t>
      </w:r>
      <w:r w:rsidR="00A24F0B" w:rsidRPr="00FC11CD">
        <w:t xml:space="preserve"> </w:t>
      </w:r>
      <w:r w:rsidRPr="00FC11CD">
        <w:t>herein arguing that the appellant</w:t>
      </w:r>
      <w:r w:rsidR="009419D7" w:rsidRPr="00FC11CD">
        <w:t xml:space="preserve"> had</w:t>
      </w:r>
      <w:r w:rsidR="00CC2680" w:rsidRPr="00FC11CD">
        <w:t xml:space="preserve"> </w:t>
      </w:r>
      <w:r w:rsidR="009419D7" w:rsidRPr="00FC11CD">
        <w:t>not</w:t>
      </w:r>
      <w:r w:rsidR="00CC2680" w:rsidRPr="00FC11CD">
        <w:t xml:space="preserve"> </w:t>
      </w:r>
      <w:r w:rsidR="009419D7" w:rsidRPr="00FC11CD">
        <w:t>even in the slightest</w:t>
      </w:r>
      <w:r w:rsidR="00CC2680" w:rsidRPr="00FC11CD">
        <w:t xml:space="preserve"> </w:t>
      </w:r>
      <w:r w:rsidR="009419D7" w:rsidRPr="00FC11CD">
        <w:t>way</w:t>
      </w:r>
      <w:r w:rsidR="00CC2680" w:rsidRPr="00FC11CD">
        <w:t xml:space="preserve"> </w:t>
      </w:r>
      <w:r w:rsidR="009419D7" w:rsidRPr="00FC11CD">
        <w:t>disclosed</w:t>
      </w:r>
      <w:r w:rsidR="00CC2680" w:rsidRPr="00FC11CD">
        <w:t xml:space="preserve"> </w:t>
      </w:r>
      <w:r w:rsidR="009419D7" w:rsidRPr="00FC11CD">
        <w:t>his defence</w:t>
      </w:r>
      <w:r w:rsidR="00CC2680" w:rsidRPr="00FC11CD">
        <w:t xml:space="preserve"> to</w:t>
      </w:r>
      <w:r w:rsidR="009419D7" w:rsidRPr="00FC11CD">
        <w:t xml:space="preserve"> the</w:t>
      </w:r>
      <w:r w:rsidR="00CC2680" w:rsidRPr="00FC11CD">
        <w:t xml:space="preserve"> </w:t>
      </w:r>
      <w:r w:rsidR="009419D7" w:rsidRPr="00FC11CD">
        <w:t>claim</w:t>
      </w:r>
      <w:r w:rsidRPr="00FC11CD">
        <w:t xml:space="preserve">. He </w:t>
      </w:r>
      <w:r w:rsidR="00A24F0B" w:rsidRPr="00FC11CD">
        <w:t>ha</w:t>
      </w:r>
      <w:r w:rsidR="00E84909" w:rsidRPr="00FC11CD">
        <w:t>d</w:t>
      </w:r>
      <w:r w:rsidRPr="00FC11CD">
        <w:t xml:space="preserve"> not</w:t>
      </w:r>
      <w:r w:rsidR="00A24F0B" w:rsidRPr="00FC11CD">
        <w:t xml:space="preserve"> </w:t>
      </w:r>
      <w:r w:rsidR="009419D7" w:rsidRPr="00FC11CD">
        <w:t>denied</w:t>
      </w:r>
      <w:r w:rsidR="00CC2680" w:rsidRPr="00FC11CD">
        <w:t xml:space="preserve"> </w:t>
      </w:r>
      <w:r w:rsidR="009419D7" w:rsidRPr="00FC11CD">
        <w:t>occupation</w:t>
      </w:r>
      <w:r w:rsidR="0041037F">
        <w:t xml:space="preserve"> of the</w:t>
      </w:r>
      <w:r w:rsidR="003716A6">
        <w:t xml:space="preserve"> </w:t>
      </w:r>
      <w:r w:rsidR="0041037F">
        <w:t xml:space="preserve">premises </w:t>
      </w:r>
      <w:r w:rsidRPr="00FC11CD">
        <w:t>or</w:t>
      </w:r>
      <w:r w:rsidR="00A24F0B" w:rsidRPr="00FC11CD">
        <w:t xml:space="preserve"> </w:t>
      </w:r>
      <w:r w:rsidRPr="00FC11CD">
        <w:t xml:space="preserve">the </w:t>
      </w:r>
      <w:r w:rsidR="009419D7" w:rsidRPr="00FC11CD">
        <w:t>circumstances</w:t>
      </w:r>
      <w:r w:rsidR="00CC2680" w:rsidRPr="00FC11CD">
        <w:t xml:space="preserve"> </w:t>
      </w:r>
      <w:r w:rsidR="009419D7" w:rsidRPr="00FC11CD">
        <w:t>upon which he</w:t>
      </w:r>
      <w:r w:rsidR="00CC2680" w:rsidRPr="00FC11CD">
        <w:t xml:space="preserve"> </w:t>
      </w:r>
      <w:r w:rsidR="009419D7" w:rsidRPr="00FC11CD">
        <w:t>took</w:t>
      </w:r>
      <w:r w:rsidR="00CC2680" w:rsidRPr="00FC11CD">
        <w:t xml:space="preserve"> </w:t>
      </w:r>
      <w:r w:rsidR="009419D7" w:rsidRPr="00FC11CD">
        <w:t>occupation</w:t>
      </w:r>
      <w:r w:rsidRPr="00FC11CD">
        <w:t>. Furthermore</w:t>
      </w:r>
      <w:r w:rsidR="00E84909" w:rsidRPr="00FC11CD">
        <w:t>,</w:t>
      </w:r>
      <w:r w:rsidRPr="00FC11CD">
        <w:t xml:space="preserve"> the</w:t>
      </w:r>
      <w:r w:rsidR="00A24F0B" w:rsidRPr="00FC11CD">
        <w:t xml:space="preserve"> lower</w:t>
      </w:r>
      <w:r w:rsidRPr="00FC11CD">
        <w:t xml:space="preserve"> court</w:t>
      </w:r>
      <w:r w:rsidR="00A24F0B" w:rsidRPr="00FC11CD">
        <w:t xml:space="preserve"> </w:t>
      </w:r>
      <w:r w:rsidRPr="00FC11CD">
        <w:t>found that the</w:t>
      </w:r>
      <w:r w:rsidR="00A24F0B" w:rsidRPr="00FC11CD">
        <w:t xml:space="preserve"> </w:t>
      </w:r>
      <w:r w:rsidRPr="00FC11CD">
        <w:t>respondent</w:t>
      </w:r>
      <w:r w:rsidR="00A24F0B" w:rsidRPr="00FC11CD">
        <w:t xml:space="preserve"> </w:t>
      </w:r>
      <w:r w:rsidRPr="00FC11CD">
        <w:t>had a</w:t>
      </w:r>
      <w:r w:rsidR="009419D7" w:rsidRPr="00FC11CD">
        <w:t>ttached</w:t>
      </w:r>
      <w:r w:rsidR="00CC2680" w:rsidRPr="00FC11CD">
        <w:t xml:space="preserve"> </w:t>
      </w:r>
      <w:r w:rsidR="009419D7" w:rsidRPr="00FC11CD">
        <w:t xml:space="preserve">deed </w:t>
      </w:r>
      <w:r w:rsidR="00CC2680" w:rsidRPr="00FC11CD">
        <w:t>of</w:t>
      </w:r>
      <w:r w:rsidR="009419D7" w:rsidRPr="00FC11CD">
        <w:t xml:space="preserve"> transfer showing</w:t>
      </w:r>
      <w:r w:rsidRPr="00FC11CD">
        <w:t xml:space="preserve"> the</w:t>
      </w:r>
      <w:r w:rsidR="00A24F0B" w:rsidRPr="00FC11CD">
        <w:t xml:space="preserve"> </w:t>
      </w:r>
      <w:r w:rsidR="009419D7" w:rsidRPr="00FC11CD">
        <w:t>owner as Maggiocentre</w:t>
      </w:r>
      <w:r w:rsidRPr="00FC11CD">
        <w:t xml:space="preserve"> and that </w:t>
      </w:r>
      <w:r w:rsidR="00BB23DE" w:rsidRPr="00FC11CD">
        <w:t>the</w:t>
      </w:r>
      <w:r w:rsidR="00A24F0B" w:rsidRPr="00FC11CD">
        <w:t xml:space="preserve"> </w:t>
      </w:r>
      <w:r w:rsidR="00BB23DE" w:rsidRPr="00FC11CD">
        <w:t>only difference in the name</w:t>
      </w:r>
      <w:r w:rsidR="00A24F0B" w:rsidRPr="00FC11CD">
        <w:t xml:space="preserve"> </w:t>
      </w:r>
      <w:r w:rsidR="00BB23DE" w:rsidRPr="00FC11CD">
        <w:t xml:space="preserve">was the gap between Maggio and Centre. </w:t>
      </w:r>
      <w:r w:rsidRPr="00FC11CD">
        <w:t>The</w:t>
      </w:r>
      <w:r w:rsidR="00A24F0B" w:rsidRPr="00FC11CD">
        <w:t xml:space="preserve"> </w:t>
      </w:r>
      <w:r w:rsidRPr="00FC11CD">
        <w:t xml:space="preserve">argument on the name was </w:t>
      </w:r>
      <w:r w:rsidR="00A24F0B" w:rsidRPr="00FC11CD">
        <w:t xml:space="preserve">therefore </w:t>
      </w:r>
      <w:r w:rsidRPr="00FC11CD">
        <w:t>found to</w:t>
      </w:r>
      <w:r w:rsidR="00A24F0B" w:rsidRPr="00FC11CD">
        <w:t xml:space="preserve"> </w:t>
      </w:r>
      <w:r w:rsidRPr="00FC11CD">
        <w:t>lack</w:t>
      </w:r>
      <w:r w:rsidR="00A24F0B" w:rsidRPr="00FC11CD">
        <w:t xml:space="preserve"> </w:t>
      </w:r>
      <w:r w:rsidRPr="00FC11CD">
        <w:t>merit on the basis that</w:t>
      </w:r>
      <w:r w:rsidR="00A24F0B" w:rsidRPr="00FC11CD">
        <w:t xml:space="preserve"> </w:t>
      </w:r>
      <w:r w:rsidRPr="00FC11CD">
        <w:t>the</w:t>
      </w:r>
      <w:r w:rsidR="00A24F0B" w:rsidRPr="00FC11CD">
        <w:t xml:space="preserve"> </w:t>
      </w:r>
      <w:r w:rsidRPr="00FC11CD">
        <w:t>w</w:t>
      </w:r>
      <w:r w:rsidR="009419D7" w:rsidRPr="00FC11CD">
        <w:t>ay</w:t>
      </w:r>
      <w:r w:rsidR="00D578EA" w:rsidRPr="00FC11CD">
        <w:t xml:space="preserve"> the</w:t>
      </w:r>
      <w:r w:rsidR="00066A53" w:rsidRPr="00FC11CD">
        <w:t xml:space="preserve"> </w:t>
      </w:r>
      <w:r w:rsidR="009419D7" w:rsidRPr="00FC11CD">
        <w:t>name</w:t>
      </w:r>
      <w:r w:rsidR="00CC2680" w:rsidRPr="00FC11CD">
        <w:t xml:space="preserve"> </w:t>
      </w:r>
      <w:r w:rsidR="00811677">
        <w:t xml:space="preserve">is </w:t>
      </w:r>
      <w:r w:rsidR="009419D7" w:rsidRPr="00FC11CD">
        <w:t>written</w:t>
      </w:r>
      <w:r w:rsidR="00CC2680" w:rsidRPr="00FC11CD">
        <w:t xml:space="preserve"> </w:t>
      </w:r>
      <w:r w:rsidR="009419D7" w:rsidRPr="00FC11CD">
        <w:t>d</w:t>
      </w:r>
      <w:r w:rsidR="00D578EA" w:rsidRPr="00FC11CD">
        <w:t>id</w:t>
      </w:r>
      <w:r w:rsidR="00CC2680" w:rsidRPr="00FC11CD">
        <w:t xml:space="preserve"> </w:t>
      </w:r>
      <w:r w:rsidR="009419D7" w:rsidRPr="00FC11CD">
        <w:t>not</w:t>
      </w:r>
      <w:r w:rsidR="00CC2680" w:rsidRPr="00FC11CD">
        <w:t xml:space="preserve"> </w:t>
      </w:r>
      <w:r w:rsidR="009419D7" w:rsidRPr="00FC11CD">
        <w:t>render the</w:t>
      </w:r>
      <w:r w:rsidR="00CC2680" w:rsidRPr="00FC11CD">
        <w:t xml:space="preserve"> </w:t>
      </w:r>
      <w:r w:rsidR="009419D7" w:rsidRPr="00FC11CD">
        <w:t>court</w:t>
      </w:r>
      <w:r w:rsidR="00CC2680" w:rsidRPr="00FC11CD">
        <w:t xml:space="preserve"> </w:t>
      </w:r>
      <w:r w:rsidR="009419D7" w:rsidRPr="00FC11CD">
        <w:t>application</w:t>
      </w:r>
      <w:r w:rsidR="00CC2680" w:rsidRPr="00FC11CD">
        <w:t xml:space="preserve"> </w:t>
      </w:r>
      <w:r w:rsidR="009419D7" w:rsidRPr="00FC11CD">
        <w:t>defective</w:t>
      </w:r>
      <w:r w:rsidR="00070B30" w:rsidRPr="00FC11CD">
        <w:t>. The</w:t>
      </w:r>
      <w:r w:rsidR="00A24F0B" w:rsidRPr="00FC11CD">
        <w:t xml:space="preserve"> </w:t>
      </w:r>
      <w:r w:rsidR="00070B30" w:rsidRPr="00FC11CD">
        <w:t>lower</w:t>
      </w:r>
      <w:r w:rsidR="00A24F0B" w:rsidRPr="00FC11CD">
        <w:t xml:space="preserve"> court </w:t>
      </w:r>
      <w:r w:rsidR="00070B30" w:rsidRPr="00FC11CD">
        <w:t xml:space="preserve">also </w:t>
      </w:r>
      <w:r w:rsidR="00811677">
        <w:t>highlighted</w:t>
      </w:r>
      <w:r w:rsidR="00A24F0B" w:rsidRPr="00FC11CD">
        <w:t xml:space="preserve"> </w:t>
      </w:r>
      <w:r w:rsidR="00070B30" w:rsidRPr="00FC11CD">
        <w:t>that</w:t>
      </w:r>
      <w:r w:rsidR="00A24F0B" w:rsidRPr="00FC11CD">
        <w:t xml:space="preserve"> </w:t>
      </w:r>
      <w:r w:rsidR="00070B30" w:rsidRPr="00FC11CD">
        <w:t>it was n</w:t>
      </w:r>
      <w:r w:rsidR="0092428D" w:rsidRPr="00FC11CD">
        <w:t>ot</w:t>
      </w:r>
      <w:r w:rsidR="00CC2680" w:rsidRPr="00FC11CD">
        <w:t xml:space="preserve"> </w:t>
      </w:r>
      <w:r w:rsidR="0092428D" w:rsidRPr="00FC11CD">
        <w:t>clear</w:t>
      </w:r>
      <w:r w:rsidR="00CC2680" w:rsidRPr="00FC11CD">
        <w:t xml:space="preserve"> </w:t>
      </w:r>
      <w:r w:rsidR="0092428D" w:rsidRPr="00FC11CD">
        <w:t>how the furnishing of</w:t>
      </w:r>
      <w:r w:rsidR="00CC2680" w:rsidRPr="00FC11CD">
        <w:t xml:space="preserve"> </w:t>
      </w:r>
      <w:r w:rsidR="0092428D" w:rsidRPr="00FC11CD">
        <w:t xml:space="preserve">further </w:t>
      </w:r>
      <w:r w:rsidR="00CC2680" w:rsidRPr="00FC11CD">
        <w:t>particulars</w:t>
      </w:r>
      <w:r w:rsidR="00A24F0B" w:rsidRPr="00FC11CD">
        <w:t xml:space="preserve"> </w:t>
      </w:r>
      <w:r w:rsidR="0092428D" w:rsidRPr="00FC11CD">
        <w:t>sought</w:t>
      </w:r>
      <w:r w:rsidR="00070B30" w:rsidRPr="00FC11CD">
        <w:t xml:space="preserve"> by the defendant</w:t>
      </w:r>
      <w:r w:rsidR="00811677">
        <w:t xml:space="preserve"> (appellant),</w:t>
      </w:r>
      <w:r w:rsidR="00070B30" w:rsidRPr="00FC11CD">
        <w:t xml:space="preserve"> i</w:t>
      </w:r>
      <w:r w:rsidR="0092428D" w:rsidRPr="00FC11CD">
        <w:t xml:space="preserve">nhibited </w:t>
      </w:r>
      <w:r w:rsidR="00811677">
        <w:t>him</w:t>
      </w:r>
      <w:r w:rsidR="00CC2680" w:rsidRPr="00FC11CD">
        <w:t xml:space="preserve"> </w:t>
      </w:r>
      <w:r w:rsidR="0092428D" w:rsidRPr="00FC11CD">
        <w:t>from filing its defence.</w:t>
      </w:r>
      <w:r w:rsidR="00070B30" w:rsidRPr="00FC11CD">
        <w:t xml:space="preserve"> The</w:t>
      </w:r>
      <w:r w:rsidR="00A24F0B" w:rsidRPr="00FC11CD">
        <w:t xml:space="preserve"> </w:t>
      </w:r>
      <w:r w:rsidR="00070B30" w:rsidRPr="00FC11CD">
        <w:t>court</w:t>
      </w:r>
      <w:r w:rsidR="00A24F0B" w:rsidRPr="00FC11CD">
        <w:t xml:space="preserve"> </w:t>
      </w:r>
      <w:r w:rsidR="00070B30" w:rsidRPr="00FC11CD">
        <w:t>concluded that</w:t>
      </w:r>
      <w:r w:rsidR="00811677">
        <w:t xml:space="preserve"> his</w:t>
      </w:r>
      <w:r w:rsidR="00070B30" w:rsidRPr="00FC11CD">
        <w:t xml:space="preserve"> o</w:t>
      </w:r>
      <w:r w:rsidR="0092428D" w:rsidRPr="00FC11CD">
        <w:t>pposi</w:t>
      </w:r>
      <w:r w:rsidR="00811677">
        <w:t xml:space="preserve">tion of </w:t>
      </w:r>
      <w:r w:rsidR="0092428D" w:rsidRPr="00FC11CD">
        <w:t>the claim</w:t>
      </w:r>
      <w:r w:rsidR="00D578EA" w:rsidRPr="00FC11CD">
        <w:t xml:space="preserve"> had been</w:t>
      </w:r>
      <w:r w:rsidR="00811677">
        <w:t xml:space="preserve"> done</w:t>
      </w:r>
      <w:r w:rsidR="00CC2680" w:rsidRPr="00FC11CD">
        <w:t xml:space="preserve"> solely</w:t>
      </w:r>
      <w:r w:rsidR="0092428D" w:rsidRPr="00FC11CD">
        <w:t xml:space="preserve"> for</w:t>
      </w:r>
      <w:r w:rsidR="003716A6">
        <w:t xml:space="preserve"> </w:t>
      </w:r>
      <w:r w:rsidR="00811677">
        <w:t xml:space="preserve">the </w:t>
      </w:r>
      <w:r w:rsidR="0092428D" w:rsidRPr="00FC11CD">
        <w:t>purpose of delay</w:t>
      </w:r>
      <w:r w:rsidR="00070B30" w:rsidRPr="00FC11CD">
        <w:t>.</w:t>
      </w:r>
    </w:p>
    <w:p w:rsidR="00BD2B76" w:rsidRPr="00FC11CD" w:rsidRDefault="00811677" w:rsidP="00F35B2C">
      <w:pPr>
        <w:spacing w:after="0" w:line="360" w:lineRule="auto"/>
        <w:ind w:firstLine="720"/>
        <w:jc w:val="both"/>
      </w:pPr>
      <w:r>
        <w:t>The lower</w:t>
      </w:r>
      <w:r w:rsidR="003716A6">
        <w:t xml:space="preserve"> </w:t>
      </w:r>
      <w:r>
        <w:t xml:space="preserve">court </w:t>
      </w:r>
      <w:r w:rsidR="00070B30" w:rsidRPr="00FC11CD">
        <w:t>granted the a</w:t>
      </w:r>
      <w:r w:rsidR="00BD2B76" w:rsidRPr="00FC11CD">
        <w:t>pplication</w:t>
      </w:r>
      <w:r w:rsidR="00CC2680" w:rsidRPr="00FC11CD">
        <w:t xml:space="preserve"> </w:t>
      </w:r>
      <w:r w:rsidR="00BD2B76" w:rsidRPr="00FC11CD">
        <w:t>for</w:t>
      </w:r>
      <w:r w:rsidR="00CC2680" w:rsidRPr="00FC11CD">
        <w:t xml:space="preserve"> </w:t>
      </w:r>
      <w:r w:rsidR="00BD2B76" w:rsidRPr="00FC11CD">
        <w:t>summary</w:t>
      </w:r>
      <w:r w:rsidR="00CC2680" w:rsidRPr="00FC11CD">
        <w:t xml:space="preserve"> </w:t>
      </w:r>
      <w:r w:rsidR="00BD2B76" w:rsidRPr="00FC11CD">
        <w:t>judgment</w:t>
      </w:r>
      <w:r w:rsidR="00070B30" w:rsidRPr="00FC11CD">
        <w:t xml:space="preserve"> and ordered that</w:t>
      </w:r>
      <w:r w:rsidR="00A24F0B" w:rsidRPr="00FC11CD">
        <w:t xml:space="preserve"> </w:t>
      </w:r>
      <w:r w:rsidR="00070B30" w:rsidRPr="00FC11CD">
        <w:t>the appellant (as</w:t>
      </w:r>
      <w:r w:rsidR="00A24F0B" w:rsidRPr="00FC11CD">
        <w:t xml:space="preserve"> </w:t>
      </w:r>
      <w:r w:rsidR="00070B30" w:rsidRPr="00FC11CD">
        <w:t>respondent</w:t>
      </w:r>
      <w:r w:rsidR="00D578EA" w:rsidRPr="00FC11CD">
        <w:t xml:space="preserve"> to the summary</w:t>
      </w:r>
      <w:r w:rsidR="00066A53" w:rsidRPr="00FC11CD">
        <w:t xml:space="preserve"> </w:t>
      </w:r>
      <w:r w:rsidR="00D578EA" w:rsidRPr="00FC11CD">
        <w:t>judgment application</w:t>
      </w:r>
      <w:r w:rsidR="00070B30" w:rsidRPr="00FC11CD">
        <w:t>) and</w:t>
      </w:r>
      <w:r w:rsidR="00A24F0B" w:rsidRPr="00FC11CD">
        <w:t xml:space="preserve"> </w:t>
      </w:r>
      <w:r w:rsidR="00BD2B76" w:rsidRPr="00FC11CD">
        <w:t>all</w:t>
      </w:r>
      <w:r w:rsidR="00CC2680" w:rsidRPr="00FC11CD">
        <w:t xml:space="preserve"> </w:t>
      </w:r>
      <w:r w:rsidR="00BD2B76" w:rsidRPr="00FC11CD">
        <w:t>those</w:t>
      </w:r>
      <w:r w:rsidR="00CC2680" w:rsidRPr="00FC11CD">
        <w:t xml:space="preserve"> </w:t>
      </w:r>
      <w:r w:rsidR="00BD2B76" w:rsidRPr="00FC11CD">
        <w:t>claiming occupation</w:t>
      </w:r>
      <w:r w:rsidR="00CC2680" w:rsidRPr="00FC11CD">
        <w:t xml:space="preserve"> </w:t>
      </w:r>
      <w:r w:rsidR="00BD2B76" w:rsidRPr="00FC11CD">
        <w:t>through him</w:t>
      </w:r>
      <w:r w:rsidR="00CC2680" w:rsidRPr="00FC11CD">
        <w:t xml:space="preserve"> </w:t>
      </w:r>
      <w:r w:rsidR="00BD2B76" w:rsidRPr="00FC11CD">
        <w:t>vacate</w:t>
      </w:r>
      <w:r w:rsidR="00CC2680" w:rsidRPr="00FC11CD">
        <w:t xml:space="preserve"> </w:t>
      </w:r>
      <w:r w:rsidR="007A595A" w:rsidRPr="00FC11CD">
        <w:t xml:space="preserve">Stand No. </w:t>
      </w:r>
      <w:r w:rsidR="00255F4F" w:rsidRPr="00FC11CD">
        <w:t xml:space="preserve">111740A, Salisbury Township, </w:t>
      </w:r>
      <w:r w:rsidR="00BD2B76" w:rsidRPr="00FC11CD">
        <w:t>Mbare</w:t>
      </w:r>
      <w:r w:rsidR="00255F4F" w:rsidRPr="00FC11CD">
        <w:t>,</w:t>
      </w:r>
      <w:r w:rsidR="004B2E74" w:rsidRPr="00FC11CD">
        <w:t xml:space="preserve"> Harare, within</w:t>
      </w:r>
      <w:r w:rsidR="00BD2B76" w:rsidRPr="00FC11CD">
        <w:t xml:space="preserve"> 5</w:t>
      </w:r>
      <w:r w:rsidR="00CC2680" w:rsidRPr="00FC11CD">
        <w:t xml:space="preserve"> </w:t>
      </w:r>
      <w:r w:rsidR="00BD2B76" w:rsidRPr="00FC11CD">
        <w:t>days</w:t>
      </w:r>
      <w:r w:rsidR="00CC2680" w:rsidRPr="00FC11CD">
        <w:t xml:space="preserve"> </w:t>
      </w:r>
      <w:r w:rsidR="00BD2B76" w:rsidRPr="00FC11CD">
        <w:t>of</w:t>
      </w:r>
      <w:r w:rsidR="00CC2680" w:rsidRPr="00FC11CD">
        <w:t xml:space="preserve"> </w:t>
      </w:r>
      <w:r w:rsidR="00BD2B76" w:rsidRPr="00FC11CD">
        <w:t>th</w:t>
      </w:r>
      <w:r w:rsidR="00070B30" w:rsidRPr="00FC11CD">
        <w:t>e</w:t>
      </w:r>
      <w:r w:rsidR="00BD2B76" w:rsidRPr="00FC11CD">
        <w:t xml:space="preserve"> order</w:t>
      </w:r>
      <w:r w:rsidR="00070B30" w:rsidRPr="00FC11CD">
        <w:t>.</w:t>
      </w:r>
      <w:r w:rsidR="00066A53" w:rsidRPr="00FC11CD">
        <w:t xml:space="preserve"> </w:t>
      </w:r>
      <w:r w:rsidR="00D578EA" w:rsidRPr="00FC11CD">
        <w:t xml:space="preserve">He </w:t>
      </w:r>
      <w:r w:rsidR="00A24F0B" w:rsidRPr="00FC11CD">
        <w:t>was</w:t>
      </w:r>
      <w:r w:rsidR="00070B30" w:rsidRPr="00FC11CD">
        <w:t xml:space="preserve"> also</w:t>
      </w:r>
      <w:r w:rsidR="00A24F0B" w:rsidRPr="00FC11CD">
        <w:t xml:space="preserve"> </w:t>
      </w:r>
      <w:r w:rsidR="00070B30" w:rsidRPr="00FC11CD">
        <w:t xml:space="preserve">ordered </w:t>
      </w:r>
      <w:r w:rsidR="00BD2B76" w:rsidRPr="00FC11CD">
        <w:t>to</w:t>
      </w:r>
      <w:r w:rsidR="00CC2680" w:rsidRPr="00FC11CD">
        <w:t xml:space="preserve"> </w:t>
      </w:r>
      <w:r w:rsidR="00BD2B76" w:rsidRPr="00FC11CD">
        <w:t>pay costs on a</w:t>
      </w:r>
      <w:r w:rsidR="007A595A" w:rsidRPr="00FC11CD">
        <w:t xml:space="preserve"> </w:t>
      </w:r>
      <w:r w:rsidR="00BD2B76" w:rsidRPr="00FC11CD">
        <w:t>l</w:t>
      </w:r>
      <w:r w:rsidR="007A595A" w:rsidRPr="00FC11CD">
        <w:t>e</w:t>
      </w:r>
      <w:r w:rsidR="00BD2B76" w:rsidRPr="00FC11CD">
        <w:t>gal practitioner and</w:t>
      </w:r>
      <w:r w:rsidR="00CC2680" w:rsidRPr="00FC11CD">
        <w:t xml:space="preserve"> </w:t>
      </w:r>
      <w:r w:rsidR="00BD2B76" w:rsidRPr="00FC11CD">
        <w:t>client</w:t>
      </w:r>
      <w:r w:rsidR="00CC2680" w:rsidRPr="00FC11CD">
        <w:t xml:space="preserve"> </w:t>
      </w:r>
      <w:r w:rsidR="00BD2B76" w:rsidRPr="00FC11CD">
        <w:t>scale.</w:t>
      </w:r>
    </w:p>
    <w:p w:rsidR="00BA7E12" w:rsidRPr="00FC11CD" w:rsidRDefault="00BA7E12" w:rsidP="00F35B2C">
      <w:pPr>
        <w:spacing w:after="0" w:line="360" w:lineRule="auto"/>
        <w:jc w:val="both"/>
        <w:rPr>
          <w:b/>
          <w:u w:val="single"/>
        </w:rPr>
      </w:pPr>
      <w:r w:rsidRPr="00FC11CD">
        <w:rPr>
          <w:b/>
          <w:u w:val="single"/>
        </w:rPr>
        <w:t>The</w:t>
      </w:r>
      <w:r w:rsidR="00914DC4">
        <w:rPr>
          <w:b/>
          <w:u w:val="single"/>
        </w:rPr>
        <w:t xml:space="preserve"> Grounds of </w:t>
      </w:r>
      <w:r w:rsidRPr="00FC11CD">
        <w:rPr>
          <w:b/>
          <w:u w:val="single"/>
        </w:rPr>
        <w:t>appeal</w:t>
      </w:r>
    </w:p>
    <w:p w:rsidR="00070B30" w:rsidRPr="00FC11CD" w:rsidRDefault="00070B30" w:rsidP="00B662E4">
      <w:pPr>
        <w:spacing w:after="0" w:line="360" w:lineRule="auto"/>
        <w:ind w:firstLine="720"/>
        <w:jc w:val="both"/>
      </w:pPr>
      <w:r w:rsidRPr="00FC11CD">
        <w:t>The appellant</w:t>
      </w:r>
      <w:r w:rsidR="00BA7E12" w:rsidRPr="00FC11CD">
        <w:t>’</w:t>
      </w:r>
      <w:r w:rsidRPr="00FC11CD">
        <w:t>s</w:t>
      </w:r>
      <w:r w:rsidR="00A24F0B" w:rsidRPr="00FC11CD">
        <w:t xml:space="preserve"> </w:t>
      </w:r>
      <w:r w:rsidRPr="00FC11CD">
        <w:t>appeal</w:t>
      </w:r>
      <w:r w:rsidR="00A24F0B" w:rsidRPr="00FC11CD">
        <w:t xml:space="preserve"> </w:t>
      </w:r>
      <w:r w:rsidRPr="00FC11CD">
        <w:t xml:space="preserve">to this court was </w:t>
      </w:r>
      <w:r w:rsidR="00A24F0B" w:rsidRPr="00FC11CD">
        <w:t>on</w:t>
      </w:r>
      <w:r w:rsidRPr="00FC11CD">
        <w:t xml:space="preserve"> the following</w:t>
      </w:r>
      <w:r w:rsidR="00A24F0B" w:rsidRPr="00FC11CD">
        <w:t xml:space="preserve"> </w:t>
      </w:r>
      <w:r w:rsidRPr="00FC11CD">
        <w:t xml:space="preserve">grounds: </w:t>
      </w:r>
    </w:p>
    <w:p w:rsidR="0049065E" w:rsidRPr="00FC11CD" w:rsidRDefault="0049065E" w:rsidP="00F35B2C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FC11CD">
        <w:t>The court erred in granting summary judgement when</w:t>
      </w:r>
      <w:r w:rsidR="00B662E4">
        <w:t xml:space="preserve"> the appellant had demonstrated</w:t>
      </w:r>
      <w:r w:rsidR="008C633C">
        <w:t xml:space="preserve"> </w:t>
      </w:r>
      <w:r w:rsidRPr="00FC11CD">
        <w:t xml:space="preserve">that he had a </w:t>
      </w:r>
      <w:r w:rsidRPr="00FC11CD">
        <w:rPr>
          <w:i/>
        </w:rPr>
        <w:t>bona fide</w:t>
      </w:r>
      <w:r w:rsidRPr="00FC11CD">
        <w:t xml:space="preserve"> defence permissible in terms of the rules of</w:t>
      </w:r>
      <w:r w:rsidR="00066A53" w:rsidRPr="00FC11CD">
        <w:t xml:space="preserve"> </w:t>
      </w:r>
      <w:r w:rsidR="00D578EA" w:rsidRPr="00FC11CD">
        <w:t xml:space="preserve">the </w:t>
      </w:r>
      <w:r w:rsidRPr="00FC11CD">
        <w:t xml:space="preserve">court </w:t>
      </w:r>
      <w:r w:rsidRPr="00FC11CD">
        <w:rPr>
          <w:i/>
        </w:rPr>
        <w:t>a quo</w:t>
      </w:r>
      <w:r w:rsidRPr="00FC11CD">
        <w:t>.</w:t>
      </w:r>
    </w:p>
    <w:p w:rsidR="0049065E" w:rsidRPr="00FC11CD" w:rsidRDefault="0049065E" w:rsidP="00F35B2C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FC11CD">
        <w:lastRenderedPageBreak/>
        <w:t xml:space="preserve">The </w:t>
      </w:r>
      <w:r w:rsidR="00561795" w:rsidRPr="00FC11CD">
        <w:t xml:space="preserve">court </w:t>
      </w:r>
      <w:r w:rsidR="00561795" w:rsidRPr="00FC11CD">
        <w:rPr>
          <w:i/>
        </w:rPr>
        <w:t>a quo</w:t>
      </w:r>
      <w:r w:rsidR="00561795" w:rsidRPr="00FC11CD">
        <w:t xml:space="preserve"> erred in granting relief in favour of a non-existing entity</w:t>
      </w:r>
      <w:r w:rsidR="00561795">
        <w:t>.</w:t>
      </w:r>
    </w:p>
    <w:p w:rsidR="00BD10F5" w:rsidRPr="00FC11CD" w:rsidRDefault="004E3E9A" w:rsidP="00B662E4">
      <w:pPr>
        <w:spacing w:after="0" w:line="360" w:lineRule="auto"/>
        <w:ind w:firstLine="720"/>
        <w:jc w:val="both"/>
      </w:pPr>
      <w:r w:rsidRPr="00FC11CD">
        <w:t>The appellant</w:t>
      </w:r>
      <w:r w:rsidR="004B2E74" w:rsidRPr="00FC11CD">
        <w:t xml:space="preserve"> </w:t>
      </w:r>
      <w:r w:rsidR="00BA7E12" w:rsidRPr="00FC11CD">
        <w:t xml:space="preserve">had </w:t>
      </w:r>
      <w:r w:rsidRPr="00FC11CD">
        <w:t xml:space="preserve">therefore sought that </w:t>
      </w:r>
      <w:r w:rsidR="00BA7E12" w:rsidRPr="00FC11CD">
        <w:t>his</w:t>
      </w:r>
      <w:r w:rsidRPr="00FC11CD">
        <w:t xml:space="preserve"> appeal succeeds and that the judgment of the court </w:t>
      </w:r>
      <w:r w:rsidRPr="00FC11CD">
        <w:rPr>
          <w:i/>
        </w:rPr>
        <w:t>a quo</w:t>
      </w:r>
      <w:r w:rsidRPr="00FC11CD">
        <w:t xml:space="preserve"> be set aside and substituted with an order dismissing the application for summary judgment.</w:t>
      </w:r>
      <w:r w:rsidR="00D578EA" w:rsidRPr="00FC11CD">
        <w:t xml:space="preserve"> </w:t>
      </w:r>
    </w:p>
    <w:p w:rsidR="00F47E7D" w:rsidRPr="00FC11CD" w:rsidRDefault="00F47E7D" w:rsidP="00F35B2C">
      <w:pPr>
        <w:spacing w:after="0" w:line="360" w:lineRule="auto"/>
        <w:jc w:val="both"/>
        <w:rPr>
          <w:b/>
          <w:u w:val="single"/>
        </w:rPr>
      </w:pPr>
      <w:r w:rsidRPr="00FC11CD">
        <w:rPr>
          <w:b/>
          <w:u w:val="single"/>
        </w:rPr>
        <w:t>The</w:t>
      </w:r>
      <w:r w:rsidR="00066A53" w:rsidRPr="00FC11CD">
        <w:rPr>
          <w:b/>
          <w:u w:val="single"/>
        </w:rPr>
        <w:t xml:space="preserve"> </w:t>
      </w:r>
      <w:r w:rsidR="00A24F0B" w:rsidRPr="00FC11CD">
        <w:rPr>
          <w:b/>
          <w:u w:val="single"/>
        </w:rPr>
        <w:t>legal</w:t>
      </w:r>
      <w:r w:rsidR="00066A53" w:rsidRPr="00FC11CD">
        <w:rPr>
          <w:b/>
          <w:u w:val="single"/>
        </w:rPr>
        <w:t xml:space="preserve"> </w:t>
      </w:r>
      <w:r w:rsidR="00D578EA" w:rsidRPr="00FC11CD">
        <w:rPr>
          <w:b/>
          <w:u w:val="single"/>
        </w:rPr>
        <w:t>submissions</w:t>
      </w:r>
      <w:r w:rsidR="00066A53" w:rsidRPr="00FC11CD">
        <w:rPr>
          <w:b/>
          <w:u w:val="single"/>
        </w:rPr>
        <w:t xml:space="preserve"> </w:t>
      </w:r>
      <w:r w:rsidR="00D578EA" w:rsidRPr="00FC11CD">
        <w:rPr>
          <w:b/>
          <w:u w:val="single"/>
        </w:rPr>
        <w:t xml:space="preserve">on appeal. </w:t>
      </w:r>
    </w:p>
    <w:p w:rsidR="001D12F9" w:rsidRPr="00FC11CD" w:rsidRDefault="00F47E7D" w:rsidP="00B662E4">
      <w:pPr>
        <w:spacing w:after="0" w:line="360" w:lineRule="auto"/>
        <w:ind w:firstLine="720"/>
        <w:jc w:val="both"/>
      </w:pPr>
      <w:r w:rsidRPr="00FC11CD">
        <w:t>The appellant argued t</w:t>
      </w:r>
      <w:r w:rsidR="004008C3" w:rsidRPr="00FC11CD">
        <w:t>hat the</w:t>
      </w:r>
      <w:r w:rsidR="00CC2680" w:rsidRPr="00FC11CD">
        <w:t xml:space="preserve"> </w:t>
      </w:r>
      <w:r w:rsidR="004008C3" w:rsidRPr="00FC11CD">
        <w:t>respondent</w:t>
      </w:r>
      <w:r w:rsidR="00A24F0B" w:rsidRPr="00FC11CD">
        <w:t xml:space="preserve"> </w:t>
      </w:r>
      <w:r w:rsidRPr="00FC11CD">
        <w:t xml:space="preserve">had </w:t>
      </w:r>
      <w:r w:rsidR="004008C3" w:rsidRPr="00FC11CD">
        <w:t>jumped</w:t>
      </w:r>
      <w:r w:rsidR="00CC2680" w:rsidRPr="00FC11CD">
        <w:t xml:space="preserve"> </w:t>
      </w:r>
      <w:r w:rsidR="004008C3" w:rsidRPr="00FC11CD">
        <w:t>the</w:t>
      </w:r>
      <w:r w:rsidR="00CC2680" w:rsidRPr="00FC11CD">
        <w:t xml:space="preserve"> </w:t>
      </w:r>
      <w:r w:rsidR="00D578EA" w:rsidRPr="00FC11CD">
        <w:t>gun</w:t>
      </w:r>
      <w:r w:rsidR="004008C3" w:rsidRPr="00FC11CD">
        <w:t xml:space="preserve"> in</w:t>
      </w:r>
      <w:r w:rsidR="00CC2680" w:rsidRPr="00FC11CD">
        <w:t xml:space="preserve"> declaring</w:t>
      </w:r>
      <w:r w:rsidR="004008C3" w:rsidRPr="00FC11CD">
        <w:t xml:space="preserve"> that</w:t>
      </w:r>
      <w:r w:rsidR="00D578EA" w:rsidRPr="00FC11CD">
        <w:t xml:space="preserve"> he </w:t>
      </w:r>
      <w:r w:rsidR="004008C3" w:rsidRPr="00FC11CD">
        <w:t>had</w:t>
      </w:r>
      <w:r w:rsidR="00CC2680" w:rsidRPr="00FC11CD">
        <w:t xml:space="preserve"> </w:t>
      </w:r>
      <w:r w:rsidR="004008C3" w:rsidRPr="00FC11CD">
        <w:t xml:space="preserve">no </w:t>
      </w:r>
      <w:r w:rsidR="004008C3" w:rsidRPr="00397381">
        <w:rPr>
          <w:i/>
        </w:rPr>
        <w:t>bona</w:t>
      </w:r>
      <w:r w:rsidR="00CC2680" w:rsidRPr="00FC11CD">
        <w:rPr>
          <w:b/>
          <w:i/>
        </w:rPr>
        <w:t xml:space="preserve"> </w:t>
      </w:r>
      <w:r w:rsidR="004008C3" w:rsidRPr="00397381">
        <w:rPr>
          <w:i/>
        </w:rPr>
        <w:t>fid</w:t>
      </w:r>
      <w:r w:rsidRPr="00397381">
        <w:rPr>
          <w:i/>
        </w:rPr>
        <w:t>e</w:t>
      </w:r>
      <w:r w:rsidR="00CC2680" w:rsidRPr="00FC11CD">
        <w:rPr>
          <w:b/>
          <w:i/>
        </w:rPr>
        <w:t xml:space="preserve"> </w:t>
      </w:r>
      <w:r w:rsidR="004008C3" w:rsidRPr="00FC11CD">
        <w:t>defenc</w:t>
      </w:r>
      <w:r w:rsidRPr="00FC11CD">
        <w:t>e as he</w:t>
      </w:r>
      <w:r w:rsidR="00A24F0B" w:rsidRPr="00FC11CD">
        <w:t xml:space="preserve"> </w:t>
      </w:r>
      <w:r w:rsidR="00852493" w:rsidRPr="00FC11CD">
        <w:t>wanted to</w:t>
      </w:r>
      <w:r w:rsidR="00CC2680" w:rsidRPr="00FC11CD">
        <w:t xml:space="preserve"> file </w:t>
      </w:r>
      <w:r w:rsidR="00852493" w:rsidRPr="00FC11CD">
        <w:t>a</w:t>
      </w:r>
      <w:r w:rsidR="00CC2680" w:rsidRPr="00FC11CD">
        <w:t xml:space="preserve"> special</w:t>
      </w:r>
      <w:r w:rsidR="00852493" w:rsidRPr="00FC11CD">
        <w:t xml:space="preserve"> plea</w:t>
      </w:r>
      <w:r w:rsidR="00CC2680" w:rsidRPr="00FC11CD">
        <w:t xml:space="preserve"> </w:t>
      </w:r>
      <w:r w:rsidR="00852493" w:rsidRPr="00FC11CD">
        <w:t>to</w:t>
      </w:r>
      <w:r w:rsidR="00D578EA" w:rsidRPr="00FC11CD">
        <w:t xml:space="preserve"> the</w:t>
      </w:r>
      <w:r w:rsidR="00066A53" w:rsidRPr="00FC11CD">
        <w:t xml:space="preserve"> </w:t>
      </w:r>
      <w:r w:rsidR="00852493" w:rsidRPr="00FC11CD">
        <w:t>effect that</w:t>
      </w:r>
      <w:r w:rsidRPr="00FC11CD">
        <w:t xml:space="preserve"> there</w:t>
      </w:r>
      <w:r w:rsidR="00A24F0B" w:rsidRPr="00FC11CD">
        <w:t xml:space="preserve"> </w:t>
      </w:r>
      <w:r w:rsidRPr="00FC11CD">
        <w:t>is</w:t>
      </w:r>
      <w:r w:rsidR="00CC2680" w:rsidRPr="00FC11CD">
        <w:t xml:space="preserve"> </w:t>
      </w:r>
      <w:r w:rsidR="00852493" w:rsidRPr="00FC11CD">
        <w:t>no legal persona</w:t>
      </w:r>
      <w:r w:rsidR="00CC2680" w:rsidRPr="00FC11CD">
        <w:t xml:space="preserve"> </w:t>
      </w:r>
      <w:r w:rsidR="00852493" w:rsidRPr="00FC11CD">
        <w:t>who goes by respondent’s</w:t>
      </w:r>
      <w:r w:rsidR="00CC2680" w:rsidRPr="00FC11CD">
        <w:t xml:space="preserve"> </w:t>
      </w:r>
      <w:r w:rsidR="00852493" w:rsidRPr="00FC11CD">
        <w:t>name and</w:t>
      </w:r>
      <w:r w:rsidR="00D578EA" w:rsidRPr="00FC11CD">
        <w:t xml:space="preserve"> that</w:t>
      </w:r>
      <w:r w:rsidR="00066A53" w:rsidRPr="00FC11CD">
        <w:t xml:space="preserve"> </w:t>
      </w:r>
      <w:r w:rsidR="00852493" w:rsidRPr="00FC11CD">
        <w:t>therefore</w:t>
      </w:r>
      <w:r w:rsidR="003716A6">
        <w:t xml:space="preserve"> </w:t>
      </w:r>
      <w:r w:rsidR="001349BB">
        <w:t xml:space="preserve">the </w:t>
      </w:r>
      <w:r w:rsidR="00852493" w:rsidRPr="00FC11CD">
        <w:t>matter</w:t>
      </w:r>
      <w:r w:rsidR="00CC2680" w:rsidRPr="00FC11CD">
        <w:t xml:space="preserve"> </w:t>
      </w:r>
      <w:r w:rsidR="00852493" w:rsidRPr="00FC11CD">
        <w:t>ought to be</w:t>
      </w:r>
      <w:r w:rsidR="00CC2680" w:rsidRPr="00FC11CD">
        <w:t xml:space="preserve"> </w:t>
      </w:r>
      <w:r w:rsidR="00852493" w:rsidRPr="00FC11CD">
        <w:t>dismissed.</w:t>
      </w:r>
      <w:r w:rsidRPr="00FC11CD">
        <w:t xml:space="preserve"> </w:t>
      </w:r>
      <w:r w:rsidR="00D578EA" w:rsidRPr="00FC11CD">
        <w:t>In essence</w:t>
      </w:r>
      <w:r w:rsidR="001349BB">
        <w:t xml:space="preserve">, </w:t>
      </w:r>
      <w:r w:rsidR="00D578EA" w:rsidRPr="00FC11CD">
        <w:t>his</w:t>
      </w:r>
      <w:r w:rsidR="00066A53" w:rsidRPr="00FC11CD">
        <w:t xml:space="preserve"> </w:t>
      </w:r>
      <w:r w:rsidR="00D578EA" w:rsidRPr="00FC11CD">
        <w:t>argument</w:t>
      </w:r>
      <w:r w:rsidR="00066A53" w:rsidRPr="00FC11CD">
        <w:t xml:space="preserve"> </w:t>
      </w:r>
      <w:r w:rsidR="00D578EA" w:rsidRPr="00FC11CD">
        <w:t>was that</w:t>
      </w:r>
      <w:r w:rsidR="00066A53" w:rsidRPr="00FC11CD">
        <w:t xml:space="preserve"> </w:t>
      </w:r>
      <w:r w:rsidR="00D578EA" w:rsidRPr="00FC11CD">
        <w:t xml:space="preserve">he </w:t>
      </w:r>
      <w:r w:rsidRPr="00FC11CD">
        <w:t>had</w:t>
      </w:r>
      <w:r w:rsidR="00A24F0B" w:rsidRPr="00FC11CD">
        <w:t xml:space="preserve"> </w:t>
      </w:r>
      <w:r w:rsidRPr="00FC11CD">
        <w:t>taken</w:t>
      </w:r>
      <w:r w:rsidR="00A24F0B" w:rsidRPr="00FC11CD">
        <w:t xml:space="preserve"> </w:t>
      </w:r>
      <w:r w:rsidRPr="00FC11CD">
        <w:t xml:space="preserve">issue </w:t>
      </w:r>
      <w:r w:rsidR="00852493" w:rsidRPr="00FC11CD">
        <w:t>with</w:t>
      </w:r>
      <w:r w:rsidRPr="00FC11CD">
        <w:t xml:space="preserve"> the</w:t>
      </w:r>
      <w:r w:rsidR="00852493" w:rsidRPr="00FC11CD">
        <w:t xml:space="preserve"> citation </w:t>
      </w:r>
      <w:r w:rsidR="00CC2680" w:rsidRPr="00FC11CD">
        <w:t xml:space="preserve">of </w:t>
      </w:r>
      <w:r w:rsidR="00852493" w:rsidRPr="00FC11CD">
        <w:t>plaintiff</w:t>
      </w:r>
      <w:r w:rsidR="00D578EA" w:rsidRPr="00FC11CD">
        <w:t xml:space="preserve"> in the court</w:t>
      </w:r>
      <w:r w:rsidR="00066A53" w:rsidRPr="00FC11CD">
        <w:t xml:space="preserve"> </w:t>
      </w:r>
      <w:r w:rsidR="00D578EA" w:rsidRPr="00FC11CD">
        <w:t>below</w:t>
      </w:r>
      <w:r w:rsidR="001349BB">
        <w:t>. Thus, he</w:t>
      </w:r>
      <w:r w:rsidR="003716A6">
        <w:t xml:space="preserve"> </w:t>
      </w:r>
      <w:r w:rsidR="00D578EA" w:rsidRPr="00FC11CD">
        <w:t xml:space="preserve">had not </w:t>
      </w:r>
      <w:r w:rsidR="00CC2680" w:rsidRPr="00FC11CD">
        <w:t>delve</w:t>
      </w:r>
      <w:r w:rsidR="00D578EA" w:rsidRPr="00FC11CD">
        <w:t>d</w:t>
      </w:r>
      <w:r w:rsidR="00A24F0B" w:rsidRPr="00FC11CD">
        <w:t xml:space="preserve"> </w:t>
      </w:r>
      <w:r w:rsidR="00852493" w:rsidRPr="00FC11CD">
        <w:t>into</w:t>
      </w:r>
      <w:r w:rsidR="00D578EA" w:rsidRPr="00FC11CD">
        <w:t xml:space="preserve"> the </w:t>
      </w:r>
      <w:r w:rsidR="00852493" w:rsidRPr="00FC11CD">
        <w:t>merits</w:t>
      </w:r>
      <w:r w:rsidR="00066A53" w:rsidRPr="00FC11CD">
        <w:t xml:space="preserve"> </w:t>
      </w:r>
      <w:r w:rsidR="00D578EA" w:rsidRPr="00FC11CD">
        <w:t>for</w:t>
      </w:r>
      <w:r w:rsidR="00066A53" w:rsidRPr="00FC11CD">
        <w:t xml:space="preserve"> </w:t>
      </w:r>
      <w:r w:rsidR="00D578EA" w:rsidRPr="00FC11CD">
        <w:t>th</w:t>
      </w:r>
      <w:r w:rsidR="001349BB">
        <w:t>e</w:t>
      </w:r>
      <w:r w:rsidR="00066A53" w:rsidRPr="00FC11CD">
        <w:t xml:space="preserve"> </w:t>
      </w:r>
      <w:r w:rsidR="00D578EA" w:rsidRPr="00FC11CD">
        <w:t>reason</w:t>
      </w:r>
      <w:r w:rsidR="001349BB">
        <w:t xml:space="preserve"> that </w:t>
      </w:r>
      <w:r w:rsidR="00BA7E12" w:rsidRPr="00FC11CD">
        <w:t>he</w:t>
      </w:r>
      <w:r w:rsidR="004B2E74" w:rsidRPr="00FC11CD">
        <w:t xml:space="preserve"> </w:t>
      </w:r>
      <w:r w:rsidR="00BA7E12" w:rsidRPr="00FC11CD">
        <w:t>awaited</w:t>
      </w:r>
      <w:r w:rsidR="003716A6">
        <w:t xml:space="preserve"> </w:t>
      </w:r>
      <w:r w:rsidR="001349BB">
        <w:t xml:space="preserve">the </w:t>
      </w:r>
      <w:r w:rsidR="00BA7E12" w:rsidRPr="00FC11CD">
        <w:t>particulars</w:t>
      </w:r>
      <w:r w:rsidR="001349BB">
        <w:t xml:space="preserve"> that</w:t>
      </w:r>
      <w:r w:rsidR="003716A6">
        <w:t xml:space="preserve"> </w:t>
      </w:r>
      <w:r w:rsidR="001349BB">
        <w:t>he had</w:t>
      </w:r>
      <w:r w:rsidR="003716A6">
        <w:t xml:space="preserve"> </w:t>
      </w:r>
      <w:r w:rsidR="001349BB">
        <w:t>requested with a</w:t>
      </w:r>
      <w:r w:rsidR="003716A6">
        <w:t xml:space="preserve"> </w:t>
      </w:r>
      <w:r w:rsidR="001349BB">
        <w:t>view</w:t>
      </w:r>
      <w:r w:rsidR="003716A6">
        <w:t xml:space="preserve"> </w:t>
      </w:r>
      <w:r w:rsidR="001349BB">
        <w:t>to filing a special</w:t>
      </w:r>
      <w:r w:rsidR="003716A6">
        <w:t xml:space="preserve"> </w:t>
      </w:r>
      <w:r w:rsidR="001349BB">
        <w:t>plea on</w:t>
      </w:r>
      <w:r w:rsidR="003716A6">
        <w:t xml:space="preserve"> </w:t>
      </w:r>
      <w:r w:rsidR="001349BB" w:rsidRPr="001349BB">
        <w:rPr>
          <w:i/>
        </w:rPr>
        <w:t>locus standi</w:t>
      </w:r>
      <w:r w:rsidRPr="00FC11CD">
        <w:t>. He</w:t>
      </w:r>
      <w:r w:rsidR="003716A6">
        <w:t xml:space="preserve"> </w:t>
      </w:r>
      <w:r w:rsidRPr="00FC11CD">
        <w:t xml:space="preserve">argued that the </w:t>
      </w:r>
      <w:r w:rsidR="00CC2680" w:rsidRPr="00FC11CD">
        <w:t>s</w:t>
      </w:r>
      <w:r w:rsidR="001D12F9" w:rsidRPr="00FC11CD">
        <w:t>pecial plea of</w:t>
      </w:r>
      <w:r w:rsidR="00CC2680" w:rsidRPr="00FC11CD">
        <w:t xml:space="preserve"> </w:t>
      </w:r>
      <w:r w:rsidR="001D12F9" w:rsidRPr="00FC11CD">
        <w:rPr>
          <w:i/>
        </w:rPr>
        <w:t xml:space="preserve">locus </w:t>
      </w:r>
      <w:r w:rsidR="00CC2680" w:rsidRPr="00FC11CD">
        <w:rPr>
          <w:i/>
        </w:rPr>
        <w:t>s</w:t>
      </w:r>
      <w:r w:rsidR="001D12F9" w:rsidRPr="00FC11CD">
        <w:rPr>
          <w:i/>
        </w:rPr>
        <w:t xml:space="preserve">tandi </w:t>
      </w:r>
      <w:r w:rsidR="001D12F9" w:rsidRPr="00FC11CD">
        <w:t xml:space="preserve">is a </w:t>
      </w:r>
      <w:r w:rsidR="001D12F9" w:rsidRPr="00FC11CD">
        <w:rPr>
          <w:i/>
        </w:rPr>
        <w:t>bona fide</w:t>
      </w:r>
      <w:r w:rsidR="001D12F9" w:rsidRPr="00FC11CD">
        <w:t xml:space="preserve"> defence</w:t>
      </w:r>
      <w:r w:rsidR="00BA7E12" w:rsidRPr="00FC11CD">
        <w:t>.</w:t>
      </w:r>
    </w:p>
    <w:p w:rsidR="00C11BB9" w:rsidRPr="00FC11CD" w:rsidRDefault="00F47E7D" w:rsidP="00F35B2C">
      <w:pPr>
        <w:spacing w:after="0" w:line="360" w:lineRule="auto"/>
        <w:ind w:firstLine="720"/>
        <w:jc w:val="both"/>
      </w:pPr>
      <w:r w:rsidRPr="00FC11CD">
        <w:t>The respondent</w:t>
      </w:r>
      <w:r w:rsidR="00D578EA" w:rsidRPr="00FC11CD">
        <w:t>,</w:t>
      </w:r>
      <w:r w:rsidRPr="00FC11CD">
        <w:t xml:space="preserve"> on the</w:t>
      </w:r>
      <w:r w:rsidR="00A24F0B" w:rsidRPr="00FC11CD">
        <w:t xml:space="preserve"> </w:t>
      </w:r>
      <w:r w:rsidRPr="00FC11CD">
        <w:t>other</w:t>
      </w:r>
      <w:r w:rsidR="00A24F0B" w:rsidRPr="00FC11CD">
        <w:t xml:space="preserve"> </w:t>
      </w:r>
      <w:r w:rsidRPr="00FC11CD">
        <w:t>hand</w:t>
      </w:r>
      <w:r w:rsidR="00D578EA" w:rsidRPr="00FC11CD">
        <w:t>,</w:t>
      </w:r>
      <w:r w:rsidR="00A24F0B" w:rsidRPr="00FC11CD">
        <w:t xml:space="preserve"> </w:t>
      </w:r>
      <w:r w:rsidRPr="00FC11CD">
        <w:t>argued that</w:t>
      </w:r>
      <w:r w:rsidR="00A24F0B" w:rsidRPr="00FC11CD">
        <w:t xml:space="preserve"> </w:t>
      </w:r>
      <w:r w:rsidRPr="00FC11CD">
        <w:t>it</w:t>
      </w:r>
      <w:r w:rsidR="00A24F0B" w:rsidRPr="00FC11CD">
        <w:t xml:space="preserve"> </w:t>
      </w:r>
      <w:r w:rsidRPr="00FC11CD">
        <w:t>had</w:t>
      </w:r>
      <w:r w:rsidR="00A24F0B" w:rsidRPr="00FC11CD">
        <w:t xml:space="preserve"> </w:t>
      </w:r>
      <w:r w:rsidRPr="00FC11CD">
        <w:t>attached</w:t>
      </w:r>
      <w:r w:rsidR="00A24F0B" w:rsidRPr="00FC11CD">
        <w:t xml:space="preserve"> </w:t>
      </w:r>
      <w:r w:rsidRPr="00FC11CD">
        <w:t xml:space="preserve">the </w:t>
      </w:r>
      <w:r w:rsidR="00C11BB9" w:rsidRPr="00FC11CD">
        <w:t>CR 14</w:t>
      </w:r>
      <w:r w:rsidR="00CC2680" w:rsidRPr="00FC11CD">
        <w:t xml:space="preserve"> </w:t>
      </w:r>
      <w:r w:rsidR="00C11BB9" w:rsidRPr="00FC11CD">
        <w:t xml:space="preserve">form </w:t>
      </w:r>
      <w:r w:rsidR="00D87A63" w:rsidRPr="00FC11CD">
        <w:t>as</w:t>
      </w:r>
      <w:r w:rsidR="00C11BB9" w:rsidRPr="00FC11CD">
        <w:t xml:space="preserve"> proof</w:t>
      </w:r>
      <w:r w:rsidR="00CC2680" w:rsidRPr="00FC11CD">
        <w:t xml:space="preserve"> </w:t>
      </w:r>
      <w:r w:rsidR="00C11BB9" w:rsidRPr="00FC11CD">
        <w:t>of incorporation</w:t>
      </w:r>
      <w:r w:rsidRPr="00FC11CD">
        <w:t xml:space="preserve"> and that the d</w:t>
      </w:r>
      <w:r w:rsidR="00C11BB9" w:rsidRPr="00FC11CD">
        <w:t>ocuments</w:t>
      </w:r>
      <w:r w:rsidR="00CC2680" w:rsidRPr="00FC11CD">
        <w:t xml:space="preserve"> </w:t>
      </w:r>
      <w:r w:rsidR="00C11BB9" w:rsidRPr="00FC11CD">
        <w:t>r</w:t>
      </w:r>
      <w:r w:rsidR="00D87A63" w:rsidRPr="00FC11CD">
        <w:t>equested</w:t>
      </w:r>
      <w:r w:rsidR="00066A53" w:rsidRPr="00FC11CD">
        <w:t xml:space="preserve"> </w:t>
      </w:r>
      <w:r w:rsidR="00C11BB9" w:rsidRPr="00FC11CD">
        <w:t>by the</w:t>
      </w:r>
      <w:r w:rsidR="00CC2680" w:rsidRPr="00FC11CD">
        <w:t xml:space="preserve"> </w:t>
      </w:r>
      <w:r w:rsidR="00C11BB9" w:rsidRPr="00FC11CD">
        <w:t>appellant</w:t>
      </w:r>
      <w:r w:rsidR="00066A53" w:rsidRPr="00FC11CD">
        <w:t xml:space="preserve"> </w:t>
      </w:r>
      <w:r w:rsidR="00D87A63" w:rsidRPr="00FC11CD">
        <w:t xml:space="preserve">had been </w:t>
      </w:r>
      <w:r w:rsidR="00C11BB9" w:rsidRPr="00FC11CD">
        <w:t>supplied in</w:t>
      </w:r>
      <w:r w:rsidR="00066A53" w:rsidRPr="00FC11CD">
        <w:t xml:space="preserve"> </w:t>
      </w:r>
      <w:r w:rsidR="00D87A63" w:rsidRPr="00FC11CD">
        <w:t xml:space="preserve">the </w:t>
      </w:r>
      <w:r w:rsidR="00C11BB9" w:rsidRPr="00FC11CD">
        <w:t>application for</w:t>
      </w:r>
      <w:r w:rsidR="00CC2680" w:rsidRPr="00FC11CD">
        <w:t xml:space="preserve"> </w:t>
      </w:r>
      <w:r w:rsidR="00C11BB9" w:rsidRPr="00FC11CD">
        <w:t>summary judgment.</w:t>
      </w:r>
      <w:r w:rsidRPr="00FC11CD">
        <w:t xml:space="preserve"> </w:t>
      </w:r>
      <w:r w:rsidR="00A24F0B" w:rsidRPr="00FC11CD">
        <w:t>Furthermore</w:t>
      </w:r>
      <w:r w:rsidR="00D87A63" w:rsidRPr="00FC11CD">
        <w:t>,</w:t>
      </w:r>
      <w:r w:rsidRPr="00FC11CD">
        <w:t xml:space="preserve"> the</w:t>
      </w:r>
      <w:r w:rsidR="00A24F0B" w:rsidRPr="00FC11CD">
        <w:t xml:space="preserve"> </w:t>
      </w:r>
      <w:r w:rsidRPr="00FC11CD">
        <w:t>respondent argued</w:t>
      </w:r>
      <w:r w:rsidR="00A24F0B" w:rsidRPr="00FC11CD">
        <w:t xml:space="preserve"> </w:t>
      </w:r>
      <w:r w:rsidRPr="00FC11CD">
        <w:t>that</w:t>
      </w:r>
      <w:r w:rsidR="00A24F0B" w:rsidRPr="00FC11CD">
        <w:t xml:space="preserve"> </w:t>
      </w:r>
      <w:r w:rsidRPr="00FC11CD">
        <w:t>if the</w:t>
      </w:r>
      <w:r w:rsidR="00A24F0B" w:rsidRPr="00FC11CD">
        <w:t xml:space="preserve"> </w:t>
      </w:r>
      <w:r w:rsidRPr="00FC11CD">
        <w:t>appellant had</w:t>
      </w:r>
      <w:r w:rsidR="00A24F0B" w:rsidRPr="00FC11CD">
        <w:t xml:space="preserve"> </w:t>
      </w:r>
      <w:r w:rsidRPr="00FC11CD">
        <w:t>intended</w:t>
      </w:r>
      <w:r w:rsidR="00A24F0B" w:rsidRPr="00FC11CD">
        <w:t xml:space="preserve"> </w:t>
      </w:r>
      <w:r w:rsidRPr="00FC11CD">
        <w:t>to</w:t>
      </w:r>
      <w:r w:rsidR="00A24F0B" w:rsidRPr="00FC11CD">
        <w:t xml:space="preserve"> </w:t>
      </w:r>
      <w:r w:rsidRPr="00FC11CD">
        <w:t>raise</w:t>
      </w:r>
      <w:r w:rsidR="00A24F0B" w:rsidRPr="00FC11CD">
        <w:t xml:space="preserve"> </w:t>
      </w:r>
      <w:r w:rsidRPr="00FC11CD">
        <w:t>a special</w:t>
      </w:r>
      <w:r w:rsidR="00A24F0B" w:rsidRPr="00FC11CD">
        <w:t xml:space="preserve"> </w:t>
      </w:r>
      <w:r w:rsidRPr="00FC11CD">
        <w:t>plea</w:t>
      </w:r>
      <w:r w:rsidR="00D87A63" w:rsidRPr="00FC11CD">
        <w:t>,</w:t>
      </w:r>
      <w:r w:rsidR="00A24F0B" w:rsidRPr="00FC11CD">
        <w:t xml:space="preserve"> </w:t>
      </w:r>
      <w:r w:rsidRPr="00FC11CD">
        <w:t>then</w:t>
      </w:r>
      <w:r w:rsidR="00A24F0B" w:rsidRPr="00FC11CD">
        <w:t xml:space="preserve"> </w:t>
      </w:r>
      <w:r w:rsidRPr="00FC11CD">
        <w:t xml:space="preserve">there </w:t>
      </w:r>
      <w:r w:rsidR="00A24F0B" w:rsidRPr="00FC11CD">
        <w:t xml:space="preserve">was no </w:t>
      </w:r>
      <w:r w:rsidRPr="00FC11CD">
        <w:t>need to ask</w:t>
      </w:r>
      <w:r w:rsidR="00A24F0B" w:rsidRPr="00FC11CD">
        <w:t xml:space="preserve"> </w:t>
      </w:r>
      <w:r w:rsidRPr="00FC11CD">
        <w:t>for</w:t>
      </w:r>
      <w:r w:rsidR="00A24F0B" w:rsidRPr="00FC11CD">
        <w:t xml:space="preserve"> further particulars</w:t>
      </w:r>
      <w:r w:rsidRPr="00FC11CD">
        <w:t xml:space="preserve"> as he</w:t>
      </w:r>
      <w:r w:rsidR="00A24F0B" w:rsidRPr="00FC11CD">
        <w:t xml:space="preserve"> </w:t>
      </w:r>
      <w:r w:rsidRPr="00FC11CD">
        <w:t>could</w:t>
      </w:r>
      <w:r w:rsidR="00A24F0B" w:rsidRPr="00FC11CD">
        <w:t xml:space="preserve"> simply</w:t>
      </w:r>
      <w:r w:rsidRPr="00FC11CD">
        <w:t xml:space="preserve"> have raised the special</w:t>
      </w:r>
      <w:r w:rsidR="00A24F0B" w:rsidRPr="00FC11CD">
        <w:t xml:space="preserve"> </w:t>
      </w:r>
      <w:r w:rsidRPr="00FC11CD">
        <w:t>plea.</w:t>
      </w:r>
      <w:r w:rsidR="00A24F0B" w:rsidRPr="00FC11CD">
        <w:t xml:space="preserve"> Furthermore</w:t>
      </w:r>
      <w:r w:rsidR="00D87A63" w:rsidRPr="00FC11CD">
        <w:t>,</w:t>
      </w:r>
      <w:r w:rsidR="00A24F0B" w:rsidRPr="00FC11CD">
        <w:t xml:space="preserve"> </w:t>
      </w:r>
      <w:r w:rsidR="00E1175E" w:rsidRPr="00FC11CD">
        <w:t>the</w:t>
      </w:r>
      <w:r w:rsidR="00A24F0B" w:rsidRPr="00FC11CD">
        <w:t xml:space="preserve"> </w:t>
      </w:r>
      <w:r w:rsidR="00E1175E" w:rsidRPr="00FC11CD">
        <w:t>respondent</w:t>
      </w:r>
      <w:r w:rsidR="004B2E74" w:rsidRPr="00FC11CD">
        <w:t xml:space="preserve"> </w:t>
      </w:r>
      <w:r w:rsidR="00A462C6" w:rsidRPr="00FC11CD">
        <w:t>argued</w:t>
      </w:r>
      <w:r w:rsidR="004B2E74" w:rsidRPr="00FC11CD">
        <w:t xml:space="preserve"> </w:t>
      </w:r>
      <w:r w:rsidR="00A462C6" w:rsidRPr="00FC11CD">
        <w:t xml:space="preserve">that the appellant </w:t>
      </w:r>
      <w:r w:rsidR="00E1175E" w:rsidRPr="00FC11CD">
        <w:t xml:space="preserve">never </w:t>
      </w:r>
      <w:r w:rsidR="00C11BB9" w:rsidRPr="00FC11CD">
        <w:t>produced</w:t>
      </w:r>
      <w:r w:rsidR="00CC2680" w:rsidRPr="00FC11CD">
        <w:t xml:space="preserve"> </w:t>
      </w:r>
      <w:r w:rsidR="00C11BB9" w:rsidRPr="00FC11CD">
        <w:t>any</w:t>
      </w:r>
      <w:r w:rsidR="00CC2680" w:rsidRPr="00FC11CD">
        <w:t xml:space="preserve"> evidence</w:t>
      </w:r>
      <w:r w:rsidR="00C11BB9" w:rsidRPr="00FC11CD">
        <w:t xml:space="preserve"> to re</w:t>
      </w:r>
      <w:r w:rsidR="00D87A63" w:rsidRPr="00FC11CD">
        <w:t>-</w:t>
      </w:r>
      <w:r w:rsidR="00C11BB9" w:rsidRPr="00FC11CD">
        <w:t>but</w:t>
      </w:r>
      <w:r w:rsidR="00D87A63" w:rsidRPr="00FC11CD">
        <w:t>t</w:t>
      </w:r>
      <w:r w:rsidR="00CC2680" w:rsidRPr="00FC11CD">
        <w:t xml:space="preserve"> </w:t>
      </w:r>
      <w:r w:rsidR="00D87A63" w:rsidRPr="00FC11CD">
        <w:t xml:space="preserve">the evidence </w:t>
      </w:r>
      <w:r w:rsidR="00C11BB9" w:rsidRPr="00FC11CD">
        <w:t>that the</w:t>
      </w:r>
      <w:r w:rsidR="00CC2680" w:rsidRPr="00FC11CD">
        <w:t xml:space="preserve"> </w:t>
      </w:r>
      <w:r w:rsidR="00C11BB9" w:rsidRPr="00FC11CD">
        <w:t>respondent is the</w:t>
      </w:r>
      <w:r w:rsidR="00CC2680" w:rsidRPr="00FC11CD">
        <w:t xml:space="preserve"> owner</w:t>
      </w:r>
      <w:r w:rsidR="00A462C6" w:rsidRPr="00FC11CD">
        <w:t>. As</w:t>
      </w:r>
      <w:r w:rsidR="004B2E74" w:rsidRPr="00FC11CD">
        <w:t xml:space="preserve"> </w:t>
      </w:r>
      <w:r w:rsidR="00A462C6" w:rsidRPr="00FC11CD">
        <w:t>such</w:t>
      </w:r>
      <w:r w:rsidR="001349BB">
        <w:t>,</w:t>
      </w:r>
      <w:r w:rsidR="00A462C6" w:rsidRPr="00FC11CD">
        <w:t xml:space="preserve"> the</w:t>
      </w:r>
      <w:r w:rsidR="004B2E74" w:rsidRPr="00FC11CD">
        <w:t xml:space="preserve"> </w:t>
      </w:r>
      <w:r w:rsidR="00A462C6" w:rsidRPr="00FC11CD">
        <w:t>argument was that</w:t>
      </w:r>
      <w:r w:rsidR="004B2E74" w:rsidRPr="00FC11CD">
        <w:t xml:space="preserve"> </w:t>
      </w:r>
      <w:r w:rsidR="00A462C6" w:rsidRPr="00FC11CD">
        <w:t>the</w:t>
      </w:r>
      <w:r w:rsidR="004B2E74" w:rsidRPr="00FC11CD">
        <w:t xml:space="preserve"> </w:t>
      </w:r>
      <w:r w:rsidR="00A462C6" w:rsidRPr="00FC11CD">
        <w:t xml:space="preserve">appellant </w:t>
      </w:r>
      <w:r w:rsidR="00E1175E" w:rsidRPr="00FC11CD">
        <w:t>had</w:t>
      </w:r>
      <w:r w:rsidR="00A24F0B" w:rsidRPr="00FC11CD">
        <w:t xml:space="preserve"> </w:t>
      </w:r>
      <w:r w:rsidR="00E1175E" w:rsidRPr="00FC11CD">
        <w:t xml:space="preserve">no </w:t>
      </w:r>
      <w:r w:rsidR="00C11BB9" w:rsidRPr="00FC11CD">
        <w:t>defence</w:t>
      </w:r>
      <w:r w:rsidR="004B2E74" w:rsidRPr="00FC11CD">
        <w:t xml:space="preserve"> </w:t>
      </w:r>
      <w:r w:rsidR="00A462C6" w:rsidRPr="00FC11CD">
        <w:t xml:space="preserve">that </w:t>
      </w:r>
      <w:r w:rsidR="00C11BB9" w:rsidRPr="00FC11CD">
        <w:t>warrant</w:t>
      </w:r>
      <w:r w:rsidR="00A462C6" w:rsidRPr="00FC11CD">
        <w:t>ed</w:t>
      </w:r>
      <w:r w:rsidR="00CC2680" w:rsidRPr="00FC11CD">
        <w:t xml:space="preserve"> </w:t>
      </w:r>
      <w:r w:rsidR="00D87A63" w:rsidRPr="00FC11CD">
        <w:t>t</w:t>
      </w:r>
      <w:r w:rsidR="00C11BB9" w:rsidRPr="00FC11CD">
        <w:t>hat</w:t>
      </w:r>
      <w:r w:rsidR="00A462C6" w:rsidRPr="00FC11CD">
        <w:t xml:space="preserve"> the</w:t>
      </w:r>
      <w:r w:rsidR="00CC2680" w:rsidRPr="00FC11CD">
        <w:t xml:space="preserve"> </w:t>
      </w:r>
      <w:r w:rsidR="00C11BB9" w:rsidRPr="00FC11CD">
        <w:t>matter</w:t>
      </w:r>
      <w:r w:rsidR="00CC2680" w:rsidRPr="00FC11CD">
        <w:t xml:space="preserve"> </w:t>
      </w:r>
      <w:r w:rsidR="00C11BB9" w:rsidRPr="00FC11CD">
        <w:t>be</w:t>
      </w:r>
      <w:r w:rsidR="00CC2680" w:rsidRPr="00FC11CD">
        <w:t xml:space="preserve"> referred</w:t>
      </w:r>
      <w:r w:rsidR="00C11BB9" w:rsidRPr="00FC11CD">
        <w:t xml:space="preserve"> to</w:t>
      </w:r>
      <w:r w:rsidR="00CC2680" w:rsidRPr="00FC11CD">
        <w:t xml:space="preserve"> </w:t>
      </w:r>
      <w:r w:rsidR="00C11BB9" w:rsidRPr="00FC11CD">
        <w:t>trial</w:t>
      </w:r>
      <w:r w:rsidR="00E1175E" w:rsidRPr="00FC11CD">
        <w:t>. The respondent</w:t>
      </w:r>
      <w:r w:rsidR="00A24F0B" w:rsidRPr="00FC11CD">
        <w:t xml:space="preserve"> also argued </w:t>
      </w:r>
      <w:r w:rsidR="00E1175E" w:rsidRPr="00FC11CD">
        <w:t>that the</w:t>
      </w:r>
      <w:r w:rsidR="00A24F0B" w:rsidRPr="00FC11CD">
        <w:t xml:space="preserve"> </w:t>
      </w:r>
      <w:r w:rsidR="00E1175E" w:rsidRPr="00FC11CD">
        <w:t>issue of the</w:t>
      </w:r>
      <w:r w:rsidR="00A24F0B" w:rsidRPr="00FC11CD">
        <w:t xml:space="preserve"> </w:t>
      </w:r>
      <w:r w:rsidR="00E1175E" w:rsidRPr="00FC11CD">
        <w:t>name</w:t>
      </w:r>
      <w:r w:rsidR="00A24F0B" w:rsidRPr="00FC11CD">
        <w:t xml:space="preserve"> </w:t>
      </w:r>
      <w:r w:rsidR="00E1175E" w:rsidRPr="00FC11CD">
        <w:t>had</w:t>
      </w:r>
      <w:r w:rsidR="00A24F0B" w:rsidRPr="00FC11CD">
        <w:t xml:space="preserve"> </w:t>
      </w:r>
      <w:r w:rsidR="00E1175E" w:rsidRPr="00FC11CD">
        <w:t>been</w:t>
      </w:r>
      <w:r w:rsidR="00A24F0B" w:rsidRPr="00FC11CD">
        <w:t xml:space="preserve"> dealt</w:t>
      </w:r>
      <w:r w:rsidR="00E1175E" w:rsidRPr="00FC11CD">
        <w:t xml:space="preserve"> with</w:t>
      </w:r>
      <w:r w:rsidR="00A24F0B" w:rsidRPr="00FC11CD">
        <w:t xml:space="preserve"> </w:t>
      </w:r>
      <w:r w:rsidR="00E1175E" w:rsidRPr="00FC11CD">
        <w:t>adequately</w:t>
      </w:r>
      <w:r w:rsidR="00A24F0B" w:rsidRPr="00FC11CD">
        <w:t xml:space="preserve"> </w:t>
      </w:r>
      <w:r w:rsidR="00E1175E" w:rsidRPr="00FC11CD">
        <w:t>by the</w:t>
      </w:r>
      <w:r w:rsidR="00A24F0B" w:rsidRPr="00FC11CD">
        <w:t xml:space="preserve"> </w:t>
      </w:r>
      <w:r w:rsidR="00E1175E" w:rsidRPr="00FC11CD">
        <w:t>court</w:t>
      </w:r>
      <w:r w:rsidR="00A24F0B" w:rsidRPr="00FC11CD">
        <w:t xml:space="preserve"> </w:t>
      </w:r>
      <w:r w:rsidR="00E1175E" w:rsidRPr="00FC11CD">
        <w:t>below. He</w:t>
      </w:r>
      <w:r w:rsidR="00A24F0B" w:rsidRPr="00FC11CD">
        <w:t xml:space="preserve"> </w:t>
      </w:r>
      <w:r w:rsidR="00E1175E" w:rsidRPr="00FC11CD">
        <w:t>theref</w:t>
      </w:r>
      <w:r w:rsidR="00A24F0B" w:rsidRPr="00FC11CD">
        <w:t>or</w:t>
      </w:r>
      <w:r w:rsidR="00E1175E" w:rsidRPr="00FC11CD">
        <w:t>e</w:t>
      </w:r>
      <w:r w:rsidR="00A24F0B" w:rsidRPr="00FC11CD">
        <w:t xml:space="preserve"> </w:t>
      </w:r>
      <w:r w:rsidR="00E1175E" w:rsidRPr="00FC11CD">
        <w:t xml:space="preserve">sought that the </w:t>
      </w:r>
      <w:r w:rsidR="00A24F0B" w:rsidRPr="00FC11CD">
        <w:t xml:space="preserve">appeal </w:t>
      </w:r>
      <w:r w:rsidR="00E1175E" w:rsidRPr="00FC11CD">
        <w:t>be dismissed</w:t>
      </w:r>
      <w:r w:rsidR="00A24F0B" w:rsidRPr="00FC11CD">
        <w:t xml:space="preserve"> </w:t>
      </w:r>
      <w:r w:rsidR="00E1175E" w:rsidRPr="00FC11CD">
        <w:t>with</w:t>
      </w:r>
      <w:r w:rsidR="00A24F0B" w:rsidRPr="00FC11CD">
        <w:t xml:space="preserve"> </w:t>
      </w:r>
      <w:r w:rsidR="00E1175E" w:rsidRPr="00FC11CD">
        <w:t xml:space="preserve">costs. </w:t>
      </w:r>
    </w:p>
    <w:p w:rsidR="00A462C6" w:rsidRPr="00FC11CD" w:rsidRDefault="00A462C6" w:rsidP="00F35B2C">
      <w:pPr>
        <w:pStyle w:val="Default"/>
        <w:spacing w:line="360" w:lineRule="auto"/>
        <w:jc w:val="both"/>
        <w:rPr>
          <w:b/>
          <w:u w:val="single"/>
        </w:rPr>
      </w:pPr>
      <w:r w:rsidRPr="00FC11CD">
        <w:rPr>
          <w:b/>
          <w:u w:val="single"/>
        </w:rPr>
        <w:t>Analysis</w:t>
      </w:r>
      <w:r w:rsidR="00914DC4">
        <w:rPr>
          <w:b/>
          <w:u w:val="single"/>
        </w:rPr>
        <w:t xml:space="preserve"> and findings</w:t>
      </w:r>
    </w:p>
    <w:p w:rsidR="001D7A19" w:rsidRDefault="00272AE5" w:rsidP="00B662E4">
      <w:pPr>
        <w:pStyle w:val="Default"/>
        <w:spacing w:line="360" w:lineRule="auto"/>
        <w:ind w:firstLine="720"/>
        <w:jc w:val="both"/>
      </w:pPr>
      <w:r w:rsidRPr="00FC11CD">
        <w:t xml:space="preserve">The appellant argued that the court erred in granting summary judgement when the appellant had demonstrated that he had a </w:t>
      </w:r>
      <w:r w:rsidRPr="00FC11CD">
        <w:rPr>
          <w:i/>
        </w:rPr>
        <w:t>bona fide</w:t>
      </w:r>
      <w:r w:rsidRPr="00FC11CD">
        <w:t xml:space="preserve"> defence permissible in terms of the rules of</w:t>
      </w:r>
      <w:r w:rsidR="003716A6">
        <w:t xml:space="preserve"> </w:t>
      </w:r>
      <w:r>
        <w:t>the</w:t>
      </w:r>
      <w:r w:rsidR="003716A6">
        <w:t xml:space="preserve"> </w:t>
      </w:r>
      <w:r w:rsidRPr="00FC11CD">
        <w:t xml:space="preserve">court </w:t>
      </w:r>
      <w:r w:rsidRPr="00272AE5">
        <w:rPr>
          <w:i/>
        </w:rPr>
        <w:t>a quo</w:t>
      </w:r>
      <w:r w:rsidRPr="00FC11CD">
        <w:t>.</w:t>
      </w:r>
      <w:r>
        <w:t xml:space="preserve"> </w:t>
      </w:r>
      <w:r w:rsidR="008469A5" w:rsidRPr="00FC11CD">
        <w:t>Granted the appellant had sought further particulars</w:t>
      </w:r>
      <w:r>
        <w:t xml:space="preserve"> and in terms of Order 12 </w:t>
      </w:r>
      <w:r w:rsidRPr="00FC11CD">
        <w:t xml:space="preserve">of the Magistrates </w:t>
      </w:r>
      <w:r>
        <w:t xml:space="preserve">Court (Civil) </w:t>
      </w:r>
      <w:r w:rsidRPr="00FC11CD">
        <w:t>Rules</w:t>
      </w:r>
      <w:r>
        <w:t>, 2019</w:t>
      </w:r>
      <w:r w:rsidR="008469A5" w:rsidRPr="00FC11CD">
        <w:t xml:space="preserve">. </w:t>
      </w:r>
      <w:r w:rsidR="00D31331">
        <w:t>Order</w:t>
      </w:r>
      <w:r w:rsidR="00066A53" w:rsidRPr="00FC11CD">
        <w:t xml:space="preserve"> </w:t>
      </w:r>
      <w:r w:rsidR="008469A5" w:rsidRPr="00FC11CD">
        <w:t>14</w:t>
      </w:r>
      <w:r w:rsidR="003716A6">
        <w:t xml:space="preserve"> </w:t>
      </w:r>
      <w:r>
        <w:t>of</w:t>
      </w:r>
      <w:r w:rsidR="003716A6">
        <w:t xml:space="preserve"> </w:t>
      </w:r>
      <w:r>
        <w:t>these</w:t>
      </w:r>
      <w:r w:rsidR="003716A6">
        <w:t xml:space="preserve"> </w:t>
      </w:r>
      <w:r>
        <w:t>same</w:t>
      </w:r>
      <w:r w:rsidR="003716A6">
        <w:t xml:space="preserve"> </w:t>
      </w:r>
      <w:r>
        <w:t xml:space="preserve">rules </w:t>
      </w:r>
      <w:r w:rsidR="008469A5" w:rsidRPr="00FC11CD">
        <w:t>provides that</w:t>
      </w:r>
      <w:r w:rsidR="00066A53" w:rsidRPr="00FC11CD">
        <w:t xml:space="preserve"> </w:t>
      </w:r>
      <w:r w:rsidR="008469A5" w:rsidRPr="00FC11CD">
        <w:t>where</w:t>
      </w:r>
      <w:r w:rsidR="00066A53" w:rsidRPr="00FC11CD">
        <w:t xml:space="preserve"> </w:t>
      </w:r>
      <w:r w:rsidR="008469A5" w:rsidRPr="00FC11CD">
        <w:t>further</w:t>
      </w:r>
      <w:r w:rsidR="00066A53" w:rsidRPr="00FC11CD">
        <w:t xml:space="preserve"> </w:t>
      </w:r>
      <w:r w:rsidR="008469A5" w:rsidRPr="00FC11CD">
        <w:t>particulars</w:t>
      </w:r>
      <w:r w:rsidR="00066A53" w:rsidRPr="00FC11CD">
        <w:t xml:space="preserve"> </w:t>
      </w:r>
      <w:r w:rsidR="008469A5" w:rsidRPr="00FC11CD">
        <w:t>have been</w:t>
      </w:r>
      <w:r w:rsidR="00066A53" w:rsidRPr="00FC11CD">
        <w:t xml:space="preserve"> </w:t>
      </w:r>
      <w:r w:rsidR="008469A5" w:rsidRPr="00FC11CD">
        <w:t>requested, an</w:t>
      </w:r>
      <w:r w:rsidR="00066A53" w:rsidRPr="00FC11CD">
        <w:t xml:space="preserve"> </w:t>
      </w:r>
      <w:r w:rsidR="008469A5" w:rsidRPr="00FC11CD">
        <w:t>exception may be</w:t>
      </w:r>
      <w:r w:rsidR="00066A53" w:rsidRPr="00FC11CD">
        <w:t xml:space="preserve"> </w:t>
      </w:r>
      <w:r w:rsidR="008469A5" w:rsidRPr="00FC11CD">
        <w:t>filed within seven days after delivery of such documents or information.</w:t>
      </w:r>
      <w:r w:rsidR="00A462C6" w:rsidRPr="00FC11CD">
        <w:t xml:space="preserve"> </w:t>
      </w:r>
    </w:p>
    <w:p w:rsidR="008469A5" w:rsidRPr="00FC11CD" w:rsidRDefault="00A462C6" w:rsidP="00B662E4">
      <w:pPr>
        <w:pStyle w:val="Default"/>
        <w:spacing w:line="360" w:lineRule="auto"/>
        <w:ind w:firstLine="720"/>
        <w:jc w:val="both"/>
      </w:pPr>
      <w:r w:rsidRPr="00FC11CD">
        <w:t>However, what was before the lower court was an application for summary</w:t>
      </w:r>
      <w:r w:rsidR="004B2E74" w:rsidRPr="00FC11CD">
        <w:t xml:space="preserve"> </w:t>
      </w:r>
      <w:r w:rsidRPr="00FC11CD">
        <w:t>judgment.</w:t>
      </w:r>
      <w:r w:rsidR="00D31331">
        <w:t xml:space="preserve"> </w:t>
      </w:r>
      <w:r w:rsidR="00561795">
        <w:t>It was this that the</w:t>
      </w:r>
      <w:r w:rsidR="003716A6">
        <w:t xml:space="preserve"> </w:t>
      </w:r>
      <w:r w:rsidR="00561795">
        <w:t>magistrate</w:t>
      </w:r>
      <w:r w:rsidR="003716A6">
        <w:t xml:space="preserve"> </w:t>
      </w:r>
      <w:r w:rsidR="00561795">
        <w:t>was</w:t>
      </w:r>
      <w:r w:rsidR="003716A6">
        <w:t xml:space="preserve"> </w:t>
      </w:r>
      <w:r w:rsidR="00561795">
        <w:t>called</w:t>
      </w:r>
      <w:r w:rsidR="003716A6">
        <w:t xml:space="preserve"> </w:t>
      </w:r>
      <w:r w:rsidR="00561795">
        <w:t xml:space="preserve">upon to decide. </w:t>
      </w:r>
      <w:r w:rsidR="008469A5" w:rsidRPr="00FC11CD">
        <w:t>In this</w:t>
      </w:r>
      <w:r w:rsidR="00066A53" w:rsidRPr="00FC11CD">
        <w:t xml:space="preserve"> </w:t>
      </w:r>
      <w:r w:rsidR="008469A5" w:rsidRPr="00FC11CD">
        <w:t xml:space="preserve">regard </w:t>
      </w:r>
      <w:r w:rsidR="001E3020" w:rsidRPr="00FC11CD">
        <w:t>Order 15 of th</w:t>
      </w:r>
      <w:r w:rsidR="00561795">
        <w:t>e Magistrates Court</w:t>
      </w:r>
      <w:r w:rsidR="00D31331">
        <w:t xml:space="preserve"> rules</w:t>
      </w:r>
      <w:r w:rsidR="00A24F0B" w:rsidRPr="00FC11CD">
        <w:t xml:space="preserve"> </w:t>
      </w:r>
      <w:r w:rsidR="001E3020" w:rsidRPr="00FC11CD">
        <w:t>provides</w:t>
      </w:r>
      <w:r w:rsidR="00A24F0B" w:rsidRPr="00FC11CD">
        <w:t xml:space="preserve"> </w:t>
      </w:r>
      <w:r w:rsidR="001E3020" w:rsidRPr="00FC11CD">
        <w:t>as follows</w:t>
      </w:r>
      <w:r w:rsidR="004B2E74" w:rsidRPr="00FC11CD">
        <w:t xml:space="preserve"> on summary judgment</w:t>
      </w:r>
      <w:r w:rsidR="001E3020" w:rsidRPr="00FC11CD">
        <w:t>:</w:t>
      </w:r>
    </w:p>
    <w:p w:rsidR="008469A5" w:rsidRPr="00FC11CD" w:rsidRDefault="008469A5" w:rsidP="00B662E4">
      <w:pPr>
        <w:pStyle w:val="Default"/>
        <w:spacing w:line="360" w:lineRule="auto"/>
        <w:ind w:firstLine="714"/>
        <w:jc w:val="both"/>
      </w:pPr>
      <w:r w:rsidRPr="00FC11CD">
        <w:lastRenderedPageBreak/>
        <w:t>Order 15 Summary Judgment</w:t>
      </w:r>
    </w:p>
    <w:p w:rsidR="001E3020" w:rsidRPr="00B662E4" w:rsidRDefault="00B662E4" w:rsidP="006250E6">
      <w:pPr>
        <w:pStyle w:val="Default"/>
        <w:ind w:left="714"/>
        <w:jc w:val="both"/>
        <w:rPr>
          <w:sz w:val="22"/>
          <w:szCs w:val="22"/>
        </w:rPr>
      </w:pPr>
      <w:r>
        <w:rPr>
          <w:b/>
          <w:bCs/>
          <w:i/>
          <w:iCs/>
        </w:rPr>
        <w:t>“</w:t>
      </w:r>
      <w:r w:rsidR="001E3020" w:rsidRPr="00B662E4">
        <w:rPr>
          <w:b/>
          <w:bCs/>
          <w:i/>
          <w:iCs/>
          <w:sz w:val="22"/>
          <w:szCs w:val="22"/>
        </w:rPr>
        <w:t xml:space="preserve">1. When application for summary judgment may be made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 xml:space="preserve">(1) </w:t>
      </w:r>
      <w:r w:rsidRPr="00B662E4">
        <w:rPr>
          <w:b/>
          <w:sz w:val="22"/>
          <w:szCs w:val="22"/>
          <w:u w:val="single"/>
        </w:rPr>
        <w:t>Where a defendant has entered an appearance to defend</w:t>
      </w:r>
      <w:r w:rsidRPr="00B662E4">
        <w:rPr>
          <w:sz w:val="22"/>
          <w:szCs w:val="22"/>
        </w:rPr>
        <w:t xml:space="preserve">, the plaintiff, whether in the main claim or counterclaim, may by application supported by a founding affidavit apply to the court for summary judgment on any claim in the summons which is only—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>(</w:t>
      </w:r>
      <w:r w:rsidRPr="00B662E4">
        <w:rPr>
          <w:iCs/>
          <w:sz w:val="22"/>
          <w:szCs w:val="22"/>
        </w:rPr>
        <w:t>a</w:t>
      </w:r>
      <w:r w:rsidRPr="00B662E4">
        <w:rPr>
          <w:sz w:val="22"/>
          <w:szCs w:val="22"/>
        </w:rPr>
        <w:t xml:space="preserve">) on a liquid document; or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>(</w:t>
      </w:r>
      <w:r w:rsidRPr="00B662E4">
        <w:rPr>
          <w:iCs/>
          <w:sz w:val="22"/>
          <w:szCs w:val="22"/>
        </w:rPr>
        <w:t>b</w:t>
      </w:r>
      <w:r w:rsidRPr="00B662E4">
        <w:rPr>
          <w:sz w:val="22"/>
          <w:szCs w:val="22"/>
        </w:rPr>
        <w:t xml:space="preserve">) for a liquidated amount in money; or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>(</w:t>
      </w:r>
      <w:r w:rsidRPr="00B662E4">
        <w:rPr>
          <w:iCs/>
          <w:sz w:val="22"/>
          <w:szCs w:val="22"/>
        </w:rPr>
        <w:t>c</w:t>
      </w:r>
      <w:r w:rsidRPr="00B662E4">
        <w:rPr>
          <w:sz w:val="22"/>
          <w:szCs w:val="22"/>
        </w:rPr>
        <w:t xml:space="preserve">) for the delivery of specified movable property; or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>(</w:t>
      </w:r>
      <w:r w:rsidRPr="00B662E4">
        <w:rPr>
          <w:iCs/>
          <w:sz w:val="22"/>
          <w:szCs w:val="22"/>
        </w:rPr>
        <w:t>d</w:t>
      </w:r>
      <w:r w:rsidRPr="00B662E4">
        <w:rPr>
          <w:sz w:val="22"/>
          <w:szCs w:val="22"/>
        </w:rPr>
        <w:t xml:space="preserve">) </w:t>
      </w:r>
      <w:r w:rsidRPr="00B662E4">
        <w:rPr>
          <w:b/>
          <w:sz w:val="22"/>
          <w:szCs w:val="22"/>
          <w:u w:val="single"/>
        </w:rPr>
        <w:t>for ejectment;</w:t>
      </w:r>
      <w:r w:rsidRPr="00B662E4">
        <w:rPr>
          <w:sz w:val="22"/>
          <w:szCs w:val="22"/>
        </w:rPr>
        <w:t xml:space="preserve"> or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>(</w:t>
      </w:r>
      <w:r w:rsidRPr="00B662E4">
        <w:rPr>
          <w:iCs/>
          <w:sz w:val="22"/>
          <w:szCs w:val="22"/>
        </w:rPr>
        <w:t>e</w:t>
      </w:r>
      <w:r w:rsidRPr="00B662E4">
        <w:rPr>
          <w:sz w:val="22"/>
          <w:szCs w:val="22"/>
        </w:rPr>
        <w:t>) for any two or more such matters as are described in paragraph (</w:t>
      </w:r>
      <w:r w:rsidRPr="00B662E4">
        <w:rPr>
          <w:i/>
          <w:iCs/>
          <w:sz w:val="22"/>
          <w:szCs w:val="22"/>
        </w:rPr>
        <w:t>a</w:t>
      </w:r>
      <w:r w:rsidR="00164B72" w:rsidRPr="00B662E4">
        <w:rPr>
          <w:sz w:val="22"/>
          <w:szCs w:val="22"/>
        </w:rPr>
        <w:t>),</w:t>
      </w:r>
      <w:r w:rsidRPr="00B662E4">
        <w:rPr>
          <w:sz w:val="22"/>
          <w:szCs w:val="22"/>
        </w:rPr>
        <w:t>(</w:t>
      </w:r>
      <w:r w:rsidRPr="00B662E4">
        <w:rPr>
          <w:i/>
          <w:iCs/>
          <w:sz w:val="22"/>
          <w:szCs w:val="22"/>
        </w:rPr>
        <w:t>b</w:t>
      </w:r>
      <w:r w:rsidR="00164B72" w:rsidRPr="00B662E4">
        <w:rPr>
          <w:sz w:val="22"/>
          <w:szCs w:val="22"/>
        </w:rPr>
        <w:t>),</w:t>
      </w:r>
      <w:r w:rsidRPr="00B662E4">
        <w:rPr>
          <w:sz w:val="22"/>
          <w:szCs w:val="22"/>
        </w:rPr>
        <w:t>(</w:t>
      </w:r>
      <w:r w:rsidRPr="00B662E4">
        <w:rPr>
          <w:i/>
          <w:iCs/>
          <w:sz w:val="22"/>
          <w:szCs w:val="22"/>
        </w:rPr>
        <w:t>c</w:t>
      </w:r>
      <w:r w:rsidRPr="00B662E4">
        <w:rPr>
          <w:sz w:val="22"/>
          <w:szCs w:val="22"/>
        </w:rPr>
        <w:t>) or(</w:t>
      </w:r>
      <w:r w:rsidRPr="00B662E4">
        <w:rPr>
          <w:i/>
          <w:iCs/>
          <w:sz w:val="22"/>
          <w:szCs w:val="22"/>
        </w:rPr>
        <w:t>d</w:t>
      </w:r>
      <w:r w:rsidRPr="00B662E4">
        <w:rPr>
          <w:sz w:val="22"/>
          <w:szCs w:val="22"/>
        </w:rPr>
        <w:t xml:space="preserve">); </w:t>
      </w:r>
    </w:p>
    <w:p w:rsidR="008469A5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 xml:space="preserve">in addition to costs.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 xml:space="preserve">(2) An application in terms of subrule (1) </w:t>
      </w:r>
      <w:r w:rsidRPr="00B662E4">
        <w:rPr>
          <w:b/>
          <w:sz w:val="22"/>
          <w:szCs w:val="22"/>
        </w:rPr>
        <w:t>shall be made at any time before the holding of a pre-trial conference,</w:t>
      </w:r>
      <w:r w:rsidRPr="00B662E4">
        <w:rPr>
          <w:b/>
          <w:sz w:val="22"/>
          <w:szCs w:val="22"/>
          <w:u w:val="single"/>
        </w:rPr>
        <w:t xml:space="preserve"> upon seven days’ notice,</w:t>
      </w:r>
      <w:r w:rsidRPr="00B662E4">
        <w:rPr>
          <w:sz w:val="22"/>
          <w:szCs w:val="22"/>
        </w:rPr>
        <w:t xml:space="preserve"> and the plaintiff shall deliver with such notice—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>(</w:t>
      </w:r>
      <w:r w:rsidRPr="00B662E4">
        <w:rPr>
          <w:i/>
          <w:iCs/>
          <w:sz w:val="22"/>
          <w:szCs w:val="22"/>
        </w:rPr>
        <w:t>a</w:t>
      </w:r>
      <w:r w:rsidRPr="00B662E4">
        <w:rPr>
          <w:sz w:val="22"/>
          <w:szCs w:val="22"/>
        </w:rPr>
        <w:t xml:space="preserve">) if the claim is illiquid, a copy of an affidavit, made by himself or herself or by any other person who can swear positively to the facts—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 xml:space="preserve">(i) verifying the cause of action and the amount claimed, if any; and </w:t>
      </w:r>
    </w:p>
    <w:p w:rsidR="001E3020" w:rsidRPr="00B662E4" w:rsidRDefault="001E3020" w:rsidP="006250E6">
      <w:pPr>
        <w:pStyle w:val="Default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 xml:space="preserve">(ii) stating that in his or her belief there is not a </w:t>
      </w:r>
      <w:r w:rsidRPr="00B662E4">
        <w:rPr>
          <w:i/>
          <w:iCs/>
          <w:sz w:val="22"/>
          <w:szCs w:val="22"/>
        </w:rPr>
        <w:t xml:space="preserve">bona fide </w:t>
      </w:r>
      <w:r w:rsidRPr="00B662E4">
        <w:rPr>
          <w:sz w:val="22"/>
          <w:szCs w:val="22"/>
        </w:rPr>
        <w:t xml:space="preserve">defence to the action and that appearance has been entered solely for the purpose of delay; </w:t>
      </w:r>
    </w:p>
    <w:p w:rsidR="001E3020" w:rsidRDefault="001E3020" w:rsidP="006250E6">
      <w:pPr>
        <w:pStyle w:val="ListParagraph"/>
        <w:spacing w:after="0" w:line="240" w:lineRule="auto"/>
        <w:ind w:left="714"/>
        <w:jc w:val="both"/>
        <w:rPr>
          <w:sz w:val="22"/>
          <w:szCs w:val="22"/>
        </w:rPr>
      </w:pPr>
      <w:r w:rsidRPr="00B662E4">
        <w:rPr>
          <w:sz w:val="22"/>
          <w:szCs w:val="22"/>
        </w:rPr>
        <w:t>(</w:t>
      </w:r>
      <w:r w:rsidRPr="00B662E4">
        <w:rPr>
          <w:i/>
          <w:iCs/>
          <w:sz w:val="22"/>
          <w:szCs w:val="22"/>
        </w:rPr>
        <w:t>b</w:t>
      </w:r>
      <w:r w:rsidRPr="00B662E4">
        <w:rPr>
          <w:sz w:val="22"/>
          <w:szCs w:val="22"/>
        </w:rPr>
        <w:t>) if the claim is liquid, a copy of the liquid document on which the claim is founded, supported by an affidavit.</w:t>
      </w:r>
      <w:r w:rsidR="00B662E4" w:rsidRPr="00B662E4">
        <w:rPr>
          <w:sz w:val="22"/>
          <w:szCs w:val="22"/>
        </w:rPr>
        <w:t>”</w:t>
      </w:r>
    </w:p>
    <w:p w:rsidR="006250E6" w:rsidRPr="00B662E4" w:rsidRDefault="006250E6" w:rsidP="006250E6">
      <w:pPr>
        <w:pStyle w:val="ListParagraph"/>
        <w:spacing w:after="0" w:line="240" w:lineRule="auto"/>
        <w:ind w:left="714"/>
        <w:jc w:val="both"/>
        <w:rPr>
          <w:sz w:val="22"/>
          <w:szCs w:val="22"/>
        </w:rPr>
      </w:pPr>
    </w:p>
    <w:p w:rsidR="004B2E74" w:rsidRPr="00FC11CD" w:rsidRDefault="001E3020" w:rsidP="00F35B2C">
      <w:pPr>
        <w:spacing w:after="0" w:line="360" w:lineRule="auto"/>
        <w:ind w:firstLine="714"/>
        <w:jc w:val="both"/>
      </w:pPr>
      <w:r w:rsidRPr="00FC11CD">
        <w:t>Of</w:t>
      </w:r>
      <w:r w:rsidR="00A24F0B" w:rsidRPr="00FC11CD">
        <w:t xml:space="preserve"> </w:t>
      </w:r>
      <w:r w:rsidRPr="00FC11CD">
        <w:t>significance</w:t>
      </w:r>
      <w:r w:rsidR="008469A5" w:rsidRPr="00FC11CD">
        <w:t xml:space="preserve"> from the above</w:t>
      </w:r>
      <w:r w:rsidR="00066A53" w:rsidRPr="00FC11CD">
        <w:t xml:space="preserve"> </w:t>
      </w:r>
      <w:r w:rsidRPr="00FC11CD">
        <w:t>is that</w:t>
      </w:r>
      <w:r w:rsidR="00A24F0B" w:rsidRPr="00FC11CD">
        <w:t xml:space="preserve"> </w:t>
      </w:r>
      <w:r w:rsidRPr="00FC11CD">
        <w:t>summary</w:t>
      </w:r>
      <w:r w:rsidR="00A24F0B" w:rsidRPr="00FC11CD">
        <w:t xml:space="preserve"> </w:t>
      </w:r>
      <w:r w:rsidRPr="00FC11CD">
        <w:t>judgment</w:t>
      </w:r>
      <w:r w:rsidR="00A24F0B" w:rsidRPr="00FC11CD">
        <w:t xml:space="preserve"> </w:t>
      </w:r>
      <w:r w:rsidRPr="00FC11CD">
        <w:t>can be applied</w:t>
      </w:r>
      <w:r w:rsidR="00A24F0B" w:rsidRPr="00FC11CD">
        <w:t xml:space="preserve"> </w:t>
      </w:r>
      <w:r w:rsidRPr="00FC11CD">
        <w:t>for</w:t>
      </w:r>
      <w:r w:rsidR="00A24F0B" w:rsidRPr="00FC11CD">
        <w:t xml:space="preserve"> </w:t>
      </w:r>
      <w:r w:rsidRPr="00FC11CD">
        <w:t>once</w:t>
      </w:r>
      <w:r w:rsidR="00A24F0B" w:rsidRPr="00FC11CD">
        <w:t xml:space="preserve"> </w:t>
      </w:r>
      <w:r w:rsidRPr="00FC11CD">
        <w:t>an appearance to defend</w:t>
      </w:r>
      <w:r w:rsidR="00A24F0B" w:rsidRPr="00FC11CD">
        <w:t xml:space="preserve"> </w:t>
      </w:r>
      <w:r w:rsidRPr="00FC11CD">
        <w:t>has</w:t>
      </w:r>
      <w:r w:rsidR="00A24F0B" w:rsidRPr="00FC11CD">
        <w:t xml:space="preserve"> </w:t>
      </w:r>
      <w:r w:rsidRPr="00FC11CD">
        <w:t>been</w:t>
      </w:r>
      <w:r w:rsidR="00A24F0B" w:rsidRPr="00FC11CD">
        <w:t xml:space="preserve"> </w:t>
      </w:r>
      <w:r w:rsidRPr="00FC11CD">
        <w:t>entered</w:t>
      </w:r>
      <w:r w:rsidR="004B2E74" w:rsidRPr="00FC11CD">
        <w:t>,</w:t>
      </w:r>
      <w:r w:rsidR="00A24F0B" w:rsidRPr="00FC11CD">
        <w:t xml:space="preserve"> </w:t>
      </w:r>
      <w:r w:rsidRPr="00FC11CD">
        <w:t>upon</w:t>
      </w:r>
      <w:r w:rsidR="00A24F0B" w:rsidRPr="00FC11CD">
        <w:t xml:space="preserve"> </w:t>
      </w:r>
      <w:r w:rsidR="00255F4F" w:rsidRPr="00FC11CD">
        <w:t>seven</w:t>
      </w:r>
      <w:r w:rsidRPr="00FC11CD">
        <w:t xml:space="preserve"> </w:t>
      </w:r>
      <w:r w:rsidR="00255F4F" w:rsidRPr="00FC11CD">
        <w:t>days’ notice</w:t>
      </w:r>
      <w:r w:rsidR="008469A5" w:rsidRPr="00FC11CD">
        <w:t xml:space="preserve"> to the other party</w:t>
      </w:r>
      <w:r w:rsidR="004B2E74" w:rsidRPr="00FC11CD">
        <w:t xml:space="preserve"> and at any time before the </w:t>
      </w:r>
      <w:r w:rsidR="00FC11CD" w:rsidRPr="00FC11CD">
        <w:t>pre-trial</w:t>
      </w:r>
      <w:r w:rsidR="004B2E74" w:rsidRPr="00FC11CD">
        <w:t xml:space="preserve"> </w:t>
      </w:r>
      <w:r w:rsidR="00FC11CD" w:rsidRPr="00FC11CD">
        <w:t>conference</w:t>
      </w:r>
      <w:r w:rsidR="00FC11CD">
        <w:t>.</w:t>
      </w:r>
      <w:r w:rsidRPr="00FC11CD">
        <w:t xml:space="preserve"> </w:t>
      </w:r>
      <w:r w:rsidR="00BE3296" w:rsidRPr="00FC11CD">
        <w:t>It is the entrance of an</w:t>
      </w:r>
      <w:r w:rsidR="00A24F0B" w:rsidRPr="00FC11CD">
        <w:t xml:space="preserve"> </w:t>
      </w:r>
      <w:r w:rsidR="00BE3296" w:rsidRPr="00FC11CD">
        <w:t>appearance to defend which</w:t>
      </w:r>
      <w:r w:rsidR="00A24F0B" w:rsidRPr="00FC11CD">
        <w:t xml:space="preserve"> </w:t>
      </w:r>
      <w:r w:rsidR="00BE3296" w:rsidRPr="00FC11CD">
        <w:t>can trigger an</w:t>
      </w:r>
      <w:r w:rsidR="00A24F0B" w:rsidRPr="00FC11CD">
        <w:t xml:space="preserve"> </w:t>
      </w:r>
      <w:r w:rsidR="00BE3296" w:rsidRPr="00FC11CD">
        <w:t>application by</w:t>
      </w:r>
      <w:r w:rsidR="00A24F0B" w:rsidRPr="00FC11CD">
        <w:t xml:space="preserve"> </w:t>
      </w:r>
      <w:r w:rsidR="00BE3296" w:rsidRPr="00FC11CD">
        <w:t xml:space="preserve">the </w:t>
      </w:r>
      <w:r w:rsidR="00255F4F" w:rsidRPr="00FC11CD">
        <w:t>plaintiff</w:t>
      </w:r>
      <w:r w:rsidR="00BE3296" w:rsidRPr="00FC11CD">
        <w:t xml:space="preserve"> for summary</w:t>
      </w:r>
      <w:r w:rsidR="00A24F0B" w:rsidRPr="00FC11CD">
        <w:t xml:space="preserve"> </w:t>
      </w:r>
      <w:r w:rsidR="00BE3296" w:rsidRPr="00FC11CD">
        <w:t>judgment</w:t>
      </w:r>
      <w:r w:rsidR="00561795">
        <w:t xml:space="preserve"> where the</w:t>
      </w:r>
      <w:r w:rsidR="003716A6">
        <w:t xml:space="preserve"> </w:t>
      </w:r>
      <w:r w:rsidR="00561795">
        <w:t>plaintiff</w:t>
      </w:r>
      <w:r w:rsidR="003716A6">
        <w:t xml:space="preserve"> </w:t>
      </w:r>
      <w:r w:rsidR="00561795">
        <w:t>is of the view</w:t>
      </w:r>
      <w:r w:rsidR="003716A6">
        <w:t xml:space="preserve"> </w:t>
      </w:r>
      <w:r w:rsidR="00561795">
        <w:t>that the</w:t>
      </w:r>
      <w:r w:rsidR="003716A6">
        <w:t xml:space="preserve"> </w:t>
      </w:r>
      <w:r w:rsidR="00561795">
        <w:t>appearance to</w:t>
      </w:r>
      <w:r w:rsidR="003716A6">
        <w:t xml:space="preserve"> </w:t>
      </w:r>
      <w:r w:rsidR="00561795">
        <w:t>defend has no</w:t>
      </w:r>
      <w:r w:rsidR="003716A6">
        <w:t xml:space="preserve"> </w:t>
      </w:r>
      <w:r w:rsidR="00561795">
        <w:t>merit</w:t>
      </w:r>
      <w:r w:rsidR="00BE3296" w:rsidRPr="00FC11CD">
        <w:t>. The</w:t>
      </w:r>
      <w:r w:rsidR="00A24F0B" w:rsidRPr="00FC11CD">
        <w:t xml:space="preserve"> </w:t>
      </w:r>
      <w:r w:rsidR="00BE3296" w:rsidRPr="00FC11CD">
        <w:t xml:space="preserve">fact that no plea </w:t>
      </w:r>
      <w:r w:rsidR="008C633C">
        <w:t xml:space="preserve">was </w:t>
      </w:r>
      <w:r w:rsidR="00BE3296" w:rsidRPr="00FC11CD">
        <w:t>filed is neither here nor there as what is important is that the claim must be clear and unanswerable.</w:t>
      </w:r>
      <w:r w:rsidR="000E1D28" w:rsidRPr="00FC11CD">
        <w:t xml:space="preserve"> </w:t>
      </w:r>
      <w:r w:rsidR="00272AE5">
        <w:t>T</w:t>
      </w:r>
      <w:r w:rsidR="00272AE5" w:rsidRPr="00FC11CD">
        <w:t>he argument by the appellant that he was awaiting further particulars in order to file a special plea was neither here nor there as that in itself was not a bar to an application for summary judgment by the respondent as plaintiff.</w:t>
      </w:r>
      <w:r w:rsidR="00272AE5">
        <w:t xml:space="preserve"> </w:t>
      </w:r>
      <w:r w:rsidR="000E1D28" w:rsidRPr="00FC11CD">
        <w:t>The</w:t>
      </w:r>
      <w:r w:rsidR="00A24F0B" w:rsidRPr="00FC11CD">
        <w:t xml:space="preserve"> </w:t>
      </w:r>
      <w:r w:rsidR="000E1D28" w:rsidRPr="00FC11CD">
        <w:t>important</w:t>
      </w:r>
      <w:r w:rsidR="00A24F0B" w:rsidRPr="00FC11CD">
        <w:t xml:space="preserve"> </w:t>
      </w:r>
      <w:r w:rsidR="000E1D28" w:rsidRPr="00FC11CD">
        <w:t>point is that</w:t>
      </w:r>
      <w:r w:rsidR="00A24F0B" w:rsidRPr="00FC11CD">
        <w:t xml:space="preserve"> </w:t>
      </w:r>
      <w:r w:rsidR="008469A5" w:rsidRPr="00FC11CD">
        <w:t>t</w:t>
      </w:r>
      <w:r w:rsidR="000E1D28" w:rsidRPr="00FC11CD">
        <w:t>he</w:t>
      </w:r>
      <w:r w:rsidR="00066A53" w:rsidRPr="00FC11CD">
        <w:t xml:space="preserve"> </w:t>
      </w:r>
      <w:r w:rsidR="008469A5" w:rsidRPr="00FC11CD">
        <w:t xml:space="preserve">appellant </w:t>
      </w:r>
      <w:r w:rsidR="000E1D28" w:rsidRPr="00FC11CD">
        <w:t>had</w:t>
      </w:r>
      <w:r w:rsidR="00A24F0B" w:rsidRPr="00FC11CD">
        <w:t xml:space="preserve"> </w:t>
      </w:r>
      <w:r w:rsidR="000E1D28" w:rsidRPr="00FC11CD">
        <w:t>n</w:t>
      </w:r>
      <w:r w:rsidR="008469A5" w:rsidRPr="00FC11CD">
        <w:t>o</w:t>
      </w:r>
      <w:r w:rsidR="000E1D28" w:rsidRPr="00FC11CD">
        <w:t xml:space="preserve"> defence</w:t>
      </w:r>
      <w:r w:rsidR="003716A6">
        <w:t xml:space="preserve"> </w:t>
      </w:r>
      <w:r w:rsidR="00272AE5">
        <w:t xml:space="preserve">to </w:t>
      </w:r>
      <w:r w:rsidR="000E1D28" w:rsidRPr="00FC11CD">
        <w:t>the actual</w:t>
      </w:r>
      <w:r w:rsidR="00A24F0B" w:rsidRPr="00FC11CD">
        <w:t xml:space="preserve"> </w:t>
      </w:r>
      <w:r w:rsidR="000E1D28" w:rsidRPr="00FC11CD">
        <w:t>merits of the claim and</w:t>
      </w:r>
      <w:r w:rsidR="008469A5" w:rsidRPr="00FC11CD">
        <w:t xml:space="preserve"> as</w:t>
      </w:r>
      <w:r w:rsidR="00066A53" w:rsidRPr="00FC11CD">
        <w:t xml:space="preserve"> </w:t>
      </w:r>
      <w:r w:rsidR="008469A5" w:rsidRPr="00FC11CD">
        <w:t>such</w:t>
      </w:r>
      <w:r w:rsidR="000E1D28" w:rsidRPr="00FC11CD">
        <w:t xml:space="preserve"> the</w:t>
      </w:r>
      <w:r w:rsidR="00A24F0B" w:rsidRPr="00FC11CD">
        <w:t xml:space="preserve"> </w:t>
      </w:r>
      <w:r w:rsidR="000E1D28" w:rsidRPr="00FC11CD">
        <w:t>lower</w:t>
      </w:r>
      <w:r w:rsidR="00A24F0B" w:rsidRPr="00FC11CD">
        <w:t xml:space="preserve"> </w:t>
      </w:r>
      <w:r w:rsidR="000E1D28" w:rsidRPr="00FC11CD">
        <w:t>court</w:t>
      </w:r>
      <w:r w:rsidR="00A24F0B" w:rsidRPr="00FC11CD">
        <w:t xml:space="preserve"> </w:t>
      </w:r>
      <w:r w:rsidR="000E1D28" w:rsidRPr="00FC11CD">
        <w:t>did not</w:t>
      </w:r>
      <w:r w:rsidR="00A24F0B" w:rsidRPr="00FC11CD">
        <w:t xml:space="preserve"> </w:t>
      </w:r>
      <w:r w:rsidR="000E1D28" w:rsidRPr="00FC11CD">
        <w:t>err</w:t>
      </w:r>
      <w:r w:rsidR="00A24F0B" w:rsidRPr="00FC11CD">
        <w:t xml:space="preserve"> </w:t>
      </w:r>
      <w:r w:rsidR="000E1D28" w:rsidRPr="00FC11CD">
        <w:t>when it made</w:t>
      </w:r>
      <w:r w:rsidR="00A24F0B" w:rsidRPr="00FC11CD">
        <w:t xml:space="preserve"> </w:t>
      </w:r>
      <w:r w:rsidR="000E1D28" w:rsidRPr="00FC11CD">
        <w:t>this</w:t>
      </w:r>
      <w:r w:rsidR="00A24F0B" w:rsidRPr="00FC11CD">
        <w:t xml:space="preserve"> </w:t>
      </w:r>
      <w:r w:rsidR="000E1D28" w:rsidRPr="00FC11CD">
        <w:t>finding that</w:t>
      </w:r>
      <w:r w:rsidR="00A24F0B" w:rsidRPr="00FC11CD">
        <w:t xml:space="preserve"> </w:t>
      </w:r>
      <w:r w:rsidR="000E1D28" w:rsidRPr="00FC11CD">
        <w:t>there</w:t>
      </w:r>
      <w:r w:rsidR="00A24F0B" w:rsidRPr="00FC11CD">
        <w:t xml:space="preserve"> </w:t>
      </w:r>
      <w:r w:rsidR="000E1D28" w:rsidRPr="00FC11CD">
        <w:t>was</w:t>
      </w:r>
      <w:r w:rsidR="00A24F0B" w:rsidRPr="00FC11CD">
        <w:t xml:space="preserve"> </w:t>
      </w:r>
      <w:r w:rsidR="000E1D28" w:rsidRPr="00FC11CD">
        <w:t>no</w:t>
      </w:r>
      <w:r w:rsidR="00A24F0B" w:rsidRPr="00FC11CD">
        <w:t xml:space="preserve"> </w:t>
      </w:r>
      <w:r w:rsidR="000E1D28" w:rsidRPr="00FC11CD">
        <w:t>defence</w:t>
      </w:r>
      <w:r w:rsidR="00561795">
        <w:t>, even</w:t>
      </w:r>
      <w:r w:rsidR="003716A6">
        <w:t xml:space="preserve"> </w:t>
      </w:r>
      <w:r w:rsidR="00561795">
        <w:rPr>
          <w:i/>
        </w:rPr>
        <w:t xml:space="preserve">prima facie, </w:t>
      </w:r>
      <w:r w:rsidR="000E1D28" w:rsidRPr="00FC11CD">
        <w:t>proffered on the</w:t>
      </w:r>
      <w:r w:rsidR="00A24F0B" w:rsidRPr="00FC11CD">
        <w:t xml:space="preserve"> </w:t>
      </w:r>
      <w:r w:rsidR="000E1D28" w:rsidRPr="00FC11CD">
        <w:t>merits.</w:t>
      </w:r>
      <w:r w:rsidR="00A24F0B" w:rsidRPr="00FC11CD">
        <w:t xml:space="preserve"> </w:t>
      </w:r>
    </w:p>
    <w:p w:rsidR="00893673" w:rsidRDefault="004B2E74" w:rsidP="00F35B2C">
      <w:pPr>
        <w:spacing w:after="0" w:line="360" w:lineRule="auto"/>
        <w:ind w:firstLine="714"/>
        <w:jc w:val="both"/>
      </w:pPr>
      <w:r w:rsidRPr="00FC11CD">
        <w:t>Th</w:t>
      </w:r>
      <w:r w:rsidR="00561795">
        <w:t>e</w:t>
      </w:r>
      <w:r w:rsidR="00FB0D6A" w:rsidRPr="00FC11CD">
        <w:t xml:space="preserve"> issue </w:t>
      </w:r>
      <w:r w:rsidR="0049065E" w:rsidRPr="00FC11CD">
        <w:t xml:space="preserve">that the court </w:t>
      </w:r>
      <w:r w:rsidR="0049065E" w:rsidRPr="006250E6">
        <w:rPr>
          <w:i/>
        </w:rPr>
        <w:t>a quo</w:t>
      </w:r>
      <w:r w:rsidR="0049065E" w:rsidRPr="00FC11CD">
        <w:t xml:space="preserve"> erred in granting relief in favour of a non-existing entity was adequately</w:t>
      </w:r>
      <w:r w:rsidR="00A24F0B" w:rsidRPr="00FC11CD">
        <w:t xml:space="preserve"> </w:t>
      </w:r>
      <w:r w:rsidR="0049065E" w:rsidRPr="00FC11CD">
        <w:t>analysed</w:t>
      </w:r>
      <w:r w:rsidR="00A24F0B" w:rsidRPr="00FC11CD">
        <w:t xml:space="preserve"> </w:t>
      </w:r>
      <w:r w:rsidR="0049065E" w:rsidRPr="00FC11CD">
        <w:t>by the</w:t>
      </w:r>
      <w:r w:rsidR="00A24F0B" w:rsidRPr="00FC11CD">
        <w:t xml:space="preserve"> </w:t>
      </w:r>
      <w:r w:rsidR="0049065E" w:rsidRPr="00FC11CD">
        <w:t>court</w:t>
      </w:r>
      <w:r w:rsidR="00A24F0B" w:rsidRPr="00FC11CD">
        <w:t xml:space="preserve"> </w:t>
      </w:r>
      <w:r w:rsidR="0049065E" w:rsidRPr="00FC11CD">
        <w:t>below in its</w:t>
      </w:r>
      <w:r w:rsidR="00A24F0B" w:rsidRPr="00FC11CD">
        <w:t xml:space="preserve"> </w:t>
      </w:r>
      <w:r w:rsidR="00255F4F" w:rsidRPr="00FC11CD">
        <w:t>reasons</w:t>
      </w:r>
      <w:r w:rsidR="0049065E" w:rsidRPr="00FC11CD">
        <w:t xml:space="preserve"> </w:t>
      </w:r>
      <w:r w:rsidR="00255F4F" w:rsidRPr="00FC11CD">
        <w:t>for</w:t>
      </w:r>
      <w:r w:rsidR="00A24F0B" w:rsidRPr="00FC11CD">
        <w:t xml:space="preserve"> </w:t>
      </w:r>
      <w:r w:rsidR="0049065E" w:rsidRPr="00FC11CD">
        <w:t>judgment</w:t>
      </w:r>
      <w:r w:rsidR="00BB23DE" w:rsidRPr="00FC11CD">
        <w:t xml:space="preserve"> when it</w:t>
      </w:r>
      <w:r w:rsidR="00A24F0B" w:rsidRPr="00FC11CD">
        <w:t xml:space="preserve"> </w:t>
      </w:r>
      <w:r w:rsidR="00BB23DE" w:rsidRPr="00FC11CD">
        <w:t>found that</w:t>
      </w:r>
      <w:r w:rsidR="00A24F0B" w:rsidRPr="00FC11CD">
        <w:t xml:space="preserve"> </w:t>
      </w:r>
      <w:r w:rsidR="00BB23DE" w:rsidRPr="00FC11CD">
        <w:t>point</w:t>
      </w:r>
      <w:r w:rsidR="00A24F0B" w:rsidRPr="00FC11CD">
        <w:t xml:space="preserve"> </w:t>
      </w:r>
      <w:r w:rsidR="00BB23DE" w:rsidRPr="00FC11CD">
        <w:t>lacking in merit because the only difference in the name</w:t>
      </w:r>
      <w:r w:rsidR="00A24F0B" w:rsidRPr="00FC11CD">
        <w:t xml:space="preserve"> </w:t>
      </w:r>
      <w:r w:rsidR="00BB23DE" w:rsidRPr="00FC11CD">
        <w:t>was the gap between Maggio and Centre.</w:t>
      </w:r>
      <w:r w:rsidR="00893673">
        <w:t xml:space="preserve"> As the lower</w:t>
      </w:r>
      <w:r w:rsidR="003716A6">
        <w:t xml:space="preserve"> </w:t>
      </w:r>
      <w:r w:rsidR="00893673">
        <w:t>court reasoned</w:t>
      </w:r>
      <w:r w:rsidR="003716A6">
        <w:t xml:space="preserve"> </w:t>
      </w:r>
      <w:r w:rsidR="00893673">
        <w:t>in dismissing</w:t>
      </w:r>
      <w:r w:rsidR="003716A6">
        <w:t xml:space="preserve"> </w:t>
      </w:r>
      <w:r w:rsidR="00893673">
        <w:t xml:space="preserve">the point </w:t>
      </w:r>
      <w:r w:rsidR="00893673" w:rsidRPr="008C633C">
        <w:rPr>
          <w:i/>
        </w:rPr>
        <w:t>in limine</w:t>
      </w:r>
      <w:r w:rsidR="00893673">
        <w:t>:</w:t>
      </w:r>
    </w:p>
    <w:p w:rsidR="00893673" w:rsidRPr="00254982" w:rsidRDefault="000D14A2" w:rsidP="006F744E">
      <w:pPr>
        <w:spacing w:after="0" w:line="240" w:lineRule="auto"/>
        <w:ind w:left="714"/>
        <w:jc w:val="both"/>
        <w:rPr>
          <w:sz w:val="22"/>
          <w:szCs w:val="22"/>
        </w:rPr>
      </w:pPr>
      <w:r w:rsidRPr="00254982">
        <w:rPr>
          <w:sz w:val="22"/>
          <w:szCs w:val="22"/>
        </w:rPr>
        <w:t>“</w:t>
      </w:r>
      <w:r w:rsidR="00893673" w:rsidRPr="00254982">
        <w:rPr>
          <w:sz w:val="22"/>
          <w:szCs w:val="22"/>
        </w:rPr>
        <w:t>However,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I believe the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argument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raised has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no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merit. The gap lef</w:t>
      </w:r>
      <w:r w:rsidRPr="00254982">
        <w:rPr>
          <w:sz w:val="22"/>
          <w:szCs w:val="22"/>
        </w:rPr>
        <w:t>t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between the word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Maggio &amp;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Centre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does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not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make h</w:t>
      </w:r>
      <w:r w:rsidRPr="00254982">
        <w:rPr>
          <w:sz w:val="22"/>
          <w:szCs w:val="22"/>
        </w:rPr>
        <w:t>i</w:t>
      </w:r>
      <w:r w:rsidR="00893673" w:rsidRPr="00254982">
        <w:rPr>
          <w:sz w:val="22"/>
          <w:szCs w:val="22"/>
        </w:rPr>
        <w:t>m different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entities. The same parties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have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appeared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in court before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on</w:t>
      </w:r>
      <w:r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a different matter. According to an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order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attached by the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Applicant the same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parties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appeared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in cour</w:t>
      </w:r>
      <w:r w:rsidRPr="00254982">
        <w:rPr>
          <w:sz w:val="22"/>
          <w:szCs w:val="22"/>
        </w:rPr>
        <w:t>t</w:t>
      </w:r>
      <w:r w:rsidR="00893673" w:rsidRPr="00254982">
        <w:rPr>
          <w:sz w:val="22"/>
          <w:szCs w:val="22"/>
        </w:rPr>
        <w:t xml:space="preserve"> under ca</w:t>
      </w:r>
      <w:r w:rsidRPr="00254982">
        <w:rPr>
          <w:sz w:val="22"/>
          <w:szCs w:val="22"/>
        </w:rPr>
        <w:t>s</w:t>
      </w:r>
      <w:r w:rsidR="00893673" w:rsidRPr="00254982">
        <w:rPr>
          <w:sz w:val="22"/>
          <w:szCs w:val="22"/>
        </w:rPr>
        <w:t>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number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29839/18 where in the applicant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got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an order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for</w:t>
      </w:r>
      <w:r w:rsidR="00893673" w:rsidRPr="00254982">
        <w:rPr>
          <w:sz w:val="22"/>
          <w:szCs w:val="22"/>
        </w:rPr>
        <w:t xml:space="preserve"> an Interdict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 xml:space="preserve">against </w:t>
      </w:r>
      <w:r w:rsidR="00893673" w:rsidRPr="00254982">
        <w:rPr>
          <w:sz w:val="22"/>
          <w:szCs w:val="22"/>
        </w:rPr>
        <w:lastRenderedPageBreak/>
        <w:t>the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Respondent.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I d</w:t>
      </w:r>
      <w:r w:rsidRPr="00254982">
        <w:rPr>
          <w:sz w:val="22"/>
          <w:szCs w:val="22"/>
        </w:rPr>
        <w:t>o</w:t>
      </w:r>
      <w:r w:rsidR="00893673" w:rsidRPr="00254982">
        <w:rPr>
          <w:sz w:val="22"/>
          <w:szCs w:val="22"/>
        </w:rPr>
        <w:t xml:space="preserve"> not believe the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way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the name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of the Applicant</w:t>
      </w:r>
      <w:r w:rsidR="003716A6" w:rsidRPr="00254982">
        <w:rPr>
          <w:sz w:val="22"/>
          <w:szCs w:val="22"/>
        </w:rPr>
        <w:t xml:space="preserve"> </w:t>
      </w:r>
      <w:r w:rsidR="00893673" w:rsidRPr="00254982">
        <w:rPr>
          <w:sz w:val="22"/>
          <w:szCs w:val="22"/>
        </w:rPr>
        <w:t>has been written on the summons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renders the curt application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defective. It cannot be said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that the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Applicant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 xml:space="preserve">is </w:t>
      </w:r>
      <w:r w:rsidR="003716A6" w:rsidRPr="00254982">
        <w:rPr>
          <w:sz w:val="22"/>
          <w:szCs w:val="22"/>
        </w:rPr>
        <w:t>non-existent</w:t>
      </w:r>
      <w:r w:rsidRPr="00254982">
        <w:rPr>
          <w:sz w:val="22"/>
          <w:szCs w:val="22"/>
        </w:rPr>
        <w:t xml:space="preserve"> simply because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when the name was written, a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gap was created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between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Maggio &amp;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Centre when it is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clear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that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in some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processes it is written as a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single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word.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Even with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that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gap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being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there, the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name is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 xml:space="preserve">still pronounced and sounds the same. The point </w:t>
      </w:r>
      <w:r w:rsidRPr="00254982">
        <w:rPr>
          <w:i/>
          <w:sz w:val="22"/>
          <w:szCs w:val="22"/>
        </w:rPr>
        <w:t>in limine</w:t>
      </w:r>
      <w:r w:rsidR="003716A6" w:rsidRPr="00254982">
        <w:rPr>
          <w:sz w:val="22"/>
          <w:szCs w:val="22"/>
        </w:rPr>
        <w:t xml:space="preserve"> </w:t>
      </w:r>
      <w:r w:rsidRPr="00254982">
        <w:rPr>
          <w:sz w:val="22"/>
          <w:szCs w:val="22"/>
        </w:rPr>
        <w:t>is hereby dismissed.”</w:t>
      </w:r>
    </w:p>
    <w:p w:rsidR="008C633C" w:rsidRDefault="008C633C" w:rsidP="006F744E">
      <w:pPr>
        <w:spacing w:after="0" w:line="360" w:lineRule="auto"/>
        <w:ind w:firstLine="714"/>
        <w:jc w:val="both"/>
      </w:pPr>
    </w:p>
    <w:p w:rsidR="00D5673B" w:rsidRPr="00FC11CD" w:rsidRDefault="00721EAF" w:rsidP="006F744E">
      <w:pPr>
        <w:spacing w:after="0" w:line="360" w:lineRule="auto"/>
        <w:ind w:firstLine="714"/>
        <w:jc w:val="both"/>
      </w:pPr>
      <w:r w:rsidRPr="00FC11CD">
        <w:t>Indeed as</w:t>
      </w:r>
      <w:r w:rsidR="00066A53" w:rsidRPr="00FC11CD">
        <w:t xml:space="preserve"> </w:t>
      </w:r>
      <w:r w:rsidRPr="00FC11CD">
        <w:t>stated in the</w:t>
      </w:r>
      <w:r w:rsidR="00066A53" w:rsidRPr="00FC11CD">
        <w:t xml:space="preserve"> </w:t>
      </w:r>
      <w:r w:rsidR="00BA7E12" w:rsidRPr="00FC11CD">
        <w:t>c</w:t>
      </w:r>
      <w:r w:rsidRPr="00FC11CD">
        <w:t>ase of</w:t>
      </w:r>
      <w:r w:rsidR="00066A53" w:rsidRPr="00FC11CD">
        <w:t xml:space="preserve"> </w:t>
      </w:r>
      <w:r w:rsidRPr="00FC11CD">
        <w:rPr>
          <w:i/>
        </w:rPr>
        <w:t>Masu</w:t>
      </w:r>
      <w:r w:rsidR="00D5673B" w:rsidRPr="00FC11CD">
        <w:rPr>
          <w:i/>
        </w:rPr>
        <w:t>k</w:t>
      </w:r>
      <w:r w:rsidRPr="00FC11CD">
        <w:rPr>
          <w:i/>
        </w:rPr>
        <w:t>u</w:t>
      </w:r>
      <w:r w:rsidR="00066A53" w:rsidRPr="00FC11CD">
        <w:rPr>
          <w:i/>
        </w:rPr>
        <w:t xml:space="preserve"> </w:t>
      </w:r>
      <w:r w:rsidRPr="006C593B">
        <w:t>v</w:t>
      </w:r>
      <w:r w:rsidRPr="00FC11CD">
        <w:rPr>
          <w:i/>
        </w:rPr>
        <w:t xml:space="preserve"> Delta Beverages</w:t>
      </w:r>
      <w:r w:rsidR="00066A53" w:rsidRPr="00FC11CD">
        <w:t xml:space="preserve"> </w:t>
      </w:r>
      <w:r w:rsidRPr="00FC11CD">
        <w:t>HB 172/12</w:t>
      </w:r>
      <w:r w:rsidR="004B2E74" w:rsidRPr="00FC11CD">
        <w:t xml:space="preserve">, </w:t>
      </w:r>
      <w:r w:rsidRPr="00FC11CD">
        <w:t>even</w:t>
      </w:r>
      <w:r w:rsidR="00066A53" w:rsidRPr="00FC11CD">
        <w:t xml:space="preserve"> </w:t>
      </w:r>
      <w:r w:rsidRPr="00FC11CD">
        <w:t>where there has</w:t>
      </w:r>
      <w:r w:rsidR="00066A53" w:rsidRPr="00FC11CD">
        <w:t xml:space="preserve"> </w:t>
      </w:r>
      <w:r w:rsidRPr="00FC11CD">
        <w:t>been an inaccuracy</w:t>
      </w:r>
      <w:r w:rsidR="00066A53" w:rsidRPr="00FC11CD">
        <w:t xml:space="preserve"> </w:t>
      </w:r>
      <w:r w:rsidRPr="00FC11CD">
        <w:t>in</w:t>
      </w:r>
      <w:r w:rsidR="00066A53" w:rsidRPr="00FC11CD">
        <w:t xml:space="preserve"> </w:t>
      </w:r>
      <w:r w:rsidRPr="00FC11CD">
        <w:t>the</w:t>
      </w:r>
      <w:r w:rsidR="00066A53" w:rsidRPr="00FC11CD">
        <w:t xml:space="preserve"> </w:t>
      </w:r>
      <w:r w:rsidRPr="00FC11CD">
        <w:t>identification of a party</w:t>
      </w:r>
      <w:r w:rsidR="00066A53" w:rsidRPr="00FC11CD">
        <w:t xml:space="preserve"> </w:t>
      </w:r>
      <w:r w:rsidRPr="00FC11CD">
        <w:t>ci</w:t>
      </w:r>
      <w:r w:rsidR="00BA7E12" w:rsidRPr="00FC11CD">
        <w:t>t</w:t>
      </w:r>
      <w:r w:rsidRPr="00FC11CD">
        <w:t>ed,</w:t>
      </w:r>
      <w:r w:rsidR="00066A53" w:rsidRPr="00FC11CD">
        <w:t xml:space="preserve"> </w:t>
      </w:r>
      <w:r w:rsidRPr="00FC11CD">
        <w:t>if</w:t>
      </w:r>
      <w:r w:rsidR="00066A53" w:rsidRPr="00FC11CD">
        <w:t xml:space="preserve"> </w:t>
      </w:r>
      <w:r w:rsidRPr="00FC11CD">
        <w:t>a</w:t>
      </w:r>
      <w:r w:rsidR="00BA7E12" w:rsidRPr="00FC11CD">
        <w:t xml:space="preserve"> </w:t>
      </w:r>
      <w:r w:rsidRPr="00FC11CD">
        <w:t>party is</w:t>
      </w:r>
      <w:r w:rsidR="00066A53" w:rsidRPr="00FC11CD">
        <w:t xml:space="preserve"> </w:t>
      </w:r>
      <w:r w:rsidRPr="00FC11CD">
        <w:t>n</w:t>
      </w:r>
      <w:r w:rsidR="00BA7E12" w:rsidRPr="00FC11CD">
        <w:t>e</w:t>
      </w:r>
      <w:r w:rsidRPr="00FC11CD">
        <w:t>verthel</w:t>
      </w:r>
      <w:r w:rsidR="00BA7E12" w:rsidRPr="00FC11CD">
        <w:t>e</w:t>
      </w:r>
      <w:r w:rsidRPr="00FC11CD">
        <w:t>ss</w:t>
      </w:r>
      <w:r w:rsidR="00066A53" w:rsidRPr="00FC11CD">
        <w:t xml:space="preserve"> </w:t>
      </w:r>
      <w:r w:rsidRPr="00FC11CD">
        <w:t>poin</w:t>
      </w:r>
      <w:r w:rsidR="00BA7E12" w:rsidRPr="00FC11CD">
        <w:t>t</w:t>
      </w:r>
      <w:r w:rsidRPr="00FC11CD">
        <w:t>ed out</w:t>
      </w:r>
      <w:r w:rsidR="00066A53" w:rsidRPr="00FC11CD">
        <w:t xml:space="preserve"> </w:t>
      </w:r>
      <w:r w:rsidRPr="00FC11CD">
        <w:t>with</w:t>
      </w:r>
      <w:r w:rsidR="00066A53" w:rsidRPr="00FC11CD">
        <w:t xml:space="preserve"> </w:t>
      </w:r>
      <w:r w:rsidRPr="00FC11CD">
        <w:t>su</w:t>
      </w:r>
      <w:r w:rsidR="00BA7E12" w:rsidRPr="00FC11CD">
        <w:t>f</w:t>
      </w:r>
      <w:r w:rsidRPr="00FC11CD">
        <w:t>fic</w:t>
      </w:r>
      <w:r w:rsidR="00BA7E12" w:rsidRPr="00FC11CD">
        <w:t>i</w:t>
      </w:r>
      <w:r w:rsidRPr="00FC11CD">
        <w:t>ent</w:t>
      </w:r>
      <w:r w:rsidR="00066A53" w:rsidRPr="00FC11CD">
        <w:t xml:space="preserve"> </w:t>
      </w:r>
      <w:r w:rsidRPr="00FC11CD">
        <w:t>accuracy</w:t>
      </w:r>
      <w:r w:rsidR="00066A53" w:rsidRPr="00FC11CD">
        <w:t xml:space="preserve"> </w:t>
      </w:r>
      <w:r w:rsidRPr="00FC11CD">
        <w:t>to</w:t>
      </w:r>
      <w:r w:rsidR="00066A53" w:rsidRPr="00FC11CD">
        <w:t xml:space="preserve"> </w:t>
      </w:r>
      <w:r w:rsidRPr="00FC11CD">
        <w:t>enable</w:t>
      </w:r>
      <w:r w:rsidR="003716A6">
        <w:t xml:space="preserve"> it </w:t>
      </w:r>
      <w:r w:rsidR="00BA7E12" w:rsidRPr="00FC11CD">
        <w:t>to be</w:t>
      </w:r>
      <w:r w:rsidR="004B2E74" w:rsidRPr="00FC11CD">
        <w:t xml:space="preserve"> </w:t>
      </w:r>
      <w:r w:rsidR="00BA7E12" w:rsidRPr="00FC11CD">
        <w:t xml:space="preserve">correctly </w:t>
      </w:r>
      <w:r w:rsidRPr="00FC11CD">
        <w:t>id</w:t>
      </w:r>
      <w:r w:rsidR="00BA7E12" w:rsidRPr="00FC11CD">
        <w:t>entified</w:t>
      </w:r>
      <w:r w:rsidR="003716A6">
        <w:t>, that</w:t>
      </w:r>
      <w:r w:rsidRPr="00FC11CD">
        <w:t xml:space="preserve"> process</w:t>
      </w:r>
      <w:r w:rsidR="00066A53" w:rsidRPr="00FC11CD">
        <w:t xml:space="preserve"> </w:t>
      </w:r>
      <w:r w:rsidRPr="00FC11CD">
        <w:t>is valid.</w:t>
      </w:r>
      <w:r w:rsidR="00D5673B" w:rsidRPr="00FC11CD">
        <w:t xml:space="preserve"> In that</w:t>
      </w:r>
      <w:r w:rsidR="00066A53" w:rsidRPr="00FC11CD">
        <w:t xml:space="preserve"> </w:t>
      </w:r>
      <w:r w:rsidR="00D5673B" w:rsidRPr="00FC11CD">
        <w:t>case</w:t>
      </w:r>
      <w:r w:rsidR="00BA7E12" w:rsidRPr="00FC11CD">
        <w:t>,</w:t>
      </w:r>
      <w:r w:rsidR="00D5673B" w:rsidRPr="00FC11CD">
        <w:rPr>
          <w:i/>
        </w:rPr>
        <w:t xml:space="preserve"> Delta</w:t>
      </w:r>
      <w:r w:rsidR="00066A53" w:rsidRPr="00FC11CD">
        <w:rPr>
          <w:i/>
        </w:rPr>
        <w:t xml:space="preserve"> </w:t>
      </w:r>
      <w:r w:rsidR="00D5673B" w:rsidRPr="00FC11CD">
        <w:rPr>
          <w:i/>
        </w:rPr>
        <w:t>Beverages</w:t>
      </w:r>
      <w:r w:rsidR="00066A53" w:rsidRPr="00FC11CD">
        <w:rPr>
          <w:i/>
        </w:rPr>
        <w:t xml:space="preserve"> </w:t>
      </w:r>
      <w:r w:rsidR="00BA7E12" w:rsidRPr="00FC11CD">
        <w:rPr>
          <w:i/>
        </w:rPr>
        <w:t>(</w:t>
      </w:r>
      <w:r w:rsidR="00D5673B" w:rsidRPr="00FC11CD">
        <w:rPr>
          <w:i/>
        </w:rPr>
        <w:t>Pvt</w:t>
      </w:r>
      <w:r w:rsidR="00BA7E12" w:rsidRPr="00FC11CD">
        <w:rPr>
          <w:i/>
        </w:rPr>
        <w:t>)</w:t>
      </w:r>
      <w:r w:rsidR="00D5673B" w:rsidRPr="00FC11CD">
        <w:rPr>
          <w:i/>
        </w:rPr>
        <w:t xml:space="preserve"> Ltd</w:t>
      </w:r>
      <w:r w:rsidR="00066A53" w:rsidRPr="00FC11CD">
        <w:t xml:space="preserve"> </w:t>
      </w:r>
      <w:r w:rsidR="00D5673B" w:rsidRPr="00FC11CD">
        <w:t>had been cited as</w:t>
      </w:r>
      <w:r w:rsidR="00066A53" w:rsidRPr="00FC11CD">
        <w:t xml:space="preserve"> </w:t>
      </w:r>
      <w:r w:rsidR="00D5673B" w:rsidRPr="006250E6">
        <w:rPr>
          <w:i/>
        </w:rPr>
        <w:t>Delta Beverages</w:t>
      </w:r>
      <w:r w:rsidR="00D5673B" w:rsidRPr="00FC11CD">
        <w:t>.</w:t>
      </w:r>
      <w:r w:rsidR="00066A53" w:rsidRPr="00FC11CD">
        <w:t xml:space="preserve"> </w:t>
      </w:r>
      <w:r w:rsidR="00D5673B" w:rsidRPr="00FC11CD">
        <w:t>The</w:t>
      </w:r>
      <w:r w:rsidR="00066A53" w:rsidRPr="00FC11CD">
        <w:t xml:space="preserve"> </w:t>
      </w:r>
      <w:r w:rsidR="00D5673B" w:rsidRPr="00FC11CD">
        <w:t>court</w:t>
      </w:r>
      <w:r w:rsidR="00066A53" w:rsidRPr="00FC11CD">
        <w:t xml:space="preserve"> </w:t>
      </w:r>
      <w:r w:rsidR="00D5673B" w:rsidRPr="00FC11CD">
        <w:t>stated</w:t>
      </w:r>
      <w:r w:rsidR="00066A53" w:rsidRPr="00FC11CD">
        <w:t xml:space="preserve"> </w:t>
      </w:r>
      <w:r w:rsidR="00D5673B" w:rsidRPr="00FC11CD">
        <w:t>as</w:t>
      </w:r>
      <w:r w:rsidR="00066A53" w:rsidRPr="00FC11CD">
        <w:t xml:space="preserve"> </w:t>
      </w:r>
      <w:r w:rsidR="00D5673B" w:rsidRPr="00FC11CD">
        <w:t>follows:</w:t>
      </w:r>
    </w:p>
    <w:p w:rsidR="00721EAF" w:rsidRPr="006250E6" w:rsidRDefault="006250E6" w:rsidP="006F744E">
      <w:pPr>
        <w:spacing w:line="240" w:lineRule="auto"/>
        <w:ind w:left="720"/>
        <w:jc w:val="both"/>
        <w:rPr>
          <w:i/>
          <w:sz w:val="22"/>
          <w:szCs w:val="22"/>
        </w:rPr>
      </w:pPr>
      <w:r w:rsidRPr="006250E6">
        <w:rPr>
          <w:sz w:val="22"/>
          <w:szCs w:val="22"/>
          <w:lang w:val="en-GB"/>
        </w:rPr>
        <w:t>“</w:t>
      </w:r>
      <w:r w:rsidR="00D5673B" w:rsidRPr="006250E6">
        <w:rPr>
          <w:sz w:val="22"/>
          <w:szCs w:val="22"/>
          <w:lang w:val="en-GB"/>
        </w:rPr>
        <w:t xml:space="preserve">In other words </w:t>
      </w:r>
      <w:r w:rsidR="00D5673B" w:rsidRPr="006250E6">
        <w:rPr>
          <w:i/>
          <w:sz w:val="22"/>
          <w:szCs w:val="22"/>
          <w:lang w:val="en-GB"/>
        </w:rPr>
        <w:t>Delta Beverages</w:t>
      </w:r>
      <w:r w:rsidR="00D5673B" w:rsidRPr="006250E6">
        <w:rPr>
          <w:sz w:val="22"/>
          <w:szCs w:val="22"/>
          <w:lang w:val="en-GB"/>
        </w:rPr>
        <w:t xml:space="preserve"> is known here and beyond.</w:t>
      </w:r>
      <w:r w:rsidR="00066A53" w:rsidRPr="006250E6">
        <w:rPr>
          <w:sz w:val="22"/>
          <w:szCs w:val="22"/>
          <w:lang w:val="en-GB"/>
        </w:rPr>
        <w:t xml:space="preserve"> </w:t>
      </w:r>
      <w:r w:rsidR="00D5673B" w:rsidRPr="006250E6">
        <w:rPr>
          <w:sz w:val="22"/>
          <w:szCs w:val="22"/>
          <w:lang w:val="en-GB"/>
        </w:rPr>
        <w:t>To me, applicant may have technically erred in her description, but, has described respondent with sufficient clarity to an extent of eliminating any mistake either legal or factual of respondent’s identity.</w:t>
      </w:r>
      <w:r w:rsidR="00066A53" w:rsidRPr="006250E6">
        <w:rPr>
          <w:sz w:val="22"/>
          <w:szCs w:val="22"/>
          <w:lang w:val="en-GB"/>
        </w:rPr>
        <w:t xml:space="preserve"> </w:t>
      </w:r>
      <w:r w:rsidR="00D5673B" w:rsidRPr="006250E6">
        <w:rPr>
          <w:sz w:val="22"/>
          <w:szCs w:val="22"/>
          <w:lang w:val="en-GB"/>
        </w:rPr>
        <w:t>Applicant sufficiently described respondent.</w:t>
      </w:r>
      <w:r w:rsidRPr="006250E6">
        <w:rPr>
          <w:sz w:val="22"/>
          <w:szCs w:val="22"/>
          <w:lang w:val="en-GB"/>
        </w:rPr>
        <w:t>”</w:t>
      </w:r>
      <w:r w:rsidR="00721EAF" w:rsidRPr="006250E6">
        <w:rPr>
          <w:sz w:val="22"/>
          <w:szCs w:val="22"/>
        </w:rPr>
        <w:t xml:space="preserve"> </w:t>
      </w:r>
    </w:p>
    <w:p w:rsidR="0066662F" w:rsidRPr="006250E6" w:rsidRDefault="00D5673B" w:rsidP="006250E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11CD">
        <w:rPr>
          <w:rFonts w:ascii="Times New Roman" w:hAnsi="Times New Roman" w:cs="Times New Roman"/>
          <w:sz w:val="24"/>
          <w:szCs w:val="24"/>
        </w:rPr>
        <w:t>That</w:t>
      </w:r>
      <w:r w:rsidR="00066A53" w:rsidRPr="00FC11CD">
        <w:rPr>
          <w:rFonts w:ascii="Times New Roman" w:hAnsi="Times New Roman" w:cs="Times New Roman"/>
          <w:sz w:val="24"/>
          <w:szCs w:val="24"/>
        </w:rPr>
        <w:t xml:space="preserve"> </w:t>
      </w:r>
      <w:r w:rsidRPr="00FC11CD">
        <w:rPr>
          <w:rFonts w:ascii="Times New Roman" w:hAnsi="Times New Roman" w:cs="Times New Roman"/>
          <w:sz w:val="24"/>
          <w:szCs w:val="24"/>
        </w:rPr>
        <w:t>court</w:t>
      </w:r>
      <w:r w:rsidR="00066A53" w:rsidRPr="00FC11CD">
        <w:rPr>
          <w:rFonts w:ascii="Times New Roman" w:hAnsi="Times New Roman" w:cs="Times New Roman"/>
          <w:sz w:val="24"/>
          <w:szCs w:val="24"/>
        </w:rPr>
        <w:t xml:space="preserve"> </w:t>
      </w:r>
      <w:r w:rsidRPr="00FC11CD">
        <w:rPr>
          <w:rFonts w:ascii="Times New Roman" w:hAnsi="Times New Roman" w:cs="Times New Roman"/>
          <w:sz w:val="24"/>
          <w:szCs w:val="24"/>
        </w:rPr>
        <w:t>also relied on the case</w:t>
      </w:r>
      <w:r w:rsidR="00066A53" w:rsidRPr="00FC11CD">
        <w:rPr>
          <w:rFonts w:ascii="Times New Roman" w:hAnsi="Times New Roman" w:cs="Times New Roman"/>
          <w:sz w:val="24"/>
          <w:szCs w:val="24"/>
        </w:rPr>
        <w:t xml:space="preserve"> </w:t>
      </w:r>
      <w:r w:rsidRPr="00FC11CD">
        <w:rPr>
          <w:rFonts w:ascii="Times New Roman" w:hAnsi="Times New Roman" w:cs="Times New Roman"/>
          <w:sz w:val="24"/>
          <w:szCs w:val="24"/>
        </w:rPr>
        <w:t xml:space="preserve">of </w:t>
      </w:r>
      <w:r w:rsidRPr="00FC11CD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FC11CD">
        <w:rPr>
          <w:rFonts w:ascii="Times New Roman" w:hAnsi="Times New Roman" w:cs="Times New Roman"/>
          <w:i/>
          <w:sz w:val="24"/>
          <w:szCs w:val="24"/>
          <w:lang w:val="en-GB"/>
        </w:rPr>
        <w:t xml:space="preserve">Van Vuuren Braun and Summers </w:t>
      </w:r>
      <w:r w:rsidRPr="00FC11CD">
        <w:rPr>
          <w:rFonts w:ascii="Times New Roman" w:hAnsi="Times New Roman" w:cs="Times New Roman"/>
          <w:sz w:val="24"/>
          <w:szCs w:val="24"/>
          <w:lang w:val="en-GB"/>
        </w:rPr>
        <w:t>1910 TPD 950</w:t>
      </w:r>
      <w:r w:rsidR="00066A53" w:rsidRPr="00FC11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C11CD">
        <w:rPr>
          <w:rFonts w:ascii="Times New Roman" w:hAnsi="Times New Roman" w:cs="Times New Roman"/>
          <w:sz w:val="24"/>
          <w:szCs w:val="24"/>
          <w:lang w:val="en-GB"/>
        </w:rPr>
        <w:t xml:space="preserve">where </w:t>
      </w:r>
      <w:r w:rsidR="00164B72" w:rsidRPr="00164B72">
        <w:rPr>
          <w:rFonts w:ascii="Times New Roman" w:hAnsi="Times New Roman" w:cs="Times New Roman"/>
          <w:smallCaps/>
          <w:sz w:val="24"/>
          <w:szCs w:val="24"/>
          <w:lang w:val="en-GB"/>
        </w:rPr>
        <w:t>Wessels</w:t>
      </w:r>
      <w:r w:rsidR="00164B72">
        <w:rPr>
          <w:rFonts w:ascii="Times New Roman" w:hAnsi="Times New Roman" w:cs="Times New Roman"/>
          <w:sz w:val="24"/>
          <w:szCs w:val="24"/>
          <w:lang w:val="en-GB"/>
        </w:rPr>
        <w:t xml:space="preserve"> J</w:t>
      </w:r>
      <w:r w:rsidRPr="00FC11CD">
        <w:rPr>
          <w:rFonts w:ascii="Times New Roman" w:hAnsi="Times New Roman" w:cs="Times New Roman"/>
          <w:sz w:val="24"/>
          <w:szCs w:val="24"/>
          <w:lang w:val="en-GB"/>
        </w:rPr>
        <w:t xml:space="preserve"> at 955 stated;</w:t>
      </w:r>
    </w:p>
    <w:p w:rsidR="00D5673B" w:rsidRDefault="00D5673B" w:rsidP="006250E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  <w:r w:rsidRPr="00164B72">
        <w:rPr>
          <w:rFonts w:ascii="Times New Roman" w:hAnsi="Times New Roman" w:cs="Times New Roman"/>
          <w:lang w:val="en-GB"/>
        </w:rPr>
        <w:t>“Now in order to bring a defendant legally into court a summons is required.</w:t>
      </w:r>
      <w:r w:rsidR="00066A53" w:rsidRPr="00164B72">
        <w:rPr>
          <w:rFonts w:ascii="Times New Roman" w:hAnsi="Times New Roman" w:cs="Times New Roman"/>
          <w:lang w:val="en-GB"/>
        </w:rPr>
        <w:t xml:space="preserve"> </w:t>
      </w:r>
      <w:r w:rsidRPr="00164B72">
        <w:rPr>
          <w:rFonts w:ascii="Times New Roman" w:hAnsi="Times New Roman" w:cs="Times New Roman"/>
          <w:lang w:val="en-GB"/>
        </w:rPr>
        <w:t>In order that summons may be valid it must comply with the requirements of r6.</w:t>
      </w:r>
      <w:r w:rsidR="00066A53" w:rsidRPr="00164B72">
        <w:rPr>
          <w:rFonts w:ascii="Times New Roman" w:hAnsi="Times New Roman" w:cs="Times New Roman"/>
          <w:lang w:val="en-GB"/>
        </w:rPr>
        <w:t xml:space="preserve"> </w:t>
      </w:r>
      <w:r w:rsidRPr="00164B72">
        <w:rPr>
          <w:rFonts w:ascii="Times New Roman" w:hAnsi="Times New Roman" w:cs="Times New Roman"/>
          <w:lang w:val="en-GB"/>
        </w:rPr>
        <w:t>It must purport to be a summons, a mere request or letter to the effect that the defendant is kindly requesting to appear in court on a certain day is an invalid citation.</w:t>
      </w:r>
      <w:r w:rsidR="00066A53" w:rsidRPr="00164B72">
        <w:rPr>
          <w:rFonts w:ascii="Times New Roman" w:hAnsi="Times New Roman" w:cs="Times New Roman"/>
          <w:lang w:val="en-GB"/>
        </w:rPr>
        <w:t xml:space="preserve"> </w:t>
      </w:r>
      <w:r w:rsidRPr="00164B72">
        <w:rPr>
          <w:rFonts w:ascii="Times New Roman" w:hAnsi="Times New Roman" w:cs="Times New Roman"/>
          <w:lang w:val="en-GB"/>
        </w:rPr>
        <w:t>Next the summons must specify the defendant.</w:t>
      </w:r>
      <w:r w:rsidR="00066A53" w:rsidRPr="00164B72">
        <w:rPr>
          <w:rFonts w:ascii="Times New Roman" w:hAnsi="Times New Roman" w:cs="Times New Roman"/>
          <w:lang w:val="en-GB"/>
        </w:rPr>
        <w:t xml:space="preserve"> </w:t>
      </w:r>
      <w:r w:rsidRPr="00164B72">
        <w:rPr>
          <w:rFonts w:ascii="Times New Roman" w:hAnsi="Times New Roman" w:cs="Times New Roman"/>
          <w:lang w:val="en-GB"/>
        </w:rPr>
        <w:t>It is true that it will not be described as accurately as he should be.</w:t>
      </w:r>
      <w:r w:rsidR="00066A53" w:rsidRPr="00164B72">
        <w:rPr>
          <w:rFonts w:ascii="Times New Roman" w:hAnsi="Times New Roman" w:cs="Times New Roman"/>
          <w:lang w:val="en-GB"/>
        </w:rPr>
        <w:t xml:space="preserve"> </w:t>
      </w:r>
      <w:r w:rsidRPr="00164B72">
        <w:rPr>
          <w:rFonts w:ascii="Times New Roman" w:hAnsi="Times New Roman" w:cs="Times New Roman"/>
          <w:lang w:val="en-GB"/>
        </w:rPr>
        <w:t>If a man is baptised ‘George Smith’ it is no defect to call him “John Smith” because the individual is pointed out with sufficient accuracy.</w:t>
      </w:r>
      <w:r w:rsidR="00066A53" w:rsidRPr="00164B72">
        <w:rPr>
          <w:rFonts w:ascii="Times New Roman" w:hAnsi="Times New Roman" w:cs="Times New Roman"/>
          <w:lang w:val="en-GB"/>
        </w:rPr>
        <w:t xml:space="preserve"> </w:t>
      </w:r>
      <w:r w:rsidRPr="00164B72">
        <w:rPr>
          <w:rFonts w:ascii="Times New Roman" w:hAnsi="Times New Roman" w:cs="Times New Roman"/>
          <w:lang w:val="en-GB"/>
        </w:rPr>
        <w:t>But if there were no mention of the defendant at all the summons would be a wholly worthless document and could not be amended by inverting the defendant’s name in court.”</w:t>
      </w:r>
    </w:p>
    <w:p w:rsidR="006250E6" w:rsidRPr="006250E6" w:rsidRDefault="006250E6" w:rsidP="006250E6">
      <w:pPr>
        <w:pStyle w:val="NoSpacing"/>
        <w:ind w:left="720"/>
        <w:jc w:val="both"/>
        <w:rPr>
          <w:rFonts w:ascii="Times New Roman" w:hAnsi="Times New Roman" w:cs="Times New Roman"/>
          <w:lang w:val="en-GB"/>
        </w:rPr>
      </w:pPr>
    </w:p>
    <w:p w:rsidR="0049065E" w:rsidRPr="00FC11CD" w:rsidRDefault="00D5673B" w:rsidP="006250E6">
      <w:pPr>
        <w:spacing w:after="0" w:line="360" w:lineRule="auto"/>
        <w:ind w:firstLine="720"/>
        <w:jc w:val="both"/>
      </w:pPr>
      <w:r w:rsidRPr="00FC11CD">
        <w:t>The magistrate</w:t>
      </w:r>
      <w:r w:rsidR="00066A53" w:rsidRPr="00FC11CD">
        <w:t xml:space="preserve"> </w:t>
      </w:r>
      <w:r w:rsidRPr="00FC11CD">
        <w:t>in the</w:t>
      </w:r>
      <w:r w:rsidR="00066A53" w:rsidRPr="00FC11CD">
        <w:t xml:space="preserve"> </w:t>
      </w:r>
      <w:r w:rsidRPr="00FC11CD">
        <w:t>lower</w:t>
      </w:r>
      <w:r w:rsidR="00066A53" w:rsidRPr="00FC11CD">
        <w:t xml:space="preserve"> </w:t>
      </w:r>
      <w:r w:rsidRPr="00FC11CD">
        <w:t>court</w:t>
      </w:r>
      <w:r w:rsidR="00066A53" w:rsidRPr="00FC11CD">
        <w:t xml:space="preserve"> </w:t>
      </w:r>
      <w:r w:rsidR="004B2E74" w:rsidRPr="00FC11CD">
        <w:t>therefore</w:t>
      </w:r>
      <w:r w:rsidR="00066A53" w:rsidRPr="00FC11CD">
        <w:t xml:space="preserve"> </w:t>
      </w:r>
      <w:r w:rsidRPr="00FC11CD">
        <w:t>did not</w:t>
      </w:r>
      <w:r w:rsidR="00066A53" w:rsidRPr="00FC11CD">
        <w:t xml:space="preserve"> </w:t>
      </w:r>
      <w:r w:rsidRPr="00FC11CD">
        <w:t>err at all in finding that</w:t>
      </w:r>
      <w:r w:rsidR="00066A53" w:rsidRPr="00FC11CD">
        <w:t xml:space="preserve"> </w:t>
      </w:r>
      <w:r w:rsidR="003716A6">
        <w:t xml:space="preserve">placing of a </w:t>
      </w:r>
      <w:r w:rsidRPr="00FC11CD">
        <w:t>simple</w:t>
      </w:r>
      <w:r w:rsidR="00066A53" w:rsidRPr="00FC11CD">
        <w:t xml:space="preserve"> </w:t>
      </w:r>
      <w:r w:rsidRPr="00FC11CD">
        <w:t>space</w:t>
      </w:r>
      <w:r w:rsidR="00066A53" w:rsidRPr="00FC11CD">
        <w:t xml:space="preserve"> </w:t>
      </w:r>
      <w:r w:rsidRPr="00FC11CD">
        <w:t>in the</w:t>
      </w:r>
      <w:r w:rsidR="00066A53" w:rsidRPr="00FC11CD">
        <w:t xml:space="preserve"> plaintiff’s </w:t>
      </w:r>
      <w:r w:rsidRPr="00FC11CD">
        <w:t>name</w:t>
      </w:r>
      <w:r w:rsidR="00066A53" w:rsidRPr="00FC11CD">
        <w:t>,</w:t>
      </w:r>
      <w:r w:rsidRPr="00FC11CD">
        <w:t xml:space="preserve"> Maggio</w:t>
      </w:r>
      <w:r w:rsidR="003716A6">
        <w:t>c</w:t>
      </w:r>
      <w:r w:rsidRPr="00FC11CD">
        <w:t>entre</w:t>
      </w:r>
      <w:r w:rsidR="00066A53" w:rsidRPr="00FC11CD">
        <w:t xml:space="preserve"> </w:t>
      </w:r>
      <w:r w:rsidRPr="00FC11CD">
        <w:t>was not an</w:t>
      </w:r>
      <w:r w:rsidR="00066A53" w:rsidRPr="00FC11CD">
        <w:t xml:space="preserve"> </w:t>
      </w:r>
      <w:r w:rsidRPr="00FC11CD">
        <w:t>issue</w:t>
      </w:r>
      <w:r w:rsidR="003716A6">
        <w:t>.</w:t>
      </w:r>
      <w:r w:rsidR="00EC0A6F">
        <w:t xml:space="preserve"> </w:t>
      </w:r>
      <w:r w:rsidR="003716A6">
        <w:t xml:space="preserve">It </w:t>
      </w:r>
      <w:r w:rsidR="00EC0A6F">
        <w:t xml:space="preserve">had </w:t>
      </w:r>
      <w:r w:rsidR="003716A6">
        <w:t xml:space="preserve">no </w:t>
      </w:r>
      <w:r w:rsidR="00EC0A6F">
        <w:t>bearing on the</w:t>
      </w:r>
      <w:r w:rsidR="003E3F32">
        <w:t xml:space="preserve"> </w:t>
      </w:r>
      <w:r w:rsidR="00EC0A6F">
        <w:t>application for</w:t>
      </w:r>
      <w:r w:rsidR="003E3F32">
        <w:t xml:space="preserve"> </w:t>
      </w:r>
      <w:r w:rsidR="00EC0A6F">
        <w:t>summary</w:t>
      </w:r>
      <w:r w:rsidR="003E3F32">
        <w:t xml:space="preserve"> </w:t>
      </w:r>
      <w:r w:rsidR="00EC0A6F">
        <w:t>judgment</w:t>
      </w:r>
      <w:r w:rsidR="003E3F32">
        <w:t xml:space="preserve"> </w:t>
      </w:r>
      <w:r w:rsidR="00EC0A6F">
        <w:t>or</w:t>
      </w:r>
      <w:r w:rsidR="003E3F32">
        <w:t xml:space="preserve"> </w:t>
      </w:r>
      <w:r w:rsidR="00EC0A6F">
        <w:t>even the</w:t>
      </w:r>
      <w:r w:rsidR="003E3F32">
        <w:t xml:space="preserve"> </w:t>
      </w:r>
      <w:r w:rsidR="00EC0A6F">
        <w:t>intended special plea</w:t>
      </w:r>
      <w:r w:rsidR="00066A53" w:rsidRPr="00FC11CD">
        <w:t xml:space="preserve">. </w:t>
      </w:r>
    </w:p>
    <w:p w:rsidR="001E3020" w:rsidRPr="00FC11CD" w:rsidRDefault="00BE3296" w:rsidP="006250E6">
      <w:pPr>
        <w:spacing w:after="0" w:line="360" w:lineRule="auto"/>
        <w:ind w:firstLine="720"/>
        <w:jc w:val="both"/>
      </w:pPr>
      <w:r w:rsidRPr="00FC11CD">
        <w:t>We dismissed this</w:t>
      </w:r>
      <w:r w:rsidR="00A24F0B" w:rsidRPr="00FC11CD">
        <w:t xml:space="preserve"> </w:t>
      </w:r>
      <w:r w:rsidRPr="00FC11CD">
        <w:t>appeal</w:t>
      </w:r>
      <w:r w:rsidR="00A24F0B" w:rsidRPr="00FC11CD">
        <w:t xml:space="preserve"> </w:t>
      </w:r>
      <w:r w:rsidR="000E1D28" w:rsidRPr="00FC11CD">
        <w:t>for the reason</w:t>
      </w:r>
      <w:r w:rsidR="00066A53" w:rsidRPr="00FC11CD">
        <w:t>s</w:t>
      </w:r>
      <w:r w:rsidR="000E1D28" w:rsidRPr="00FC11CD">
        <w:t xml:space="preserve"> that</w:t>
      </w:r>
      <w:r w:rsidR="00A24F0B" w:rsidRPr="00FC11CD">
        <w:t xml:space="preserve"> </w:t>
      </w:r>
      <w:r w:rsidR="000E1D28" w:rsidRPr="00FC11CD">
        <w:t>it lacked</w:t>
      </w:r>
      <w:r w:rsidR="00A24F0B" w:rsidRPr="00FC11CD">
        <w:t xml:space="preserve"> </w:t>
      </w:r>
      <w:r w:rsidR="000E1D28" w:rsidRPr="00FC11CD">
        <w:t>merit</w:t>
      </w:r>
      <w:r w:rsidR="00A24F0B" w:rsidRPr="00FC11CD">
        <w:t xml:space="preserve"> </w:t>
      </w:r>
      <w:r w:rsidR="000E1D28" w:rsidRPr="00FC11CD">
        <w:t xml:space="preserve">as </w:t>
      </w:r>
      <w:r w:rsidR="00721EAF" w:rsidRPr="00FC11CD">
        <w:t>t</w:t>
      </w:r>
      <w:r w:rsidR="000E1D28" w:rsidRPr="00FC11CD">
        <w:t>here was no</w:t>
      </w:r>
      <w:r w:rsidR="00A24F0B" w:rsidRPr="00FC11CD">
        <w:t xml:space="preserve"> </w:t>
      </w:r>
      <w:r w:rsidR="00255F4F" w:rsidRPr="00FC11CD">
        <w:t>error</w:t>
      </w:r>
      <w:r w:rsidR="000E1D28" w:rsidRPr="00FC11CD">
        <w:t xml:space="preserve"> on the </w:t>
      </w:r>
      <w:r w:rsidR="00255F4F" w:rsidRPr="00FC11CD">
        <w:t>part</w:t>
      </w:r>
      <w:r w:rsidR="00A24F0B" w:rsidRPr="00FC11CD">
        <w:t xml:space="preserve"> </w:t>
      </w:r>
      <w:r w:rsidR="000E1D28" w:rsidRPr="00FC11CD">
        <w:t>of the</w:t>
      </w:r>
      <w:r w:rsidR="00A24F0B" w:rsidRPr="00FC11CD">
        <w:t xml:space="preserve"> </w:t>
      </w:r>
      <w:r w:rsidR="00255F4F" w:rsidRPr="00FC11CD">
        <w:t>court</w:t>
      </w:r>
      <w:r w:rsidR="00A24F0B" w:rsidRPr="00FC11CD">
        <w:t xml:space="preserve"> </w:t>
      </w:r>
      <w:r w:rsidR="00255F4F" w:rsidRPr="00FC11CD">
        <w:t>below</w:t>
      </w:r>
      <w:r w:rsidR="004B2E74" w:rsidRPr="00FC11CD">
        <w:t xml:space="preserve"> in granting summary judgment where there was no defence to the claim. S</w:t>
      </w:r>
      <w:r w:rsidR="00066A53" w:rsidRPr="00FC11CD">
        <w:t>ummary judgment was procedurally applied for and properly granted as the appellant lacked a defence. Our finding was</w:t>
      </w:r>
      <w:r w:rsidR="004B2E74" w:rsidRPr="00FC11CD">
        <w:t xml:space="preserve"> </w:t>
      </w:r>
      <w:r w:rsidR="00066A53" w:rsidRPr="00FC11CD">
        <w:t xml:space="preserve">equally that the </w:t>
      </w:r>
      <w:r w:rsidR="000E1D28" w:rsidRPr="00FC11CD">
        <w:t>appeal had been</w:t>
      </w:r>
      <w:r w:rsidR="00A24F0B" w:rsidRPr="00FC11CD">
        <w:t xml:space="preserve"> </w:t>
      </w:r>
      <w:r w:rsidR="000E1D28" w:rsidRPr="00FC11CD">
        <w:t>brought</w:t>
      </w:r>
      <w:r w:rsidR="00A24F0B" w:rsidRPr="00FC11CD">
        <w:t xml:space="preserve"> </w:t>
      </w:r>
      <w:r w:rsidR="000E1D28" w:rsidRPr="00FC11CD">
        <w:t>for the</w:t>
      </w:r>
      <w:r w:rsidR="00A24F0B" w:rsidRPr="00FC11CD">
        <w:t xml:space="preserve"> </w:t>
      </w:r>
      <w:r w:rsidR="000E1D28" w:rsidRPr="00FC11CD">
        <w:t>purposes of</w:t>
      </w:r>
      <w:r w:rsidR="00A24F0B" w:rsidRPr="00FC11CD">
        <w:t xml:space="preserve"> </w:t>
      </w:r>
      <w:r w:rsidR="00255F4F" w:rsidRPr="00FC11CD">
        <w:t>delay</w:t>
      </w:r>
      <w:r w:rsidR="00BA7E12" w:rsidRPr="00FC11CD">
        <w:t xml:space="preserve"> and</w:t>
      </w:r>
      <w:r w:rsidR="004B2E74" w:rsidRPr="00FC11CD">
        <w:t xml:space="preserve"> </w:t>
      </w:r>
      <w:r w:rsidR="00BA7E12" w:rsidRPr="00FC11CD">
        <w:t>accordingly</w:t>
      </w:r>
      <w:r w:rsidR="004B2E74" w:rsidRPr="00FC11CD">
        <w:t xml:space="preserve"> </w:t>
      </w:r>
      <w:r w:rsidR="00BA7E12" w:rsidRPr="00FC11CD">
        <w:t>dismissed it</w:t>
      </w:r>
      <w:r w:rsidR="004B2E74" w:rsidRPr="00FC11CD">
        <w:t xml:space="preserve"> </w:t>
      </w:r>
      <w:r w:rsidR="00BA7E12" w:rsidRPr="00FC11CD">
        <w:t>with</w:t>
      </w:r>
      <w:r w:rsidR="004B2E74" w:rsidRPr="00FC11CD">
        <w:t xml:space="preserve"> </w:t>
      </w:r>
      <w:r w:rsidR="00BA7E12" w:rsidRPr="00FC11CD">
        <w:t xml:space="preserve">costs. </w:t>
      </w:r>
    </w:p>
    <w:p w:rsidR="00BA7E12" w:rsidRDefault="00BA7E12" w:rsidP="00737FF9">
      <w:pPr>
        <w:pStyle w:val="Default"/>
        <w:spacing w:line="360" w:lineRule="auto"/>
        <w:rPr>
          <w:i/>
        </w:rPr>
      </w:pPr>
    </w:p>
    <w:p w:rsidR="008C633C" w:rsidRDefault="008C633C" w:rsidP="00737FF9">
      <w:pPr>
        <w:pStyle w:val="Default"/>
        <w:rPr>
          <w:b/>
        </w:rPr>
      </w:pPr>
    </w:p>
    <w:p w:rsidR="00830AF1" w:rsidRDefault="00830AF1" w:rsidP="00737FF9">
      <w:pPr>
        <w:pStyle w:val="Default"/>
        <w:rPr>
          <w:b/>
        </w:rPr>
      </w:pPr>
    </w:p>
    <w:p w:rsidR="00830AF1" w:rsidRDefault="00830AF1" w:rsidP="00737FF9">
      <w:pPr>
        <w:pStyle w:val="Default"/>
        <w:rPr>
          <w:b/>
        </w:rPr>
      </w:pPr>
    </w:p>
    <w:p w:rsidR="00830AF1" w:rsidRDefault="00830AF1" w:rsidP="00737FF9">
      <w:pPr>
        <w:pStyle w:val="Default"/>
        <w:rPr>
          <w:b/>
        </w:rPr>
      </w:pPr>
    </w:p>
    <w:p w:rsidR="00401A08" w:rsidRDefault="00401A08" w:rsidP="00737FF9">
      <w:pPr>
        <w:pStyle w:val="Default"/>
        <w:rPr>
          <w:b/>
        </w:rPr>
      </w:pPr>
    </w:p>
    <w:p w:rsidR="00401A08" w:rsidRDefault="00401A08" w:rsidP="00737FF9">
      <w:pPr>
        <w:pStyle w:val="Default"/>
        <w:rPr>
          <w:b/>
        </w:rPr>
      </w:pPr>
    </w:p>
    <w:p w:rsidR="00401A08" w:rsidRDefault="00401A08" w:rsidP="00737FF9">
      <w:pPr>
        <w:pStyle w:val="Default"/>
        <w:rPr>
          <w:b/>
        </w:rPr>
      </w:pPr>
    </w:p>
    <w:p w:rsidR="00401A08" w:rsidRDefault="00401A08" w:rsidP="00737FF9">
      <w:pPr>
        <w:pStyle w:val="Default"/>
        <w:rPr>
          <w:b/>
        </w:rPr>
      </w:pPr>
    </w:p>
    <w:p w:rsidR="00401A08" w:rsidRDefault="00401A08" w:rsidP="00737FF9">
      <w:pPr>
        <w:pStyle w:val="Default"/>
        <w:rPr>
          <w:b/>
        </w:rPr>
      </w:pPr>
    </w:p>
    <w:p w:rsidR="00401A08" w:rsidRDefault="00401A08" w:rsidP="00737FF9">
      <w:pPr>
        <w:pStyle w:val="Default"/>
        <w:rPr>
          <w:b/>
        </w:rPr>
      </w:pPr>
    </w:p>
    <w:p w:rsidR="00737FF9" w:rsidRPr="008C633C" w:rsidRDefault="008C633C" w:rsidP="00737FF9">
      <w:pPr>
        <w:pStyle w:val="Default"/>
      </w:pPr>
      <w:r w:rsidRPr="008C633C">
        <w:rPr>
          <w:b/>
        </w:rPr>
        <w:t>MAXWELL J</w:t>
      </w:r>
      <w:r w:rsidRPr="008C633C">
        <w:t>…………………………………………………………………….AGREES</w:t>
      </w:r>
    </w:p>
    <w:p w:rsidR="00737FF9" w:rsidRDefault="00737FF9" w:rsidP="00737FF9">
      <w:pPr>
        <w:pStyle w:val="Default"/>
        <w:rPr>
          <w:i/>
        </w:rPr>
      </w:pPr>
    </w:p>
    <w:p w:rsidR="00737FF9" w:rsidRDefault="00737FF9" w:rsidP="00737FF9">
      <w:pPr>
        <w:pStyle w:val="Default"/>
        <w:rPr>
          <w:i/>
        </w:rPr>
      </w:pPr>
    </w:p>
    <w:p w:rsidR="001E3020" w:rsidRPr="00FC11CD" w:rsidRDefault="00066A53" w:rsidP="00737FF9">
      <w:pPr>
        <w:pStyle w:val="Default"/>
        <w:rPr>
          <w:i/>
        </w:rPr>
      </w:pPr>
      <w:r w:rsidRPr="00FC11CD">
        <w:rPr>
          <w:i/>
        </w:rPr>
        <w:t>Jarvis Palframan</w:t>
      </w:r>
      <w:r w:rsidR="00D95D86">
        <w:rPr>
          <w:i/>
        </w:rPr>
        <w:t>,</w:t>
      </w:r>
      <w:r w:rsidRPr="00FC11CD">
        <w:rPr>
          <w:i/>
        </w:rPr>
        <w:t xml:space="preserve"> </w:t>
      </w:r>
      <w:r w:rsidR="00D95D86">
        <w:t>a</w:t>
      </w:r>
      <w:r w:rsidR="00FC11CD" w:rsidRPr="00D95D86">
        <w:t>ppellant’s</w:t>
      </w:r>
      <w:r w:rsidRPr="00D95D86">
        <w:t xml:space="preserve"> </w:t>
      </w:r>
      <w:r w:rsidR="00D95D86">
        <w:t>l</w:t>
      </w:r>
      <w:r w:rsidRPr="00D95D86">
        <w:t xml:space="preserve">egal </w:t>
      </w:r>
      <w:r w:rsidR="00D95D86" w:rsidRPr="00D95D86">
        <w:t>p</w:t>
      </w:r>
      <w:r w:rsidRPr="00D95D86">
        <w:t>ractitioners</w:t>
      </w:r>
      <w:r w:rsidRPr="00FC11CD">
        <w:rPr>
          <w:i/>
        </w:rPr>
        <w:br/>
        <w:t>Mabundu Ndhlovu Law Chambers</w:t>
      </w:r>
      <w:r w:rsidR="00D95D86">
        <w:rPr>
          <w:i/>
        </w:rPr>
        <w:t>,</w:t>
      </w:r>
      <w:r w:rsidRPr="00FC11CD">
        <w:rPr>
          <w:i/>
        </w:rPr>
        <w:t xml:space="preserve"> </w:t>
      </w:r>
      <w:r w:rsidR="00D95D86">
        <w:t>r</w:t>
      </w:r>
      <w:r w:rsidRPr="00D95D86">
        <w:t xml:space="preserve">espondent’s </w:t>
      </w:r>
      <w:r w:rsidR="00D95D86">
        <w:t>l</w:t>
      </w:r>
      <w:r w:rsidRPr="00D95D86">
        <w:t xml:space="preserve">egal </w:t>
      </w:r>
      <w:r w:rsidR="00D95D86">
        <w:t>p</w:t>
      </w:r>
      <w:r w:rsidRPr="00D95D86">
        <w:t>ractitioners</w:t>
      </w:r>
    </w:p>
    <w:sectPr w:rsidR="001E3020" w:rsidRPr="00FC11C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C3" w:rsidRDefault="00E01BC3" w:rsidP="004C4C59">
      <w:pPr>
        <w:spacing w:after="0" w:line="240" w:lineRule="auto"/>
      </w:pPr>
      <w:r>
        <w:separator/>
      </w:r>
    </w:p>
  </w:endnote>
  <w:endnote w:type="continuationSeparator" w:id="0">
    <w:p w:rsidR="00E01BC3" w:rsidRDefault="00E01BC3" w:rsidP="004C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C3" w:rsidRDefault="00E01BC3" w:rsidP="004C4C59">
      <w:pPr>
        <w:spacing w:after="0" w:line="240" w:lineRule="auto"/>
      </w:pPr>
      <w:r>
        <w:separator/>
      </w:r>
    </w:p>
  </w:footnote>
  <w:footnote w:type="continuationSeparator" w:id="0">
    <w:p w:rsidR="00E01BC3" w:rsidRDefault="00E01BC3" w:rsidP="004C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84715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0FD5" w:rsidRDefault="006C35C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242">
          <w:rPr>
            <w:noProof/>
          </w:rPr>
          <w:t>1</w:t>
        </w:r>
        <w:r>
          <w:rPr>
            <w:noProof/>
          </w:rPr>
          <w:fldChar w:fldCharType="end"/>
        </w:r>
      </w:p>
      <w:p w:rsidR="00230FD5" w:rsidRDefault="00401A08">
        <w:pPr>
          <w:pStyle w:val="Header"/>
          <w:jc w:val="right"/>
          <w:rPr>
            <w:noProof/>
          </w:rPr>
        </w:pPr>
        <w:r>
          <w:rPr>
            <w:noProof/>
          </w:rPr>
          <w:t>HH 51-22</w:t>
        </w:r>
      </w:p>
      <w:p w:rsidR="00230FD5" w:rsidRDefault="00230FD5">
        <w:pPr>
          <w:pStyle w:val="Header"/>
          <w:jc w:val="right"/>
          <w:rPr>
            <w:noProof/>
          </w:rPr>
        </w:pPr>
        <w:r>
          <w:rPr>
            <w:noProof/>
          </w:rPr>
          <w:t>CIV ‘A’ 147/21</w:t>
        </w:r>
      </w:p>
      <w:p w:rsidR="00230FD5" w:rsidRDefault="00C13F49">
        <w:pPr>
          <w:pStyle w:val="Header"/>
          <w:jc w:val="right"/>
          <w:rPr>
            <w:noProof/>
          </w:rPr>
        </w:pPr>
        <w:r>
          <w:rPr>
            <w:noProof/>
          </w:rPr>
          <w:t>R</w:t>
        </w:r>
        <w:r w:rsidR="006250E6">
          <w:rPr>
            <w:noProof/>
          </w:rPr>
          <w:t>ef</w:t>
        </w:r>
        <w:r>
          <w:rPr>
            <w:noProof/>
          </w:rPr>
          <w:t xml:space="preserve"> C</w:t>
        </w:r>
        <w:r w:rsidR="006250E6">
          <w:rPr>
            <w:noProof/>
          </w:rPr>
          <w:t>ase</w:t>
        </w:r>
        <w:r>
          <w:rPr>
            <w:noProof/>
          </w:rPr>
          <w:t xml:space="preserve"> 1246/20</w:t>
        </w:r>
      </w:p>
      <w:p w:rsidR="006C35CA" w:rsidRDefault="00230FD5">
        <w:pPr>
          <w:pStyle w:val="Header"/>
          <w:jc w:val="right"/>
        </w:pPr>
        <w:r>
          <w:rPr>
            <w:noProof/>
          </w:rPr>
          <w:t>R</w:t>
        </w:r>
        <w:r w:rsidR="006250E6">
          <w:rPr>
            <w:noProof/>
          </w:rPr>
          <w:t>ef</w:t>
        </w:r>
        <w:r>
          <w:rPr>
            <w:noProof/>
          </w:rPr>
          <w:t xml:space="preserve"> App</w:t>
        </w:r>
        <w:r w:rsidR="006250E6">
          <w:rPr>
            <w:noProof/>
          </w:rPr>
          <w:t>.</w:t>
        </w:r>
        <w:r>
          <w:rPr>
            <w:noProof/>
          </w:rPr>
          <w:t xml:space="preserve"> 81/20</w:t>
        </w:r>
      </w:p>
    </w:sdtContent>
  </w:sdt>
  <w:p w:rsidR="004C4C59" w:rsidRDefault="004C4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824"/>
    <w:multiLevelType w:val="hybridMultilevel"/>
    <w:tmpl w:val="9962C40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14BBE"/>
    <w:multiLevelType w:val="hybridMultilevel"/>
    <w:tmpl w:val="9962C40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B73EB"/>
    <w:multiLevelType w:val="hybridMultilevel"/>
    <w:tmpl w:val="E80A5642"/>
    <w:lvl w:ilvl="0" w:tplc="A8EE5E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B610F"/>
    <w:multiLevelType w:val="hybridMultilevel"/>
    <w:tmpl w:val="004CCF5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AA"/>
    <w:rsid w:val="00035719"/>
    <w:rsid w:val="00044242"/>
    <w:rsid w:val="00055CB8"/>
    <w:rsid w:val="000641E7"/>
    <w:rsid w:val="00065A2C"/>
    <w:rsid w:val="00066A53"/>
    <w:rsid w:val="00070B30"/>
    <w:rsid w:val="00072795"/>
    <w:rsid w:val="0008127D"/>
    <w:rsid w:val="000C6A51"/>
    <w:rsid w:val="000D14A2"/>
    <w:rsid w:val="000E1D28"/>
    <w:rsid w:val="000E5293"/>
    <w:rsid w:val="000F469B"/>
    <w:rsid w:val="00104A44"/>
    <w:rsid w:val="001257B5"/>
    <w:rsid w:val="00132834"/>
    <w:rsid w:val="001349BB"/>
    <w:rsid w:val="00143D72"/>
    <w:rsid w:val="00156BD1"/>
    <w:rsid w:val="00157F3D"/>
    <w:rsid w:val="00162E4A"/>
    <w:rsid w:val="00164B72"/>
    <w:rsid w:val="00175372"/>
    <w:rsid w:val="001B62F5"/>
    <w:rsid w:val="001C2BE9"/>
    <w:rsid w:val="001D0859"/>
    <w:rsid w:val="001D12F9"/>
    <w:rsid w:val="001D7A19"/>
    <w:rsid w:val="001E3020"/>
    <w:rsid w:val="001E416C"/>
    <w:rsid w:val="001E5A42"/>
    <w:rsid w:val="002226DE"/>
    <w:rsid w:val="00227B02"/>
    <w:rsid w:val="00230FD5"/>
    <w:rsid w:val="002331F4"/>
    <w:rsid w:val="0023506F"/>
    <w:rsid w:val="00243753"/>
    <w:rsid w:val="002445BB"/>
    <w:rsid w:val="00254982"/>
    <w:rsid w:val="00255F4F"/>
    <w:rsid w:val="00272AE5"/>
    <w:rsid w:val="00275F5B"/>
    <w:rsid w:val="00285643"/>
    <w:rsid w:val="002902E5"/>
    <w:rsid w:val="002B06FA"/>
    <w:rsid w:val="002C7E69"/>
    <w:rsid w:val="002E5108"/>
    <w:rsid w:val="00300740"/>
    <w:rsid w:val="003108BA"/>
    <w:rsid w:val="0034727D"/>
    <w:rsid w:val="00363DF9"/>
    <w:rsid w:val="003667F3"/>
    <w:rsid w:val="003716A6"/>
    <w:rsid w:val="003842F2"/>
    <w:rsid w:val="00397371"/>
    <w:rsid w:val="00397381"/>
    <w:rsid w:val="003D16D0"/>
    <w:rsid w:val="003D5B17"/>
    <w:rsid w:val="003D6CBB"/>
    <w:rsid w:val="003E2C10"/>
    <w:rsid w:val="003E3F32"/>
    <w:rsid w:val="003E65CF"/>
    <w:rsid w:val="003F3804"/>
    <w:rsid w:val="004008C3"/>
    <w:rsid w:val="00401A08"/>
    <w:rsid w:val="0041037F"/>
    <w:rsid w:val="00414A85"/>
    <w:rsid w:val="00450095"/>
    <w:rsid w:val="0049065E"/>
    <w:rsid w:val="00497203"/>
    <w:rsid w:val="004B1D37"/>
    <w:rsid w:val="004B2E74"/>
    <w:rsid w:val="004B5EEC"/>
    <w:rsid w:val="004C4C59"/>
    <w:rsid w:val="004E3E9A"/>
    <w:rsid w:val="004E60A4"/>
    <w:rsid w:val="00532C1C"/>
    <w:rsid w:val="00561795"/>
    <w:rsid w:val="00571A4E"/>
    <w:rsid w:val="00573947"/>
    <w:rsid w:val="00587F7A"/>
    <w:rsid w:val="005B3B57"/>
    <w:rsid w:val="005C549F"/>
    <w:rsid w:val="005D07F2"/>
    <w:rsid w:val="005D1DF1"/>
    <w:rsid w:val="005E1CC2"/>
    <w:rsid w:val="005F77DD"/>
    <w:rsid w:val="00606F83"/>
    <w:rsid w:val="00611ED3"/>
    <w:rsid w:val="00622F21"/>
    <w:rsid w:val="006250E6"/>
    <w:rsid w:val="00635EBF"/>
    <w:rsid w:val="0064258B"/>
    <w:rsid w:val="0066662F"/>
    <w:rsid w:val="0069326B"/>
    <w:rsid w:val="006A1D3A"/>
    <w:rsid w:val="006B6EC9"/>
    <w:rsid w:val="006C1768"/>
    <w:rsid w:val="006C35CA"/>
    <w:rsid w:val="006C593B"/>
    <w:rsid w:val="006D5DFA"/>
    <w:rsid w:val="006F513B"/>
    <w:rsid w:val="006F6733"/>
    <w:rsid w:val="006F744E"/>
    <w:rsid w:val="0071020A"/>
    <w:rsid w:val="00721EAF"/>
    <w:rsid w:val="00737FF9"/>
    <w:rsid w:val="00740BB9"/>
    <w:rsid w:val="00747E78"/>
    <w:rsid w:val="007539D0"/>
    <w:rsid w:val="00772812"/>
    <w:rsid w:val="00782651"/>
    <w:rsid w:val="0078748F"/>
    <w:rsid w:val="00796388"/>
    <w:rsid w:val="00796542"/>
    <w:rsid w:val="007A18C5"/>
    <w:rsid w:val="007A55A6"/>
    <w:rsid w:val="007A595A"/>
    <w:rsid w:val="007C37F8"/>
    <w:rsid w:val="0080414B"/>
    <w:rsid w:val="00811677"/>
    <w:rsid w:val="00822667"/>
    <w:rsid w:val="00830AF1"/>
    <w:rsid w:val="00833652"/>
    <w:rsid w:val="008469A5"/>
    <w:rsid w:val="00852493"/>
    <w:rsid w:val="008605C5"/>
    <w:rsid w:val="00893673"/>
    <w:rsid w:val="008B7699"/>
    <w:rsid w:val="008B7D56"/>
    <w:rsid w:val="008C633C"/>
    <w:rsid w:val="008D3790"/>
    <w:rsid w:val="008D3CED"/>
    <w:rsid w:val="008E3ED5"/>
    <w:rsid w:val="00913CD6"/>
    <w:rsid w:val="00914DC4"/>
    <w:rsid w:val="00915CBA"/>
    <w:rsid w:val="00921077"/>
    <w:rsid w:val="0092428D"/>
    <w:rsid w:val="009419D7"/>
    <w:rsid w:val="00966D6D"/>
    <w:rsid w:val="00976EDE"/>
    <w:rsid w:val="00986ADB"/>
    <w:rsid w:val="009C3A37"/>
    <w:rsid w:val="009C7B5B"/>
    <w:rsid w:val="00A20BC5"/>
    <w:rsid w:val="00A24F0B"/>
    <w:rsid w:val="00A41CD9"/>
    <w:rsid w:val="00A462C6"/>
    <w:rsid w:val="00A50126"/>
    <w:rsid w:val="00A52A54"/>
    <w:rsid w:val="00A73D92"/>
    <w:rsid w:val="00AC31CC"/>
    <w:rsid w:val="00AD0FEB"/>
    <w:rsid w:val="00AD4CFF"/>
    <w:rsid w:val="00B02C49"/>
    <w:rsid w:val="00B05D5F"/>
    <w:rsid w:val="00B134B8"/>
    <w:rsid w:val="00B21ECA"/>
    <w:rsid w:val="00B3346D"/>
    <w:rsid w:val="00B56756"/>
    <w:rsid w:val="00B662E4"/>
    <w:rsid w:val="00B910A1"/>
    <w:rsid w:val="00BA1E97"/>
    <w:rsid w:val="00BA7E12"/>
    <w:rsid w:val="00BB23DE"/>
    <w:rsid w:val="00BB6C23"/>
    <w:rsid w:val="00BD10F5"/>
    <w:rsid w:val="00BD2B76"/>
    <w:rsid w:val="00BE3296"/>
    <w:rsid w:val="00BF4F33"/>
    <w:rsid w:val="00BF7DA9"/>
    <w:rsid w:val="00C11BB9"/>
    <w:rsid w:val="00C13F49"/>
    <w:rsid w:val="00C2272C"/>
    <w:rsid w:val="00C32C98"/>
    <w:rsid w:val="00C347D2"/>
    <w:rsid w:val="00C407C5"/>
    <w:rsid w:val="00CA2063"/>
    <w:rsid w:val="00CA5C10"/>
    <w:rsid w:val="00CC2680"/>
    <w:rsid w:val="00CE505B"/>
    <w:rsid w:val="00CF41C6"/>
    <w:rsid w:val="00D31331"/>
    <w:rsid w:val="00D5673B"/>
    <w:rsid w:val="00D578EA"/>
    <w:rsid w:val="00D87A63"/>
    <w:rsid w:val="00D9271A"/>
    <w:rsid w:val="00D95D86"/>
    <w:rsid w:val="00DD1287"/>
    <w:rsid w:val="00DD6002"/>
    <w:rsid w:val="00DD6FE2"/>
    <w:rsid w:val="00DF2A59"/>
    <w:rsid w:val="00DF6850"/>
    <w:rsid w:val="00E01BC3"/>
    <w:rsid w:val="00E1175E"/>
    <w:rsid w:val="00E2609A"/>
    <w:rsid w:val="00E41343"/>
    <w:rsid w:val="00E419FA"/>
    <w:rsid w:val="00E51AA7"/>
    <w:rsid w:val="00E5464B"/>
    <w:rsid w:val="00E72133"/>
    <w:rsid w:val="00E73261"/>
    <w:rsid w:val="00E758E2"/>
    <w:rsid w:val="00E84909"/>
    <w:rsid w:val="00E93830"/>
    <w:rsid w:val="00E947D7"/>
    <w:rsid w:val="00EA6917"/>
    <w:rsid w:val="00EB5915"/>
    <w:rsid w:val="00EC0A6F"/>
    <w:rsid w:val="00ED162A"/>
    <w:rsid w:val="00ED4671"/>
    <w:rsid w:val="00EE5E85"/>
    <w:rsid w:val="00EE604D"/>
    <w:rsid w:val="00EF74CD"/>
    <w:rsid w:val="00F02080"/>
    <w:rsid w:val="00F35B2C"/>
    <w:rsid w:val="00F46CF7"/>
    <w:rsid w:val="00F47E7D"/>
    <w:rsid w:val="00FB0D6A"/>
    <w:rsid w:val="00FC11CD"/>
    <w:rsid w:val="00FC3831"/>
    <w:rsid w:val="00FE1A8E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AD2922-ECC5-45A7-8278-3DB05589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287"/>
    <w:pPr>
      <w:ind w:left="720"/>
      <w:contextualSpacing/>
    </w:pPr>
  </w:style>
  <w:style w:type="paragraph" w:customStyle="1" w:styleId="Default">
    <w:name w:val="Default"/>
    <w:rsid w:val="00BD10F5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oSpacing">
    <w:name w:val="No Spacing"/>
    <w:uiPriority w:val="1"/>
    <w:qFormat/>
    <w:rsid w:val="00D5673B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C59"/>
  </w:style>
  <w:style w:type="paragraph" w:styleId="Footer">
    <w:name w:val="footer"/>
    <w:basedOn w:val="Normal"/>
    <w:link w:val="FooterChar"/>
    <w:uiPriority w:val="99"/>
    <w:unhideWhenUsed/>
    <w:rsid w:val="004C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C59"/>
  </w:style>
  <w:style w:type="paragraph" w:styleId="BalloonText">
    <w:name w:val="Balloon Text"/>
    <w:basedOn w:val="Normal"/>
    <w:link w:val="BalloonTextChar"/>
    <w:uiPriority w:val="99"/>
    <w:semiHidden/>
    <w:unhideWhenUsed/>
    <w:rsid w:val="00C1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F697-0AFC-4F59-9686-7FD959A0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JSC</cp:lastModifiedBy>
  <cp:revision>2</cp:revision>
  <cp:lastPrinted>2022-01-26T12:59:00Z</cp:lastPrinted>
  <dcterms:created xsi:type="dcterms:W3CDTF">2022-01-28T08:29:00Z</dcterms:created>
  <dcterms:modified xsi:type="dcterms:W3CDTF">2022-01-28T08:29:00Z</dcterms:modified>
</cp:coreProperties>
</file>