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6FAB0" w14:textId="3C478E6D" w:rsidR="0030677A" w:rsidRDefault="003F314E" w:rsidP="0030677A">
      <w:pPr>
        <w:spacing w:after="0" w:line="240" w:lineRule="auto"/>
        <w:rPr>
          <w:rFonts w:ascii="Times New Roman" w:hAnsi="Times New Roman" w:cs="Times New Roman"/>
        </w:rPr>
      </w:pPr>
      <w:r>
        <w:rPr>
          <w:rFonts w:ascii="Times New Roman" w:hAnsi="Times New Roman" w:cs="Times New Roman"/>
        </w:rPr>
        <w:t>CHARELE (PRIVATE) LIMITED</w:t>
      </w:r>
      <w:bookmarkStart w:id="0" w:name="_GoBack"/>
      <w:bookmarkEnd w:id="0"/>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59537F91" w14:textId="3B3C65F7" w:rsidR="0030677A" w:rsidRDefault="00F375C1" w:rsidP="0030677A">
      <w:pPr>
        <w:spacing w:after="0" w:line="240" w:lineRule="auto"/>
        <w:rPr>
          <w:rFonts w:ascii="Times New Roman" w:hAnsi="Times New Roman" w:cs="Times New Roman"/>
        </w:rPr>
      </w:pPr>
      <w:r>
        <w:rPr>
          <w:rFonts w:ascii="Times New Roman" w:hAnsi="Times New Roman" w:cs="Times New Roman"/>
        </w:rPr>
        <w:t>EVANGELICAL ANGLICAN CHURCH</w:t>
      </w:r>
      <w:r w:rsidR="00F45651">
        <w:rPr>
          <w:rFonts w:ascii="Times New Roman" w:hAnsi="Times New Roman" w:cs="Times New Roman"/>
        </w:rPr>
        <w:t xml:space="preserve"> </w:t>
      </w:r>
    </w:p>
    <w:p w14:paraId="591B0B76" w14:textId="4E61010F" w:rsidR="00F45651" w:rsidRDefault="00F45651" w:rsidP="0030677A">
      <w:pPr>
        <w:spacing w:after="0" w:line="240" w:lineRule="auto"/>
        <w:rPr>
          <w:rFonts w:ascii="Times New Roman" w:hAnsi="Times New Roman" w:cs="Times New Roman"/>
        </w:rPr>
      </w:pPr>
      <w:r>
        <w:rPr>
          <w:rFonts w:ascii="Times New Roman" w:hAnsi="Times New Roman" w:cs="Times New Roman"/>
        </w:rPr>
        <w:t>and</w:t>
      </w:r>
    </w:p>
    <w:p w14:paraId="1F348327" w14:textId="7C247B2C" w:rsidR="00F45651" w:rsidRDefault="00F375C1" w:rsidP="0030677A">
      <w:pPr>
        <w:spacing w:after="0" w:line="240" w:lineRule="auto"/>
        <w:rPr>
          <w:rFonts w:ascii="Times New Roman" w:hAnsi="Times New Roman" w:cs="Times New Roman"/>
        </w:rPr>
      </w:pPr>
      <w:r>
        <w:rPr>
          <w:rFonts w:ascii="Times New Roman" w:hAnsi="Times New Roman" w:cs="Times New Roman"/>
        </w:rPr>
        <w:t xml:space="preserve">MINISTRY OF LANDS, AGRICULTURE, FISHERIES WATER AND </w:t>
      </w:r>
    </w:p>
    <w:p w14:paraId="07947E69" w14:textId="7E50F828" w:rsidR="00F375C1" w:rsidRDefault="00F375C1" w:rsidP="0030677A">
      <w:pPr>
        <w:spacing w:after="0" w:line="240" w:lineRule="auto"/>
        <w:rPr>
          <w:rFonts w:ascii="Times New Roman" w:hAnsi="Times New Roman" w:cs="Times New Roman"/>
        </w:rPr>
      </w:pPr>
      <w:r>
        <w:rPr>
          <w:rFonts w:ascii="Times New Roman" w:hAnsi="Times New Roman" w:cs="Times New Roman"/>
        </w:rPr>
        <w:t>RURAL DEVELOPMENT N.O</w:t>
      </w:r>
    </w:p>
    <w:p w14:paraId="4E83742D" w14:textId="0C3A64D1" w:rsidR="0030677A" w:rsidRDefault="00F375C1" w:rsidP="0030677A">
      <w:pPr>
        <w:spacing w:after="0" w:line="240" w:lineRule="auto"/>
        <w:rPr>
          <w:rFonts w:ascii="Times New Roman" w:hAnsi="Times New Roman" w:cs="Times New Roman"/>
        </w:rPr>
      </w:pPr>
      <w:r>
        <w:rPr>
          <w:rFonts w:ascii="Times New Roman" w:hAnsi="Times New Roman" w:cs="Times New Roman"/>
        </w:rPr>
        <w:t>a</w:t>
      </w:r>
      <w:r w:rsidR="00F45651">
        <w:rPr>
          <w:rFonts w:ascii="Times New Roman" w:hAnsi="Times New Roman" w:cs="Times New Roman"/>
        </w:rPr>
        <w:t>nd</w:t>
      </w:r>
    </w:p>
    <w:p w14:paraId="4184A3FD" w14:textId="72A98DF5" w:rsidR="00F375C1" w:rsidRDefault="00F375C1" w:rsidP="0030677A">
      <w:pPr>
        <w:spacing w:after="0" w:line="240" w:lineRule="auto"/>
        <w:rPr>
          <w:rFonts w:ascii="Times New Roman" w:hAnsi="Times New Roman" w:cs="Times New Roman"/>
        </w:rPr>
      </w:pPr>
      <w:r>
        <w:rPr>
          <w:rFonts w:ascii="Times New Roman" w:hAnsi="Times New Roman" w:cs="Times New Roman"/>
        </w:rPr>
        <w:t>MUTASA RURAL DISTRICT COUNCIL</w:t>
      </w:r>
    </w:p>
    <w:p w14:paraId="5539ADF1" w14:textId="4D1D7EE7" w:rsidR="00F375C1" w:rsidRDefault="00F375C1" w:rsidP="0030677A">
      <w:pPr>
        <w:spacing w:after="0" w:line="240" w:lineRule="auto"/>
        <w:rPr>
          <w:rFonts w:ascii="Times New Roman" w:hAnsi="Times New Roman" w:cs="Times New Roman"/>
        </w:rPr>
      </w:pPr>
      <w:r>
        <w:rPr>
          <w:rFonts w:ascii="Times New Roman" w:hAnsi="Times New Roman" w:cs="Times New Roman"/>
        </w:rPr>
        <w:t>and</w:t>
      </w:r>
    </w:p>
    <w:p w14:paraId="17928175" w14:textId="4D1910A9" w:rsidR="00F375C1" w:rsidRDefault="00F375C1" w:rsidP="0030677A">
      <w:pPr>
        <w:spacing w:after="0" w:line="240" w:lineRule="auto"/>
        <w:rPr>
          <w:rFonts w:ascii="Times New Roman" w:hAnsi="Times New Roman" w:cs="Times New Roman"/>
        </w:rPr>
      </w:pPr>
      <w:r>
        <w:rPr>
          <w:rFonts w:ascii="Times New Roman" w:hAnsi="Times New Roman" w:cs="Times New Roman"/>
        </w:rPr>
        <w:t xml:space="preserve">MUTASA DISTRICT AND RURAL DISTRICT DEVELOPMENT COORDINATOR N.O </w:t>
      </w:r>
    </w:p>
    <w:p w14:paraId="0766BCF4" w14:textId="77777777" w:rsidR="00F45651" w:rsidRDefault="00F45651" w:rsidP="0030677A">
      <w:pPr>
        <w:spacing w:after="0" w:line="240" w:lineRule="auto"/>
        <w:rPr>
          <w:rFonts w:ascii="Times New Roman" w:hAnsi="Times New Roman" w:cs="Times New Roman"/>
        </w:rPr>
      </w:pPr>
    </w:p>
    <w:p w14:paraId="1DFFC2E0" w14:textId="77777777" w:rsidR="00F375C1" w:rsidRDefault="00F375C1"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04890354"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52291B">
        <w:rPr>
          <w:rFonts w:ascii="Times New Roman" w:hAnsi="Times New Roman" w:cs="Times New Roman"/>
        </w:rPr>
        <w:t>29</w:t>
      </w:r>
      <w:r w:rsidR="00FD4361">
        <w:rPr>
          <w:rFonts w:ascii="Times New Roman" w:hAnsi="Times New Roman" w:cs="Times New Roman"/>
        </w:rPr>
        <w:t xml:space="preserve"> M</w:t>
      </w:r>
      <w:r w:rsidR="00F45651">
        <w:rPr>
          <w:rFonts w:ascii="Times New Roman" w:hAnsi="Times New Roman" w:cs="Times New Roman"/>
        </w:rPr>
        <w:t xml:space="preserve">ay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7EF76065" w:rsidR="00F45651" w:rsidRDefault="005F34D1" w:rsidP="005F145F">
      <w:pPr>
        <w:spacing w:after="0" w:line="240" w:lineRule="auto"/>
        <w:rPr>
          <w:rFonts w:ascii="Times New Roman" w:hAnsi="Times New Roman" w:cs="Times New Roman"/>
          <w:b/>
          <w:bCs/>
        </w:rPr>
      </w:pPr>
      <w:r>
        <w:rPr>
          <w:rFonts w:ascii="Times New Roman" w:hAnsi="Times New Roman" w:cs="Times New Roman"/>
          <w:b/>
          <w:bCs/>
        </w:rPr>
        <w:t>OPPOSED APPLICATION</w:t>
      </w:r>
    </w:p>
    <w:p w14:paraId="0D46695A" w14:textId="77777777" w:rsidR="00F45651" w:rsidRDefault="00F45651" w:rsidP="005F145F">
      <w:pPr>
        <w:spacing w:after="0" w:line="240" w:lineRule="auto"/>
        <w:rPr>
          <w:rFonts w:ascii="Times New Roman" w:hAnsi="Times New Roman" w:cs="Times New Roman"/>
          <w:b/>
          <w:bCs/>
        </w:rPr>
      </w:pPr>
    </w:p>
    <w:p w14:paraId="18EE2358" w14:textId="77777777" w:rsidR="00F45651" w:rsidRDefault="00F45651" w:rsidP="005F145F">
      <w:pPr>
        <w:spacing w:after="0" w:line="240" w:lineRule="auto"/>
        <w:rPr>
          <w:rFonts w:ascii="Times New Roman" w:hAnsi="Times New Roman" w:cs="Times New Roman"/>
          <w:b/>
          <w:bCs/>
        </w:rPr>
      </w:pPr>
    </w:p>
    <w:p w14:paraId="2E35D5C6" w14:textId="4F7F9309" w:rsidR="00F45651" w:rsidRDefault="00F45651" w:rsidP="005F145F">
      <w:pPr>
        <w:spacing w:after="0" w:line="240" w:lineRule="auto"/>
        <w:rPr>
          <w:rFonts w:ascii="Times New Roman" w:hAnsi="Times New Roman" w:cs="Times New Roman"/>
        </w:rPr>
      </w:pPr>
      <w:r>
        <w:rPr>
          <w:rFonts w:ascii="Times New Roman" w:hAnsi="Times New Roman" w:cs="Times New Roman"/>
        </w:rPr>
        <w:t xml:space="preserve">Mr </w:t>
      </w:r>
      <w:r w:rsidR="005C3597">
        <w:rPr>
          <w:rFonts w:ascii="Times New Roman" w:hAnsi="Times New Roman" w:cs="Times New Roman"/>
          <w:i/>
          <w:iCs/>
        </w:rPr>
        <w:t>M.M Ndebele</w:t>
      </w:r>
      <w:r>
        <w:rPr>
          <w:rFonts w:ascii="Times New Roman" w:hAnsi="Times New Roman" w:cs="Times New Roman"/>
        </w:rPr>
        <w:t xml:space="preserve">, for the applicant </w:t>
      </w:r>
    </w:p>
    <w:p w14:paraId="51BF3E61" w14:textId="229E0601" w:rsidR="005C3597" w:rsidRPr="005C3597" w:rsidRDefault="005C3597" w:rsidP="005F145F">
      <w:pPr>
        <w:spacing w:after="0" w:line="240" w:lineRule="auto"/>
        <w:rPr>
          <w:rFonts w:ascii="Times New Roman" w:hAnsi="Times New Roman" w:cs="Times New Roman"/>
        </w:rPr>
      </w:pPr>
      <w:r>
        <w:rPr>
          <w:rFonts w:ascii="Times New Roman" w:hAnsi="Times New Roman" w:cs="Times New Roman"/>
        </w:rPr>
        <w:t xml:space="preserve">Mr … </w:t>
      </w:r>
      <w:r>
        <w:rPr>
          <w:rFonts w:ascii="Times New Roman" w:hAnsi="Times New Roman" w:cs="Times New Roman"/>
          <w:i/>
          <w:iCs/>
        </w:rPr>
        <w:t>Maunga (Jr)</w:t>
      </w:r>
      <w:r>
        <w:rPr>
          <w:rFonts w:ascii="Times New Roman" w:hAnsi="Times New Roman" w:cs="Times New Roman"/>
        </w:rPr>
        <w:t>, for 1</w:t>
      </w:r>
      <w:r w:rsidRPr="005C3597">
        <w:rPr>
          <w:rFonts w:ascii="Times New Roman" w:hAnsi="Times New Roman" w:cs="Times New Roman"/>
          <w:vertAlign w:val="superscript"/>
        </w:rPr>
        <w:t>st</w:t>
      </w:r>
      <w:r>
        <w:rPr>
          <w:rFonts w:ascii="Times New Roman" w:hAnsi="Times New Roman" w:cs="Times New Roman"/>
        </w:rPr>
        <w:t xml:space="preserve"> respondent </w:t>
      </w:r>
    </w:p>
    <w:p w14:paraId="4F732F42" w14:textId="33DAF096" w:rsidR="005F145F" w:rsidRDefault="00F45651" w:rsidP="005F145F">
      <w:pPr>
        <w:spacing w:after="0" w:line="240" w:lineRule="auto"/>
        <w:rPr>
          <w:rFonts w:ascii="Times New Roman" w:hAnsi="Times New Roman" w:cs="Times New Roman"/>
        </w:rPr>
      </w:pPr>
      <w:r>
        <w:rPr>
          <w:rFonts w:ascii="Times New Roman" w:hAnsi="Times New Roman" w:cs="Times New Roman"/>
        </w:rPr>
        <w:t xml:space="preserve">Mr </w:t>
      </w:r>
      <w:r>
        <w:rPr>
          <w:rFonts w:ascii="Times New Roman" w:hAnsi="Times New Roman" w:cs="Times New Roman"/>
          <w:i/>
          <w:iCs/>
        </w:rPr>
        <w:t xml:space="preserve">B </w:t>
      </w:r>
      <w:r w:rsidR="005C3597">
        <w:rPr>
          <w:rFonts w:ascii="Times New Roman" w:hAnsi="Times New Roman" w:cs="Times New Roman"/>
          <w:i/>
          <w:iCs/>
        </w:rPr>
        <w:t>Zviuya</w:t>
      </w:r>
      <w:r>
        <w:rPr>
          <w:rFonts w:ascii="Times New Roman" w:hAnsi="Times New Roman" w:cs="Times New Roman"/>
        </w:rPr>
        <w:t xml:space="preserve">, for the </w:t>
      </w:r>
      <w:r w:rsidR="005C3597">
        <w:rPr>
          <w:rFonts w:ascii="Times New Roman" w:hAnsi="Times New Roman" w:cs="Times New Roman"/>
        </w:rPr>
        <w:t>3</w:t>
      </w:r>
      <w:r w:rsidR="005C3597" w:rsidRPr="005C3597">
        <w:rPr>
          <w:rFonts w:ascii="Times New Roman" w:hAnsi="Times New Roman" w:cs="Times New Roman"/>
          <w:vertAlign w:val="superscript"/>
        </w:rPr>
        <w:t>rd</w:t>
      </w:r>
      <w:r w:rsidR="005C3597">
        <w:rPr>
          <w:rFonts w:ascii="Times New Roman" w:hAnsi="Times New Roman" w:cs="Times New Roman"/>
        </w:rPr>
        <w:t xml:space="preserve"> </w:t>
      </w:r>
      <w:r>
        <w:rPr>
          <w:rFonts w:ascii="Times New Roman" w:hAnsi="Times New Roman" w:cs="Times New Roman"/>
        </w:rPr>
        <w:t>respondent</w:t>
      </w:r>
    </w:p>
    <w:p w14:paraId="1D303D11" w14:textId="02183834" w:rsidR="005C3597" w:rsidRPr="005C3597" w:rsidRDefault="005C3597" w:rsidP="005F145F">
      <w:pPr>
        <w:spacing w:after="0" w:line="240" w:lineRule="auto"/>
        <w:rPr>
          <w:rFonts w:ascii="Times New Roman" w:hAnsi="Times New Roman" w:cs="Times New Roman"/>
          <w:b/>
          <w:bCs/>
        </w:rPr>
      </w:pPr>
      <w:r>
        <w:rPr>
          <w:rFonts w:ascii="Times New Roman" w:hAnsi="Times New Roman" w:cs="Times New Roman"/>
        </w:rPr>
        <w:t xml:space="preserve">Mr </w:t>
      </w:r>
      <w:r>
        <w:rPr>
          <w:rFonts w:ascii="Times New Roman" w:hAnsi="Times New Roman" w:cs="Times New Roman"/>
          <w:i/>
          <w:iCs/>
        </w:rPr>
        <w:t>P Garwe</w:t>
      </w:r>
      <w:r>
        <w:rPr>
          <w:rFonts w:ascii="Times New Roman" w:hAnsi="Times New Roman" w:cs="Times New Roman"/>
        </w:rPr>
        <w:t>, for 2</w:t>
      </w:r>
      <w:r w:rsidRPr="005C3597">
        <w:rPr>
          <w:rFonts w:ascii="Times New Roman" w:hAnsi="Times New Roman" w:cs="Times New Roman"/>
          <w:vertAlign w:val="superscript"/>
        </w:rPr>
        <w:t>nd</w:t>
      </w:r>
      <w:r>
        <w:rPr>
          <w:rFonts w:ascii="Times New Roman" w:hAnsi="Times New Roman" w:cs="Times New Roman"/>
        </w:rPr>
        <w:t xml:space="preserve"> - 4</w:t>
      </w:r>
      <w:r w:rsidRPr="005C3597">
        <w:rPr>
          <w:rFonts w:ascii="Times New Roman" w:hAnsi="Times New Roman" w:cs="Times New Roman"/>
          <w:vertAlign w:val="superscript"/>
        </w:rPr>
        <w:t>th</w:t>
      </w:r>
      <w:r>
        <w:rPr>
          <w:rFonts w:ascii="Times New Roman" w:hAnsi="Times New Roman" w:cs="Times New Roman"/>
        </w:rPr>
        <w:t xml:space="preserve"> respondents </w:t>
      </w:r>
    </w:p>
    <w:p w14:paraId="45B1C22E" w14:textId="77777777" w:rsidR="005F145F" w:rsidRDefault="005F145F" w:rsidP="0030677A">
      <w:pPr>
        <w:spacing w:after="0" w:line="240" w:lineRule="auto"/>
        <w:rPr>
          <w:rFonts w:ascii="Times New Roman" w:hAnsi="Times New Roman" w:cs="Times New Roman"/>
        </w:rPr>
      </w:pPr>
    </w:p>
    <w:p w14:paraId="36823FE8" w14:textId="6A503B46" w:rsidR="005132B8" w:rsidRDefault="005F145F" w:rsidP="009B1934">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9B1934">
        <w:rPr>
          <w:rFonts w:ascii="Times New Roman" w:hAnsi="Times New Roman" w:cs="Times New Roman"/>
        </w:rPr>
        <w:t xml:space="preserve">On 16 February 2017 </w:t>
      </w:r>
      <w:r w:rsidR="00A56DFB">
        <w:rPr>
          <w:rFonts w:ascii="Times New Roman" w:hAnsi="Times New Roman" w:cs="Times New Roman"/>
        </w:rPr>
        <w:t>applicant</w:t>
      </w:r>
      <w:r w:rsidR="009B1934">
        <w:rPr>
          <w:rFonts w:ascii="Times New Roman" w:hAnsi="Times New Roman" w:cs="Times New Roman"/>
        </w:rPr>
        <w:t xml:space="preserve"> and first </w:t>
      </w:r>
      <w:r w:rsidR="00A56DFB">
        <w:rPr>
          <w:rFonts w:ascii="Times New Roman" w:hAnsi="Times New Roman" w:cs="Times New Roman"/>
        </w:rPr>
        <w:t>respondent</w:t>
      </w:r>
      <w:r w:rsidR="009B1934">
        <w:rPr>
          <w:rFonts w:ascii="Times New Roman" w:hAnsi="Times New Roman" w:cs="Times New Roman"/>
        </w:rPr>
        <w:t xml:space="preserve"> signed a Memorandum of Agreement relating to 6 stands located in </w:t>
      </w:r>
      <w:r w:rsidR="00A56DFB">
        <w:rPr>
          <w:rFonts w:ascii="Times New Roman" w:hAnsi="Times New Roman" w:cs="Times New Roman"/>
        </w:rPr>
        <w:t>applicant’s</w:t>
      </w:r>
      <w:r w:rsidR="009B1934">
        <w:rPr>
          <w:rFonts w:ascii="Times New Roman" w:hAnsi="Times New Roman" w:cs="Times New Roman"/>
        </w:rPr>
        <w:t xml:space="preserve"> piece of land effectively compensating first respondent’s loss of land consumed by roads developed in lieu of </w:t>
      </w:r>
      <w:r w:rsidR="00A56DFB">
        <w:rPr>
          <w:rFonts w:ascii="Times New Roman" w:hAnsi="Times New Roman" w:cs="Times New Roman"/>
        </w:rPr>
        <w:t>applicant’s</w:t>
      </w:r>
      <w:r w:rsidR="009B1934">
        <w:rPr>
          <w:rFonts w:ascii="Times New Roman" w:hAnsi="Times New Roman" w:cs="Times New Roman"/>
        </w:rPr>
        <w:t xml:space="preserve"> housing project in Mutasa District. The ceded land added up to 4220 hectares. After the Memorandum of Agreement first respondent proceeded to have that ceded piece of land registered in its name. the Memorandum of Agreement was then filed with the District Administrator’s office, the second respondent, the Ministry </w:t>
      </w:r>
      <w:r w:rsidR="00A56DFB">
        <w:rPr>
          <w:rFonts w:ascii="Times New Roman" w:hAnsi="Times New Roman" w:cs="Times New Roman"/>
        </w:rPr>
        <w:t xml:space="preserve">of Lands and then Rural Resettlement and Mutasa Rural District Council. </w:t>
      </w:r>
    </w:p>
    <w:p w14:paraId="49582E83" w14:textId="0CDF7C63" w:rsidR="006A0E62" w:rsidRDefault="006A0E62" w:rsidP="009B1934">
      <w:pPr>
        <w:spacing w:after="0" w:line="360" w:lineRule="auto"/>
        <w:jc w:val="both"/>
        <w:rPr>
          <w:rFonts w:ascii="Times New Roman" w:hAnsi="Times New Roman" w:cs="Times New Roman"/>
        </w:rPr>
      </w:pPr>
      <w:r>
        <w:rPr>
          <w:rFonts w:ascii="Times New Roman" w:hAnsi="Times New Roman" w:cs="Times New Roman"/>
        </w:rPr>
        <w:tab/>
        <w:t xml:space="preserve">After the applicant had notified all these government offices, it wrote a letter of complaint to the Chief Lands Officer for Manicaland Province to the following effect: </w:t>
      </w:r>
    </w:p>
    <w:p w14:paraId="1814263C" w14:textId="4D2E5EF7" w:rsidR="00C82565" w:rsidRDefault="00C82565" w:rsidP="00C82565">
      <w:pPr>
        <w:spacing w:after="0" w:line="240" w:lineRule="auto"/>
        <w:ind w:left="720"/>
        <w:jc w:val="both"/>
        <w:rPr>
          <w:rFonts w:ascii="Times New Roman" w:hAnsi="Times New Roman" w:cs="Times New Roman"/>
          <w:i/>
          <w:iCs/>
          <w:sz w:val="22"/>
          <w:szCs w:val="22"/>
        </w:rPr>
      </w:pPr>
      <w:r w:rsidRPr="00C82565">
        <w:rPr>
          <w:rFonts w:ascii="Times New Roman" w:hAnsi="Times New Roman" w:cs="Times New Roman"/>
          <w:i/>
          <w:iCs/>
          <w:sz w:val="22"/>
          <w:szCs w:val="22"/>
        </w:rPr>
        <w:t xml:space="preserve">“We seek to have the agreement revoked as it was signed under duress from your </w:t>
      </w:r>
      <w:proofErr w:type="gramStart"/>
      <w:r w:rsidRPr="00C82565">
        <w:rPr>
          <w:rFonts w:ascii="Times New Roman" w:hAnsi="Times New Roman" w:cs="Times New Roman"/>
          <w:i/>
          <w:iCs/>
          <w:sz w:val="22"/>
          <w:szCs w:val="22"/>
        </w:rPr>
        <w:t>office  without</w:t>
      </w:r>
      <w:proofErr w:type="gramEnd"/>
      <w:r w:rsidRPr="00C82565">
        <w:rPr>
          <w:rFonts w:ascii="Times New Roman" w:hAnsi="Times New Roman" w:cs="Times New Roman"/>
          <w:i/>
          <w:iCs/>
          <w:sz w:val="22"/>
          <w:szCs w:val="22"/>
        </w:rPr>
        <w:t xml:space="preserve"> considering that the mistake to allocate two </w:t>
      </w:r>
      <w:proofErr w:type="spellStart"/>
      <w:r w:rsidRPr="00C82565">
        <w:rPr>
          <w:rFonts w:ascii="Times New Roman" w:hAnsi="Times New Roman" w:cs="Times New Roman"/>
          <w:i/>
          <w:iCs/>
          <w:sz w:val="22"/>
          <w:szCs w:val="22"/>
        </w:rPr>
        <w:t>organisations</w:t>
      </w:r>
      <w:proofErr w:type="spellEnd"/>
      <w:r w:rsidRPr="00C82565">
        <w:rPr>
          <w:rFonts w:ascii="Times New Roman" w:hAnsi="Times New Roman" w:cs="Times New Roman"/>
          <w:i/>
          <w:iCs/>
          <w:sz w:val="22"/>
          <w:szCs w:val="22"/>
        </w:rPr>
        <w:t xml:space="preserve"> the same piece of land was your mistake. You personally insisted that we sign the agreement on the conditions that were proffered by Evangelical Anglican Church in spite of all protest and desire for you to see reason being rejected.”  </w:t>
      </w:r>
    </w:p>
    <w:p w14:paraId="5BB054A1" w14:textId="77777777" w:rsidR="00C82565" w:rsidRDefault="00C82565" w:rsidP="00C82565">
      <w:pPr>
        <w:spacing w:after="0" w:line="240" w:lineRule="auto"/>
        <w:jc w:val="both"/>
        <w:rPr>
          <w:rFonts w:ascii="Times New Roman" w:hAnsi="Times New Roman" w:cs="Times New Roman"/>
          <w:i/>
          <w:iCs/>
          <w:sz w:val="22"/>
          <w:szCs w:val="22"/>
        </w:rPr>
      </w:pPr>
    </w:p>
    <w:p w14:paraId="4EDA6E81" w14:textId="2CFCCADC" w:rsidR="00C82565" w:rsidRDefault="00C82565" w:rsidP="00C82565">
      <w:pPr>
        <w:spacing w:after="0" w:line="360" w:lineRule="auto"/>
        <w:jc w:val="both"/>
        <w:rPr>
          <w:rFonts w:ascii="Times New Roman" w:hAnsi="Times New Roman" w:cs="Times New Roman"/>
        </w:rPr>
      </w:pPr>
      <w:r>
        <w:rPr>
          <w:rFonts w:ascii="Times New Roman" w:hAnsi="Times New Roman" w:cs="Times New Roman"/>
          <w:sz w:val="22"/>
          <w:szCs w:val="22"/>
        </w:rPr>
        <w:lastRenderedPageBreak/>
        <w:tab/>
      </w:r>
      <w:r w:rsidRPr="00C82565">
        <w:rPr>
          <w:rFonts w:ascii="Times New Roman" w:hAnsi="Times New Roman" w:cs="Times New Roman"/>
        </w:rPr>
        <w:t xml:space="preserve">This complaint apparently relates to the subject </w:t>
      </w:r>
      <w:r>
        <w:rPr>
          <w:rFonts w:ascii="Times New Roman" w:hAnsi="Times New Roman" w:cs="Times New Roman"/>
        </w:rPr>
        <w:t xml:space="preserve">memorandum of Agreement of 16 February 2017. A vast of other letters speaking of the same complaint was written to various government departments and another one to the Land Commission and to the first respondent. When applicant failed to get assistance or intervention it then approached this court seeking the following relief in its draft order: </w:t>
      </w:r>
    </w:p>
    <w:p w14:paraId="51214D06" w14:textId="4993BD9F" w:rsidR="00E801F1" w:rsidRDefault="00E801F1" w:rsidP="00E801F1">
      <w:pPr>
        <w:spacing w:after="0" w:line="240" w:lineRule="auto"/>
        <w:jc w:val="both"/>
        <w:rPr>
          <w:rFonts w:ascii="Times New Roman" w:hAnsi="Times New Roman" w:cs="Times New Roman"/>
          <w:i/>
          <w:iCs/>
          <w:sz w:val="22"/>
          <w:szCs w:val="22"/>
        </w:rPr>
      </w:pPr>
      <w:r>
        <w:rPr>
          <w:rFonts w:ascii="Times New Roman" w:hAnsi="Times New Roman" w:cs="Times New Roman"/>
        </w:rPr>
        <w:tab/>
      </w:r>
      <w:r>
        <w:rPr>
          <w:rFonts w:ascii="Times New Roman" w:hAnsi="Times New Roman" w:cs="Times New Roman"/>
          <w:sz w:val="22"/>
          <w:szCs w:val="22"/>
        </w:rPr>
        <w:t>“</w:t>
      </w:r>
      <w:r>
        <w:rPr>
          <w:rFonts w:ascii="Times New Roman" w:hAnsi="Times New Roman" w:cs="Times New Roman"/>
          <w:i/>
          <w:iCs/>
          <w:sz w:val="22"/>
          <w:szCs w:val="22"/>
        </w:rPr>
        <w:t>IT IS HEREBY ORDERED AND DECLARED THAT:</w:t>
      </w:r>
    </w:p>
    <w:p w14:paraId="41BEB9DD" w14:textId="77777777" w:rsidR="00E801F1" w:rsidRPr="00E801F1" w:rsidRDefault="00E801F1" w:rsidP="00E801F1">
      <w:pPr>
        <w:spacing w:after="0" w:line="240" w:lineRule="auto"/>
        <w:jc w:val="both"/>
        <w:rPr>
          <w:rFonts w:ascii="Times New Roman" w:hAnsi="Times New Roman" w:cs="Times New Roman"/>
          <w:sz w:val="22"/>
          <w:szCs w:val="22"/>
        </w:rPr>
      </w:pPr>
    </w:p>
    <w:p w14:paraId="3ED559BC" w14:textId="1F3EFC0E" w:rsidR="00E801F1" w:rsidRDefault="001F6817" w:rsidP="00E801F1">
      <w:pPr>
        <w:pStyle w:val="ListParagraph"/>
        <w:numPr>
          <w:ilvl w:val="0"/>
          <w:numId w:val="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The application for a declaratory order be and is hereby granted.</w:t>
      </w:r>
    </w:p>
    <w:p w14:paraId="32C28184" w14:textId="012402FB" w:rsidR="001F6817" w:rsidRDefault="001F6817" w:rsidP="00E801F1">
      <w:pPr>
        <w:pStyle w:val="ListParagraph"/>
        <w:numPr>
          <w:ilvl w:val="0"/>
          <w:numId w:val="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The allocation of a portion of land to the 1</w:t>
      </w:r>
      <w:r w:rsidRPr="001F6817">
        <w:rPr>
          <w:rFonts w:ascii="Times New Roman" w:hAnsi="Times New Roman" w:cs="Times New Roman"/>
          <w:i/>
          <w:iCs/>
          <w:sz w:val="22"/>
          <w:szCs w:val="22"/>
          <w:vertAlign w:val="superscript"/>
        </w:rPr>
        <w:t>st</w:t>
      </w:r>
      <w:r>
        <w:rPr>
          <w:rFonts w:ascii="Times New Roman" w:hAnsi="Times New Roman" w:cs="Times New Roman"/>
          <w:i/>
          <w:iCs/>
          <w:sz w:val="22"/>
          <w:szCs w:val="22"/>
        </w:rPr>
        <w:t xml:space="preserve"> Respondent by the 2</w:t>
      </w:r>
      <w:r w:rsidRPr="001F6817">
        <w:rPr>
          <w:rFonts w:ascii="Times New Roman" w:hAnsi="Times New Roman" w:cs="Times New Roman"/>
          <w:i/>
          <w:iCs/>
          <w:sz w:val="22"/>
          <w:szCs w:val="22"/>
          <w:vertAlign w:val="superscript"/>
        </w:rPr>
        <w:t>nd</w:t>
      </w:r>
      <w:r>
        <w:rPr>
          <w:rFonts w:ascii="Times New Roman" w:hAnsi="Times New Roman" w:cs="Times New Roman"/>
          <w:i/>
          <w:iCs/>
          <w:sz w:val="22"/>
          <w:szCs w:val="22"/>
        </w:rPr>
        <w:t>, 3</w:t>
      </w:r>
      <w:r w:rsidRPr="001F6817">
        <w:rPr>
          <w:rFonts w:ascii="Times New Roman" w:hAnsi="Times New Roman" w:cs="Times New Roman"/>
          <w:i/>
          <w:iCs/>
          <w:sz w:val="22"/>
          <w:szCs w:val="22"/>
          <w:vertAlign w:val="superscript"/>
        </w:rPr>
        <w:t>rd</w:t>
      </w:r>
      <w:r>
        <w:rPr>
          <w:rFonts w:ascii="Times New Roman" w:hAnsi="Times New Roman" w:cs="Times New Roman"/>
          <w:i/>
          <w:iCs/>
          <w:sz w:val="22"/>
          <w:szCs w:val="22"/>
        </w:rPr>
        <w:t xml:space="preserve"> and 4</w:t>
      </w:r>
      <w:r w:rsidRPr="001F6817">
        <w:rPr>
          <w:rFonts w:ascii="Times New Roman" w:hAnsi="Times New Roman" w:cs="Times New Roman"/>
          <w:i/>
          <w:iCs/>
          <w:sz w:val="22"/>
          <w:szCs w:val="22"/>
          <w:vertAlign w:val="superscript"/>
        </w:rPr>
        <w:t>th</w:t>
      </w:r>
      <w:r>
        <w:rPr>
          <w:rFonts w:ascii="Times New Roman" w:hAnsi="Times New Roman" w:cs="Times New Roman"/>
          <w:i/>
          <w:iCs/>
          <w:sz w:val="22"/>
          <w:szCs w:val="22"/>
        </w:rPr>
        <w:t xml:space="preserve"> Respondents within Lot 1 of Fairview Estate Mutasa Rural District measuring 40 hectares in extent be and is hereby declared null and void.</w:t>
      </w:r>
    </w:p>
    <w:p w14:paraId="6B6BF9D1" w14:textId="2D19219F" w:rsidR="001F6817" w:rsidRDefault="001F6817" w:rsidP="00E801F1">
      <w:pPr>
        <w:pStyle w:val="ListParagraph"/>
        <w:numPr>
          <w:ilvl w:val="0"/>
          <w:numId w:val="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The agreement entered into between the Applicant and first Respondent on the 16</w:t>
      </w:r>
      <w:r w:rsidRPr="001F6817">
        <w:rPr>
          <w:rFonts w:ascii="Times New Roman" w:hAnsi="Times New Roman" w:cs="Times New Roman"/>
          <w:i/>
          <w:iCs/>
          <w:sz w:val="22"/>
          <w:szCs w:val="22"/>
          <w:vertAlign w:val="superscript"/>
        </w:rPr>
        <w:t>th</w:t>
      </w:r>
      <w:r>
        <w:rPr>
          <w:rFonts w:ascii="Times New Roman" w:hAnsi="Times New Roman" w:cs="Times New Roman"/>
          <w:i/>
          <w:iCs/>
          <w:sz w:val="22"/>
          <w:szCs w:val="22"/>
        </w:rPr>
        <w:t xml:space="preserve"> February 2017 which purportedly cedes residential stands number 2004, 2005, 2006, 2008, 2009 and 2010, as compensation for the road allegedly passing through the 1</w:t>
      </w:r>
      <w:r w:rsidRPr="001F6817">
        <w:rPr>
          <w:rFonts w:ascii="Times New Roman" w:hAnsi="Times New Roman" w:cs="Times New Roman"/>
          <w:i/>
          <w:iCs/>
          <w:sz w:val="22"/>
          <w:szCs w:val="22"/>
          <w:vertAlign w:val="superscript"/>
        </w:rPr>
        <w:t>st</w:t>
      </w:r>
      <w:r>
        <w:rPr>
          <w:rFonts w:ascii="Times New Roman" w:hAnsi="Times New Roman" w:cs="Times New Roman"/>
          <w:i/>
          <w:iCs/>
          <w:sz w:val="22"/>
          <w:szCs w:val="22"/>
        </w:rPr>
        <w:t xml:space="preserve"> Respondent’s stand and subsequently endorsed by the second, third and fourth respondents be and is hereby declared void and illegal and of no force or effect.</w:t>
      </w:r>
    </w:p>
    <w:p w14:paraId="1C4CEC4A" w14:textId="7DEC2B3C" w:rsidR="001F6817" w:rsidRDefault="001F6817" w:rsidP="00E801F1">
      <w:pPr>
        <w:pStyle w:val="ListParagraph"/>
        <w:numPr>
          <w:ilvl w:val="0"/>
          <w:numId w:val="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The 1</w:t>
      </w:r>
      <w:r w:rsidRPr="001F6817">
        <w:rPr>
          <w:rFonts w:ascii="Times New Roman" w:hAnsi="Times New Roman" w:cs="Times New Roman"/>
          <w:i/>
          <w:iCs/>
          <w:sz w:val="22"/>
          <w:szCs w:val="22"/>
          <w:vertAlign w:val="superscript"/>
        </w:rPr>
        <w:t>st</w:t>
      </w:r>
      <w:r>
        <w:rPr>
          <w:rFonts w:ascii="Times New Roman" w:hAnsi="Times New Roman" w:cs="Times New Roman"/>
          <w:i/>
          <w:iCs/>
          <w:sz w:val="22"/>
          <w:szCs w:val="22"/>
        </w:rPr>
        <w:t xml:space="preserve"> Respondent and all those enjoying occupation through it be and is hereby ordered to vacate the premises located with a portion of land of Lot 1 of Fairview Estate, Mutasa Rural District, measuring 40 hectares in extent, allocated </w:t>
      </w:r>
      <w:proofErr w:type="spellStart"/>
      <w:r>
        <w:rPr>
          <w:rFonts w:ascii="Times New Roman" w:hAnsi="Times New Roman" w:cs="Times New Roman"/>
          <w:i/>
          <w:iCs/>
          <w:sz w:val="22"/>
          <w:szCs w:val="22"/>
        </w:rPr>
        <w:t>underlease</w:t>
      </w:r>
      <w:proofErr w:type="spellEnd"/>
      <w:r>
        <w:rPr>
          <w:rFonts w:ascii="Times New Roman" w:hAnsi="Times New Roman" w:cs="Times New Roman"/>
          <w:i/>
          <w:iCs/>
          <w:sz w:val="22"/>
          <w:szCs w:val="22"/>
        </w:rPr>
        <w:t xml:space="preserve"> number GL 1569 and transferred to the Applicant for housing project, within 14 days of the granting of this order. </w:t>
      </w:r>
    </w:p>
    <w:p w14:paraId="05BDA46E" w14:textId="0EE61F5C" w:rsidR="001F6817" w:rsidRPr="00E801F1" w:rsidRDefault="001F6817" w:rsidP="00E801F1">
      <w:pPr>
        <w:pStyle w:val="ListParagraph"/>
        <w:numPr>
          <w:ilvl w:val="0"/>
          <w:numId w:val="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The first Respondent to pay costs of suit</w:t>
      </w:r>
      <w:r w:rsidR="008E50A1">
        <w:rPr>
          <w:rFonts w:ascii="Times New Roman" w:hAnsi="Times New Roman" w:cs="Times New Roman"/>
          <w:i/>
          <w:iCs/>
          <w:sz w:val="22"/>
          <w:szCs w:val="22"/>
        </w:rPr>
        <w:t xml:space="preserve"> on attorney-client scale</w:t>
      </w:r>
      <w:r w:rsidR="008E50A1">
        <w:rPr>
          <w:rFonts w:ascii="Times New Roman" w:hAnsi="Times New Roman" w:cs="Times New Roman"/>
          <w:sz w:val="22"/>
          <w:szCs w:val="22"/>
        </w:rPr>
        <w:t xml:space="preserve">” </w:t>
      </w:r>
      <w:r>
        <w:rPr>
          <w:rFonts w:ascii="Times New Roman" w:hAnsi="Times New Roman" w:cs="Times New Roman"/>
          <w:i/>
          <w:iCs/>
          <w:sz w:val="22"/>
          <w:szCs w:val="22"/>
        </w:rPr>
        <w:t xml:space="preserve"> </w:t>
      </w:r>
    </w:p>
    <w:p w14:paraId="7FDDBEC6" w14:textId="77777777" w:rsidR="008E0FF9" w:rsidRDefault="008E0FF9" w:rsidP="002439E7">
      <w:pPr>
        <w:spacing w:after="0" w:line="240" w:lineRule="auto"/>
        <w:jc w:val="both"/>
        <w:rPr>
          <w:rFonts w:ascii="Times New Roman" w:hAnsi="Times New Roman" w:cs="Times New Roman"/>
          <w:sz w:val="28"/>
          <w:szCs w:val="28"/>
        </w:rPr>
      </w:pPr>
    </w:p>
    <w:p w14:paraId="09860109" w14:textId="44AF3476" w:rsidR="002439E7" w:rsidRDefault="002439E7" w:rsidP="000C0BF5">
      <w:pPr>
        <w:spacing w:after="0" w:line="360" w:lineRule="auto"/>
        <w:ind w:firstLine="720"/>
        <w:jc w:val="both"/>
        <w:rPr>
          <w:rFonts w:ascii="Times New Roman" w:hAnsi="Times New Roman" w:cs="Times New Roman"/>
        </w:rPr>
      </w:pPr>
      <w:r>
        <w:rPr>
          <w:rFonts w:ascii="Times New Roman" w:hAnsi="Times New Roman" w:cs="Times New Roman"/>
        </w:rPr>
        <w:t xml:space="preserve">All four respondents are opposing the application. First respondent raises three points </w:t>
      </w:r>
      <w:r>
        <w:rPr>
          <w:rFonts w:ascii="Times New Roman" w:hAnsi="Times New Roman" w:cs="Times New Roman"/>
          <w:i/>
          <w:iCs/>
        </w:rPr>
        <w:t>in limine</w:t>
      </w:r>
      <w:r>
        <w:rPr>
          <w:rFonts w:ascii="Times New Roman" w:hAnsi="Times New Roman" w:cs="Times New Roman"/>
        </w:rPr>
        <w:t>. The first preliminary point</w:t>
      </w:r>
      <w:r w:rsidR="000C0BF5">
        <w:rPr>
          <w:rFonts w:ascii="Times New Roman" w:hAnsi="Times New Roman" w:cs="Times New Roman"/>
        </w:rPr>
        <w:t xml:space="preserve"> relates to material disputes of fact. The view of fist respondent is that applicant’s cause of action is based on a claim that applicant’s title precedes that of first respondent. Applicant also contents that its title did not encroach upon applicant’s church stand. Both of these [positions are controverted by first respondent and based on papers filed of record none of these issues can easily be resolved on paper without leading oral evidence. The court is left confused as to the real situation buttressed by credible evidence.</w:t>
      </w:r>
    </w:p>
    <w:p w14:paraId="1096EB1A" w14:textId="55EB34CB" w:rsidR="000C0BF5" w:rsidRDefault="000C0BF5" w:rsidP="000C0BF5">
      <w:pPr>
        <w:spacing w:after="0" w:line="360" w:lineRule="auto"/>
        <w:ind w:firstLine="720"/>
        <w:jc w:val="both"/>
        <w:rPr>
          <w:rFonts w:ascii="Times New Roman" w:hAnsi="Times New Roman" w:cs="Times New Roman"/>
        </w:rPr>
      </w:pPr>
      <w:r>
        <w:rPr>
          <w:rFonts w:ascii="Times New Roman" w:hAnsi="Times New Roman" w:cs="Times New Roman"/>
        </w:rPr>
        <w:t xml:space="preserve">The second point </w:t>
      </w:r>
      <w:r>
        <w:rPr>
          <w:rFonts w:ascii="Times New Roman" w:hAnsi="Times New Roman" w:cs="Times New Roman"/>
          <w:i/>
          <w:iCs/>
        </w:rPr>
        <w:t>in limine</w:t>
      </w:r>
      <w:r>
        <w:rPr>
          <w:rFonts w:ascii="Times New Roman" w:hAnsi="Times New Roman" w:cs="Times New Roman"/>
        </w:rPr>
        <w:t xml:space="preserve"> relates to unpaid legal costs incurred under HC11/21 where applicant withdrew any application and tendered costs to the first respondent.</w:t>
      </w:r>
    </w:p>
    <w:p w14:paraId="33E63665" w14:textId="4158BB16" w:rsidR="009E0285" w:rsidRDefault="009E0285" w:rsidP="000C0BF5">
      <w:pPr>
        <w:spacing w:after="0" w:line="360" w:lineRule="auto"/>
        <w:ind w:firstLine="720"/>
        <w:jc w:val="both"/>
        <w:rPr>
          <w:rFonts w:ascii="Times New Roman" w:hAnsi="Times New Roman" w:cs="Times New Roman"/>
        </w:rPr>
      </w:pPr>
      <w:r>
        <w:rPr>
          <w:rFonts w:ascii="Times New Roman" w:hAnsi="Times New Roman" w:cs="Times New Roman"/>
        </w:rPr>
        <w:t>The final</w:t>
      </w:r>
      <w:r w:rsidR="005A33FE">
        <w:rPr>
          <w:rFonts w:ascii="Times New Roman" w:hAnsi="Times New Roman" w:cs="Times New Roman"/>
        </w:rPr>
        <w:t xml:space="preserve"> </w:t>
      </w:r>
      <w:r>
        <w:rPr>
          <w:rFonts w:ascii="Times New Roman" w:hAnsi="Times New Roman" w:cs="Times New Roman"/>
        </w:rPr>
        <w:t xml:space="preserve">point </w:t>
      </w:r>
      <w:r>
        <w:rPr>
          <w:rFonts w:ascii="Times New Roman" w:hAnsi="Times New Roman" w:cs="Times New Roman"/>
          <w:i/>
          <w:iCs/>
        </w:rPr>
        <w:t>in limine</w:t>
      </w:r>
      <w:r>
        <w:rPr>
          <w:rFonts w:ascii="Times New Roman" w:hAnsi="Times New Roman" w:cs="Times New Roman"/>
        </w:rPr>
        <w:t xml:space="preserve"> raised by first respondent is founded on prescription. It is first respondent’s </w:t>
      </w:r>
      <w:r w:rsidR="005A33FE">
        <w:rPr>
          <w:rFonts w:ascii="Times New Roman" w:hAnsi="Times New Roman" w:cs="Times New Roman"/>
        </w:rPr>
        <w:t>contention</w:t>
      </w:r>
      <w:r>
        <w:rPr>
          <w:rFonts w:ascii="Times New Roman" w:hAnsi="Times New Roman" w:cs="Times New Roman"/>
        </w:rPr>
        <w:t xml:space="preserve"> that the memorandum of agreement was concluded on n16 February 2017 and the application for a </w:t>
      </w:r>
      <w:proofErr w:type="spellStart"/>
      <w:r>
        <w:rPr>
          <w:rFonts w:ascii="Times New Roman" w:hAnsi="Times New Roman" w:cs="Times New Roman"/>
        </w:rPr>
        <w:t>declarator</w:t>
      </w:r>
      <w:proofErr w:type="spellEnd"/>
      <w:r>
        <w:rPr>
          <w:rFonts w:ascii="Times New Roman" w:hAnsi="Times New Roman" w:cs="Times New Roman"/>
        </w:rPr>
        <w:t xml:space="preserve"> has prescribed.</w:t>
      </w:r>
      <w:r w:rsidR="0006535F">
        <w:rPr>
          <w:rFonts w:ascii="Times New Roman" w:hAnsi="Times New Roman" w:cs="Times New Roman"/>
        </w:rPr>
        <w:t xml:space="preserve"> The third respondent, also raised points </w:t>
      </w:r>
      <w:r w:rsidR="0006535F">
        <w:rPr>
          <w:rFonts w:ascii="Times New Roman" w:hAnsi="Times New Roman" w:cs="Times New Roman"/>
          <w:i/>
          <w:iCs/>
        </w:rPr>
        <w:t>in limine</w:t>
      </w:r>
      <w:r w:rsidR="0006535F">
        <w:rPr>
          <w:rFonts w:ascii="Times New Roman" w:hAnsi="Times New Roman" w:cs="Times New Roman"/>
        </w:rPr>
        <w:t xml:space="preserve"> chief among them being serious material </w:t>
      </w:r>
      <w:r w:rsidR="00030065">
        <w:rPr>
          <w:rFonts w:ascii="Times New Roman" w:hAnsi="Times New Roman" w:cs="Times New Roman"/>
        </w:rPr>
        <w:t>disputes</w:t>
      </w:r>
      <w:r w:rsidR="0006535F">
        <w:rPr>
          <w:rFonts w:ascii="Times New Roman" w:hAnsi="Times New Roman" w:cs="Times New Roman"/>
        </w:rPr>
        <w:t xml:space="preserve"> of fact. According to third respondent whether first respondent’s stand is within or </w:t>
      </w:r>
      <w:r w:rsidR="008B66C1">
        <w:rPr>
          <w:rFonts w:ascii="Times New Roman" w:hAnsi="Times New Roman" w:cs="Times New Roman"/>
        </w:rPr>
        <w:t>without</w:t>
      </w:r>
      <w:r w:rsidR="0006535F">
        <w:rPr>
          <w:rFonts w:ascii="Times New Roman" w:hAnsi="Times New Roman" w:cs="Times New Roman"/>
        </w:rPr>
        <w:t xml:space="preserve"> </w:t>
      </w:r>
      <w:r w:rsidR="008B66C1">
        <w:rPr>
          <w:rFonts w:ascii="Times New Roman" w:hAnsi="Times New Roman" w:cs="Times New Roman"/>
        </w:rPr>
        <w:t>applicant’s</w:t>
      </w:r>
      <w:r w:rsidR="0006535F">
        <w:rPr>
          <w:rFonts w:ascii="Times New Roman" w:hAnsi="Times New Roman" w:cs="Times New Roman"/>
        </w:rPr>
        <w:t xml:space="preserve"> 40 </w:t>
      </w:r>
      <w:r w:rsidR="008B66C1">
        <w:rPr>
          <w:rFonts w:ascii="Times New Roman" w:hAnsi="Times New Roman" w:cs="Times New Roman"/>
        </w:rPr>
        <w:t>hectares</w:t>
      </w:r>
      <w:r w:rsidR="0006535F">
        <w:rPr>
          <w:rFonts w:ascii="Times New Roman" w:hAnsi="Times New Roman" w:cs="Times New Roman"/>
        </w:rPr>
        <w:t xml:space="preserve"> would require an </w:t>
      </w:r>
      <w:r w:rsidR="0006535F">
        <w:rPr>
          <w:rFonts w:ascii="Times New Roman" w:hAnsi="Times New Roman" w:cs="Times New Roman"/>
        </w:rPr>
        <w:lastRenderedPageBreak/>
        <w:t xml:space="preserve">expert qualified surveyor. </w:t>
      </w:r>
      <w:r w:rsidR="00AB2163">
        <w:rPr>
          <w:rFonts w:ascii="Times New Roman" w:hAnsi="Times New Roman" w:cs="Times New Roman"/>
        </w:rPr>
        <w:t xml:space="preserve">In addition applicant has to prove whether its agents signed the memorandum of agreement under duress. Third respondent also raises defence of prescription. It added that the action prescribed on 15 February 2020 after 3 years from the date of its signing. The third respondent also attacks the relief sought as being legally incompetent in failing to take </w:t>
      </w:r>
      <w:proofErr w:type="spellStart"/>
      <w:r w:rsidR="00AB2163">
        <w:rPr>
          <w:rFonts w:ascii="Times New Roman" w:hAnsi="Times New Roman" w:cs="Times New Roman"/>
        </w:rPr>
        <w:t>cognisance</w:t>
      </w:r>
      <w:proofErr w:type="spellEnd"/>
      <w:r w:rsidR="00AB2163">
        <w:rPr>
          <w:rFonts w:ascii="Times New Roman" w:hAnsi="Times New Roman" w:cs="Times New Roman"/>
        </w:rPr>
        <w:t xml:space="preserve"> </w:t>
      </w:r>
      <w:r w:rsidR="0065112D">
        <w:rPr>
          <w:rFonts w:ascii="Times New Roman" w:hAnsi="Times New Roman" w:cs="Times New Roman"/>
        </w:rPr>
        <w:t xml:space="preserve">that the agreement between applicant and first respondent is still extant. Third respondent impugns further the relief sought by applicant as per its draft order. </w:t>
      </w:r>
      <w:r w:rsidR="00ED4747">
        <w:rPr>
          <w:rFonts w:ascii="Times New Roman" w:hAnsi="Times New Roman" w:cs="Times New Roman"/>
        </w:rPr>
        <w:t>The relief</w:t>
      </w:r>
      <w:r w:rsidR="0065112D">
        <w:rPr>
          <w:rFonts w:ascii="Times New Roman" w:hAnsi="Times New Roman" w:cs="Times New Roman"/>
        </w:rPr>
        <w:t xml:space="preserve"> sought seeks the eviction of a party which was properly allocated land. </w:t>
      </w:r>
    </w:p>
    <w:p w14:paraId="46D5327C" w14:textId="77777777" w:rsidR="004E0DB4" w:rsidRDefault="0065112D" w:rsidP="000C0BF5">
      <w:pPr>
        <w:spacing w:after="0" w:line="360" w:lineRule="auto"/>
        <w:ind w:firstLine="720"/>
        <w:jc w:val="both"/>
        <w:rPr>
          <w:rFonts w:ascii="Times New Roman" w:hAnsi="Times New Roman" w:cs="Times New Roman"/>
        </w:rPr>
      </w:pPr>
      <w:r>
        <w:rPr>
          <w:rFonts w:ascii="Times New Roman" w:hAnsi="Times New Roman" w:cs="Times New Roman"/>
        </w:rPr>
        <w:t xml:space="preserve">In response to the points </w:t>
      </w:r>
      <w:r>
        <w:rPr>
          <w:rFonts w:ascii="Times New Roman" w:hAnsi="Times New Roman" w:cs="Times New Roman"/>
          <w:i/>
          <w:iCs/>
        </w:rPr>
        <w:t>in limine</w:t>
      </w:r>
      <w:r>
        <w:rPr>
          <w:rFonts w:ascii="Times New Roman" w:hAnsi="Times New Roman" w:cs="Times New Roman"/>
        </w:rPr>
        <w:t xml:space="preserve"> applicant contends that there are no material dispute of facts which would require </w:t>
      </w:r>
      <w:r>
        <w:rPr>
          <w:rFonts w:ascii="Times New Roman" w:hAnsi="Times New Roman" w:cs="Times New Roman"/>
          <w:i/>
          <w:iCs/>
        </w:rPr>
        <w:t>viva voce</w:t>
      </w:r>
      <w:r>
        <w:rPr>
          <w:rFonts w:ascii="Times New Roman" w:hAnsi="Times New Roman" w:cs="Times New Roman"/>
        </w:rPr>
        <w:t xml:space="preserve"> evidence. If there are any disputes of fact then they are capable of resolution on paper. On the question of unpaid cost applicant argues that there is a procedure open to the </w:t>
      </w:r>
      <w:r w:rsidR="00A07C58">
        <w:rPr>
          <w:rFonts w:ascii="Times New Roman" w:hAnsi="Times New Roman" w:cs="Times New Roman"/>
        </w:rPr>
        <w:t xml:space="preserve">first respondent to recover these costs. On prescription, applicant contends that the cause of action arose in August 2024 and bot 16 February 2017 when applicant gave notice of cancellation of the agreement. </w:t>
      </w:r>
      <w:r w:rsidR="00ED4747">
        <w:rPr>
          <w:rFonts w:ascii="Times New Roman" w:hAnsi="Times New Roman" w:cs="Times New Roman"/>
        </w:rPr>
        <w:t>Applicant</w:t>
      </w:r>
      <w:r w:rsidR="00A07C58">
        <w:rPr>
          <w:rFonts w:ascii="Times New Roman" w:hAnsi="Times New Roman" w:cs="Times New Roman"/>
        </w:rPr>
        <w:t xml:space="preserve"> added that a defence of prescription does not apply to a relief of a </w:t>
      </w:r>
      <w:proofErr w:type="spellStart"/>
      <w:r w:rsidR="00A07C58">
        <w:rPr>
          <w:rFonts w:ascii="Times New Roman" w:hAnsi="Times New Roman" w:cs="Times New Roman"/>
        </w:rPr>
        <w:t>declarator</w:t>
      </w:r>
      <w:proofErr w:type="spellEnd"/>
      <w:r w:rsidR="00A07C58">
        <w:rPr>
          <w:rFonts w:ascii="Times New Roman" w:hAnsi="Times New Roman" w:cs="Times New Roman"/>
        </w:rPr>
        <w:t xml:space="preserve"> it being a remedy to secure the public interest of </w:t>
      </w:r>
      <w:r w:rsidR="00ED4747">
        <w:rPr>
          <w:rFonts w:ascii="Times New Roman" w:hAnsi="Times New Roman" w:cs="Times New Roman"/>
        </w:rPr>
        <w:t>certainty</w:t>
      </w:r>
      <w:r w:rsidR="00A07C58">
        <w:rPr>
          <w:rFonts w:ascii="Times New Roman" w:hAnsi="Times New Roman" w:cs="Times New Roman"/>
        </w:rPr>
        <w:t xml:space="preserve"> or correct legal position. To the </w:t>
      </w:r>
      <w:r w:rsidR="00ED4747">
        <w:rPr>
          <w:rFonts w:ascii="Times New Roman" w:hAnsi="Times New Roman" w:cs="Times New Roman"/>
        </w:rPr>
        <w:t>applicant</w:t>
      </w:r>
      <w:r w:rsidR="00A07C58">
        <w:rPr>
          <w:rFonts w:ascii="Times New Roman" w:hAnsi="Times New Roman" w:cs="Times New Roman"/>
        </w:rPr>
        <w:t xml:space="preserve"> a declaratory order is a remedy to secure the public interest and such a remedy cannot prescribe. On issues of incompetent relief sought applicant insisted that all the reliefs sought are sound and legally competent. Applicant prayed </w:t>
      </w:r>
      <w:r w:rsidR="00ED4747">
        <w:rPr>
          <w:rFonts w:ascii="Times New Roman" w:hAnsi="Times New Roman" w:cs="Times New Roman"/>
        </w:rPr>
        <w:t xml:space="preserve">that all pints </w:t>
      </w:r>
      <w:r w:rsidR="00ED4747">
        <w:rPr>
          <w:rFonts w:ascii="Times New Roman" w:hAnsi="Times New Roman" w:cs="Times New Roman"/>
          <w:i/>
          <w:iCs/>
        </w:rPr>
        <w:t>in limine</w:t>
      </w:r>
      <w:r w:rsidR="00ED4747">
        <w:rPr>
          <w:rFonts w:ascii="Times New Roman" w:hAnsi="Times New Roman" w:cs="Times New Roman"/>
        </w:rPr>
        <w:t xml:space="preserve"> be dismissed and the court entertains the parties on merits. </w:t>
      </w:r>
    </w:p>
    <w:p w14:paraId="7272802B" w14:textId="77777777" w:rsidR="004E0DB4" w:rsidRDefault="004E0DB4" w:rsidP="004E0DB4">
      <w:pPr>
        <w:spacing w:after="0" w:line="360" w:lineRule="auto"/>
        <w:jc w:val="both"/>
        <w:rPr>
          <w:rFonts w:ascii="Times New Roman" w:hAnsi="Times New Roman" w:cs="Times New Roman"/>
        </w:rPr>
      </w:pPr>
    </w:p>
    <w:p w14:paraId="18FD26EB" w14:textId="01029F85" w:rsidR="0065112D" w:rsidRDefault="004E0DB4" w:rsidP="004E0DB4">
      <w:pPr>
        <w:spacing w:after="0" w:line="360" w:lineRule="auto"/>
        <w:jc w:val="both"/>
        <w:rPr>
          <w:rFonts w:ascii="Times New Roman" w:hAnsi="Times New Roman" w:cs="Times New Roman"/>
        </w:rPr>
      </w:pPr>
      <w:r>
        <w:rPr>
          <w:rFonts w:ascii="Times New Roman" w:hAnsi="Times New Roman" w:cs="Times New Roman"/>
        </w:rPr>
        <w:t xml:space="preserve">Disposition of points </w:t>
      </w:r>
      <w:r>
        <w:rPr>
          <w:rFonts w:ascii="Times New Roman" w:hAnsi="Times New Roman" w:cs="Times New Roman"/>
          <w:i/>
          <w:iCs/>
        </w:rPr>
        <w:t>in limine</w:t>
      </w:r>
    </w:p>
    <w:p w14:paraId="2813004B" w14:textId="03A44BC6" w:rsidR="004E0DB4" w:rsidRDefault="00EC2D98" w:rsidP="004E0DB4">
      <w:pPr>
        <w:spacing w:after="0" w:line="360" w:lineRule="auto"/>
        <w:jc w:val="both"/>
        <w:rPr>
          <w:rFonts w:ascii="Times New Roman" w:hAnsi="Times New Roman" w:cs="Times New Roman"/>
        </w:rPr>
      </w:pPr>
      <w:r>
        <w:rPr>
          <w:rFonts w:ascii="Times New Roman" w:hAnsi="Times New Roman" w:cs="Times New Roman"/>
        </w:rPr>
        <w:tab/>
        <w:t xml:space="preserve">It is incumbent upon this court to deal with points </w:t>
      </w:r>
      <w:r>
        <w:rPr>
          <w:rFonts w:ascii="Times New Roman" w:hAnsi="Times New Roman" w:cs="Times New Roman"/>
          <w:i/>
          <w:iCs/>
        </w:rPr>
        <w:t>in limine</w:t>
      </w:r>
      <w:r>
        <w:rPr>
          <w:rFonts w:ascii="Times New Roman" w:hAnsi="Times New Roman" w:cs="Times New Roman"/>
        </w:rPr>
        <w:t xml:space="preserve"> first. If I uphold the preliminary points, obviously there will be no need to transcend to the merits. If the points </w:t>
      </w:r>
      <w:r>
        <w:rPr>
          <w:rFonts w:ascii="Times New Roman" w:hAnsi="Times New Roman" w:cs="Times New Roman"/>
          <w:i/>
          <w:iCs/>
        </w:rPr>
        <w:t>in limine</w:t>
      </w:r>
      <w:r>
        <w:rPr>
          <w:rFonts w:ascii="Times New Roman" w:hAnsi="Times New Roman" w:cs="Times New Roman"/>
        </w:rPr>
        <w:t xml:space="preserve"> are disposed then I will deal with the application on merits.</w:t>
      </w:r>
    </w:p>
    <w:p w14:paraId="40BDBCB1" w14:textId="49FC994C" w:rsidR="00EC2D98" w:rsidRDefault="00EC2D98" w:rsidP="004E0DB4">
      <w:pPr>
        <w:spacing w:after="0" w:line="360" w:lineRule="auto"/>
        <w:jc w:val="both"/>
        <w:rPr>
          <w:rFonts w:ascii="Times New Roman" w:hAnsi="Times New Roman" w:cs="Times New Roman"/>
        </w:rPr>
      </w:pPr>
      <w:r>
        <w:rPr>
          <w:rFonts w:ascii="Times New Roman" w:hAnsi="Times New Roman" w:cs="Times New Roman"/>
        </w:rPr>
        <w:tab/>
      </w:r>
    </w:p>
    <w:p w14:paraId="44FBD1B4" w14:textId="2EB67EE5" w:rsidR="00EC2D98" w:rsidRDefault="00EC2D98" w:rsidP="004E0DB4">
      <w:pPr>
        <w:spacing w:after="0" w:line="360" w:lineRule="auto"/>
        <w:jc w:val="both"/>
        <w:rPr>
          <w:rFonts w:ascii="Times New Roman" w:hAnsi="Times New Roman" w:cs="Times New Roman"/>
        </w:rPr>
      </w:pPr>
      <w:r>
        <w:rPr>
          <w:rFonts w:ascii="Times New Roman" w:hAnsi="Times New Roman" w:cs="Times New Roman"/>
        </w:rPr>
        <w:t>Whether there are material disputes of fact?</w:t>
      </w:r>
    </w:p>
    <w:p w14:paraId="26A300D0" w14:textId="06C0417C" w:rsidR="00EC2D98" w:rsidRDefault="00EC2D98" w:rsidP="004E0DB4">
      <w:pPr>
        <w:spacing w:after="0" w:line="360" w:lineRule="auto"/>
        <w:jc w:val="both"/>
        <w:rPr>
          <w:rFonts w:ascii="Times New Roman" w:hAnsi="Times New Roman" w:cs="Times New Roman"/>
        </w:rPr>
      </w:pPr>
      <w:r>
        <w:rPr>
          <w:rFonts w:ascii="Times New Roman" w:hAnsi="Times New Roman" w:cs="Times New Roman"/>
        </w:rPr>
        <w:tab/>
      </w:r>
      <w:r w:rsidR="001C093A">
        <w:rPr>
          <w:rFonts w:ascii="Times New Roman" w:hAnsi="Times New Roman" w:cs="Times New Roman"/>
        </w:rPr>
        <w:t xml:space="preserve">The </w:t>
      </w:r>
      <w:proofErr w:type="spellStart"/>
      <w:r w:rsidR="001C093A">
        <w:rPr>
          <w:rFonts w:ascii="Times New Roman" w:hAnsi="Times New Roman" w:cs="Times New Roman"/>
        </w:rPr>
        <w:t>centre</w:t>
      </w:r>
      <w:proofErr w:type="spellEnd"/>
      <w:r w:rsidR="001C093A">
        <w:rPr>
          <w:rFonts w:ascii="Times New Roman" w:hAnsi="Times New Roman" w:cs="Times New Roman"/>
        </w:rPr>
        <w:t xml:space="preserve"> of dispute between </w:t>
      </w:r>
      <w:r w:rsidR="004658EF">
        <w:rPr>
          <w:rFonts w:ascii="Times New Roman" w:hAnsi="Times New Roman" w:cs="Times New Roman"/>
        </w:rPr>
        <w:t>applicant</w:t>
      </w:r>
      <w:r w:rsidR="001C093A">
        <w:rPr>
          <w:rFonts w:ascii="Times New Roman" w:hAnsi="Times New Roman" w:cs="Times New Roman"/>
        </w:rPr>
        <w:t xml:space="preserve"> and first respondent is a piece of land where the </w:t>
      </w:r>
      <w:r w:rsidR="004658EF">
        <w:rPr>
          <w:rFonts w:ascii="Times New Roman" w:hAnsi="Times New Roman" w:cs="Times New Roman"/>
        </w:rPr>
        <w:t>roads</w:t>
      </w:r>
      <w:r w:rsidR="001C093A">
        <w:rPr>
          <w:rFonts w:ascii="Times New Roman" w:hAnsi="Times New Roman" w:cs="Times New Roman"/>
        </w:rPr>
        <w:t xml:space="preserve"> were created as part of servicing the area for residential commercial and social </w:t>
      </w:r>
      <w:r w:rsidR="004658EF">
        <w:rPr>
          <w:rFonts w:ascii="Times New Roman" w:hAnsi="Times New Roman" w:cs="Times New Roman"/>
        </w:rPr>
        <w:t>facilities</w:t>
      </w:r>
      <w:r w:rsidR="001C093A">
        <w:rPr>
          <w:rFonts w:ascii="Times New Roman" w:hAnsi="Times New Roman" w:cs="Times New Roman"/>
        </w:rPr>
        <w:t xml:space="preserve"> to the beneficiaries. The extent of </w:t>
      </w:r>
      <w:r w:rsidR="00C67BB2">
        <w:rPr>
          <w:rFonts w:ascii="Times New Roman" w:hAnsi="Times New Roman" w:cs="Times New Roman"/>
        </w:rPr>
        <w:t xml:space="preserve">such </w:t>
      </w:r>
      <w:r w:rsidR="004E270E">
        <w:rPr>
          <w:rFonts w:ascii="Times New Roman" w:hAnsi="Times New Roman" w:cs="Times New Roman"/>
        </w:rPr>
        <w:t>accessible</w:t>
      </w:r>
      <w:r w:rsidR="00C67BB2">
        <w:rPr>
          <w:rFonts w:ascii="Times New Roman" w:hAnsi="Times New Roman" w:cs="Times New Roman"/>
        </w:rPr>
        <w:t xml:space="preserve"> roads is not known. Further the memorandum of agreement of 16 February 2017 speaks of compensation of first respondent by the </w:t>
      </w:r>
      <w:r w:rsidR="004E270E">
        <w:rPr>
          <w:rFonts w:ascii="Times New Roman" w:hAnsi="Times New Roman" w:cs="Times New Roman"/>
        </w:rPr>
        <w:t>applicant</w:t>
      </w:r>
      <w:r w:rsidR="00C67BB2">
        <w:rPr>
          <w:rFonts w:ascii="Times New Roman" w:hAnsi="Times New Roman" w:cs="Times New Roman"/>
        </w:rPr>
        <w:t xml:space="preserve"> with a total of 6 residential stands with total area of 4 200m</w:t>
      </w:r>
      <w:r w:rsidR="00C67BB2" w:rsidRPr="00C67BB2">
        <w:rPr>
          <w:rFonts w:ascii="Times New Roman" w:hAnsi="Times New Roman" w:cs="Times New Roman"/>
          <w:vertAlign w:val="superscript"/>
        </w:rPr>
        <w:t>2</w:t>
      </w:r>
      <w:r w:rsidR="00C67BB2">
        <w:rPr>
          <w:rFonts w:ascii="Times New Roman" w:hAnsi="Times New Roman" w:cs="Times New Roman"/>
        </w:rPr>
        <w:t xml:space="preserve">. It is not clear </w:t>
      </w:r>
      <w:r w:rsidR="00780387">
        <w:rPr>
          <w:rFonts w:ascii="Times New Roman" w:hAnsi="Times New Roman" w:cs="Times New Roman"/>
        </w:rPr>
        <w:t xml:space="preserve">from the pleadings </w:t>
      </w:r>
      <w:r w:rsidR="004E270E">
        <w:rPr>
          <w:rFonts w:ascii="Times New Roman" w:hAnsi="Times New Roman" w:cs="Times New Roman"/>
        </w:rPr>
        <w:t>filed</w:t>
      </w:r>
      <w:r w:rsidR="00780387">
        <w:rPr>
          <w:rFonts w:ascii="Times New Roman" w:hAnsi="Times New Roman" w:cs="Times New Roman"/>
        </w:rPr>
        <w:t xml:space="preserve"> of </w:t>
      </w:r>
      <w:r w:rsidR="00780387">
        <w:rPr>
          <w:rFonts w:ascii="Times New Roman" w:hAnsi="Times New Roman" w:cs="Times New Roman"/>
        </w:rPr>
        <w:lastRenderedPageBreak/>
        <w:t>record whether indeed the lay-out of applicant’s project eats up the exact surface area of first respondent’s allocated area to the extent of 4 200m</w:t>
      </w:r>
      <w:r w:rsidR="00780387" w:rsidRPr="00780387">
        <w:rPr>
          <w:rFonts w:ascii="Times New Roman" w:hAnsi="Times New Roman" w:cs="Times New Roman"/>
          <w:vertAlign w:val="superscript"/>
        </w:rPr>
        <w:t>2</w:t>
      </w:r>
      <w:r w:rsidR="00780387">
        <w:rPr>
          <w:rFonts w:ascii="Times New Roman" w:hAnsi="Times New Roman" w:cs="Times New Roman"/>
        </w:rPr>
        <w:t>.</w:t>
      </w:r>
      <w:r w:rsidR="00DC703E">
        <w:rPr>
          <w:rFonts w:ascii="Times New Roman" w:hAnsi="Times New Roman" w:cs="Times New Roman"/>
        </w:rPr>
        <w:t xml:space="preserve"> </w:t>
      </w:r>
      <w:r w:rsidR="00086274">
        <w:rPr>
          <w:rFonts w:ascii="Times New Roman" w:hAnsi="Times New Roman" w:cs="Times New Roman"/>
        </w:rPr>
        <w:t xml:space="preserve">Both applicant and first respondent were lawfully allocated the respective pieces of land they are occupying. Is it factually clear that it is first respondent who encroached into applicant’s property, or it is </w:t>
      </w:r>
      <w:r w:rsidR="00851B8A">
        <w:rPr>
          <w:rFonts w:ascii="Times New Roman" w:hAnsi="Times New Roman" w:cs="Times New Roman"/>
        </w:rPr>
        <w:t>applicant</w:t>
      </w:r>
      <w:r w:rsidR="00086274">
        <w:rPr>
          <w:rFonts w:ascii="Times New Roman" w:hAnsi="Times New Roman" w:cs="Times New Roman"/>
        </w:rPr>
        <w:t xml:space="preserve"> who did so as is apparent from the preamble to the memorandum of agreement. The diagram produced and attached by the </w:t>
      </w:r>
      <w:r w:rsidR="00851B8A">
        <w:rPr>
          <w:rFonts w:ascii="Times New Roman" w:hAnsi="Times New Roman" w:cs="Times New Roman"/>
        </w:rPr>
        <w:t>applicant</w:t>
      </w:r>
      <w:r w:rsidR="00086274">
        <w:rPr>
          <w:rFonts w:ascii="Times New Roman" w:hAnsi="Times New Roman" w:cs="Times New Roman"/>
        </w:rPr>
        <w:t xml:space="preserve"> does not crisply explain this </w:t>
      </w:r>
      <w:r w:rsidR="00851B8A">
        <w:rPr>
          <w:rFonts w:ascii="Times New Roman" w:hAnsi="Times New Roman" w:cs="Times New Roman"/>
        </w:rPr>
        <w:t>encroachment</w:t>
      </w:r>
      <w:r w:rsidR="00086274">
        <w:rPr>
          <w:rFonts w:ascii="Times New Roman" w:hAnsi="Times New Roman" w:cs="Times New Roman"/>
        </w:rPr>
        <w:t xml:space="preserve">. I am persuaded by first and third respondents’ submission that there is dire </w:t>
      </w:r>
      <w:r w:rsidR="00BC6705">
        <w:rPr>
          <w:rFonts w:ascii="Times New Roman" w:hAnsi="Times New Roman" w:cs="Times New Roman"/>
        </w:rPr>
        <w:t xml:space="preserve">need for a surveyor to come and clarify this aspect of encroachment or alleged double allocation. </w:t>
      </w:r>
      <w:r w:rsidR="00851B8A">
        <w:rPr>
          <w:rFonts w:ascii="Times New Roman" w:hAnsi="Times New Roman" w:cs="Times New Roman"/>
        </w:rPr>
        <w:t>Applicant</w:t>
      </w:r>
      <w:r w:rsidR="00BC6705">
        <w:rPr>
          <w:rFonts w:ascii="Times New Roman" w:hAnsi="Times New Roman" w:cs="Times New Roman"/>
        </w:rPr>
        <w:t xml:space="preserve"> inherited a piece of land originally granted to DTZ/P2GEO and the latter’s evidence is necessary to clarify the boundaries particularly between </w:t>
      </w:r>
      <w:r w:rsidR="00851B8A">
        <w:rPr>
          <w:rFonts w:ascii="Times New Roman" w:hAnsi="Times New Roman" w:cs="Times New Roman"/>
        </w:rPr>
        <w:t>applicant</w:t>
      </w:r>
      <w:r w:rsidR="00BC6705">
        <w:rPr>
          <w:rFonts w:ascii="Times New Roman" w:hAnsi="Times New Roman" w:cs="Times New Roman"/>
        </w:rPr>
        <w:t xml:space="preserve"> and first respondent’s pieces of land. These grey areas cannot be obviously be resolved on paper without hearing</w:t>
      </w:r>
      <w:r w:rsidR="00780387">
        <w:rPr>
          <w:rFonts w:ascii="Times New Roman" w:hAnsi="Times New Roman" w:cs="Times New Roman"/>
        </w:rPr>
        <w:t xml:space="preserve"> </w:t>
      </w:r>
      <w:r w:rsidR="00CE78E1">
        <w:rPr>
          <w:rFonts w:ascii="Times New Roman" w:hAnsi="Times New Roman" w:cs="Times New Roman"/>
        </w:rPr>
        <w:t>oral evidence. In addition applicant vehemently and adamantly allege duress or pressure from an outsider, the then chief lands officer of Manicaland. There is nothing patent on the agreement</w:t>
      </w:r>
      <w:r w:rsidR="00103DFD">
        <w:rPr>
          <w:rFonts w:ascii="Times New Roman" w:hAnsi="Times New Roman" w:cs="Times New Roman"/>
        </w:rPr>
        <w:t xml:space="preserve"> </w:t>
      </w:r>
      <w:r w:rsidR="00CE78E1">
        <w:rPr>
          <w:rFonts w:ascii="Times New Roman" w:hAnsi="Times New Roman" w:cs="Times New Roman"/>
        </w:rPr>
        <w:t>which confirms that duress and such an allegation is</w:t>
      </w:r>
      <w:r w:rsidR="00103DFD">
        <w:rPr>
          <w:rFonts w:ascii="Times New Roman" w:hAnsi="Times New Roman" w:cs="Times New Roman"/>
        </w:rPr>
        <w:t xml:space="preserve"> </w:t>
      </w:r>
      <w:r w:rsidR="00CE78E1">
        <w:rPr>
          <w:rFonts w:ascii="Times New Roman" w:hAnsi="Times New Roman" w:cs="Times New Roman"/>
        </w:rPr>
        <w:t xml:space="preserve">best proved by way of leading oral evidence. At the time </w:t>
      </w:r>
      <w:r w:rsidR="00103DFD">
        <w:rPr>
          <w:rFonts w:ascii="Times New Roman" w:hAnsi="Times New Roman" w:cs="Times New Roman"/>
        </w:rPr>
        <w:t>applicant</w:t>
      </w:r>
      <w:r w:rsidR="00CE78E1">
        <w:rPr>
          <w:rFonts w:ascii="Times New Roman" w:hAnsi="Times New Roman" w:cs="Times New Roman"/>
        </w:rPr>
        <w:t xml:space="preserve"> f</w:t>
      </w:r>
      <w:r w:rsidR="00103DFD">
        <w:rPr>
          <w:rFonts w:ascii="Times New Roman" w:hAnsi="Times New Roman" w:cs="Times New Roman"/>
        </w:rPr>
        <w:t>i</w:t>
      </w:r>
      <w:r w:rsidR="00CE78E1">
        <w:rPr>
          <w:rFonts w:ascii="Times New Roman" w:hAnsi="Times New Roman" w:cs="Times New Roman"/>
        </w:rPr>
        <w:t xml:space="preserve">led </w:t>
      </w:r>
      <w:r w:rsidR="00103DFD">
        <w:rPr>
          <w:rFonts w:ascii="Times New Roman" w:hAnsi="Times New Roman" w:cs="Times New Roman"/>
        </w:rPr>
        <w:t>its</w:t>
      </w:r>
      <w:r w:rsidR="00CE78E1">
        <w:rPr>
          <w:rFonts w:ascii="Times New Roman" w:hAnsi="Times New Roman" w:cs="Times New Roman"/>
        </w:rPr>
        <w:t xml:space="preserve"> application it ought to have perceived these glaring </w:t>
      </w:r>
      <w:r w:rsidR="00103DFD">
        <w:rPr>
          <w:rFonts w:ascii="Times New Roman" w:hAnsi="Times New Roman" w:cs="Times New Roman"/>
        </w:rPr>
        <w:t>material</w:t>
      </w:r>
      <w:r w:rsidR="00CE78E1">
        <w:rPr>
          <w:rFonts w:ascii="Times New Roman" w:hAnsi="Times New Roman" w:cs="Times New Roman"/>
        </w:rPr>
        <w:t xml:space="preserve"> disputes of fact and</w:t>
      </w:r>
      <w:r w:rsidR="00103DFD">
        <w:rPr>
          <w:rFonts w:ascii="Times New Roman" w:hAnsi="Times New Roman" w:cs="Times New Roman"/>
        </w:rPr>
        <w:t xml:space="preserve"> </w:t>
      </w:r>
      <w:r w:rsidR="00CE78E1">
        <w:rPr>
          <w:rFonts w:ascii="Times New Roman" w:hAnsi="Times New Roman" w:cs="Times New Roman"/>
        </w:rPr>
        <w:t xml:space="preserve">could have sensibly avoided an application route. </w:t>
      </w:r>
      <w:r w:rsidR="00103DFD">
        <w:rPr>
          <w:rFonts w:ascii="Times New Roman" w:hAnsi="Times New Roman" w:cs="Times New Roman"/>
        </w:rPr>
        <w:t>Indeed,</w:t>
      </w:r>
      <w:r w:rsidR="00CE78E1">
        <w:rPr>
          <w:rFonts w:ascii="Times New Roman" w:hAnsi="Times New Roman" w:cs="Times New Roman"/>
        </w:rPr>
        <w:t xml:space="preserve"> in as far as the boundary dispute or encroachment or double allocat</w:t>
      </w:r>
      <w:r w:rsidR="00C04138">
        <w:rPr>
          <w:rFonts w:ascii="Times New Roman" w:hAnsi="Times New Roman" w:cs="Times New Roman"/>
        </w:rPr>
        <w:t xml:space="preserve">ion is concerned, this court is left with no ready answer to this dispute in the absence of further evidence. This point </w:t>
      </w:r>
      <w:r w:rsidR="00C04138">
        <w:rPr>
          <w:rFonts w:ascii="Times New Roman" w:hAnsi="Times New Roman" w:cs="Times New Roman"/>
          <w:i/>
          <w:iCs/>
        </w:rPr>
        <w:t>in limine</w:t>
      </w:r>
      <w:r w:rsidR="00C04138">
        <w:rPr>
          <w:rFonts w:ascii="Times New Roman" w:hAnsi="Times New Roman" w:cs="Times New Roman"/>
        </w:rPr>
        <w:t xml:space="preserve"> was properly and relevantly raised, I uphold it. </w:t>
      </w:r>
    </w:p>
    <w:p w14:paraId="7498A38C" w14:textId="5A00CB2F" w:rsidR="00673743" w:rsidRDefault="00673743" w:rsidP="004E0DB4">
      <w:pPr>
        <w:spacing w:after="0" w:line="360" w:lineRule="auto"/>
        <w:jc w:val="both"/>
        <w:rPr>
          <w:rFonts w:ascii="Times New Roman" w:hAnsi="Times New Roman" w:cs="Times New Roman"/>
        </w:rPr>
      </w:pPr>
    </w:p>
    <w:p w14:paraId="1B0236B5" w14:textId="0771A941" w:rsidR="00673743" w:rsidRDefault="00673743" w:rsidP="004E0DB4">
      <w:pPr>
        <w:spacing w:after="0" w:line="360" w:lineRule="auto"/>
        <w:jc w:val="both"/>
        <w:rPr>
          <w:rFonts w:ascii="Times New Roman" w:hAnsi="Times New Roman" w:cs="Times New Roman"/>
        </w:rPr>
      </w:pPr>
      <w:r>
        <w:rPr>
          <w:rFonts w:ascii="Times New Roman" w:hAnsi="Times New Roman" w:cs="Times New Roman"/>
        </w:rPr>
        <w:t>Whether the application is prescribed</w:t>
      </w:r>
    </w:p>
    <w:p w14:paraId="7818EB1D" w14:textId="77777777" w:rsidR="00DF048B" w:rsidRDefault="00673743" w:rsidP="004E0DB4">
      <w:pPr>
        <w:spacing w:after="0" w:line="360" w:lineRule="auto"/>
        <w:jc w:val="both"/>
        <w:rPr>
          <w:rFonts w:ascii="Times New Roman" w:hAnsi="Times New Roman" w:cs="Times New Roman"/>
        </w:rPr>
      </w:pPr>
      <w:r>
        <w:rPr>
          <w:rFonts w:ascii="Times New Roman" w:hAnsi="Times New Roman" w:cs="Times New Roman"/>
        </w:rPr>
        <w:tab/>
      </w:r>
      <w:r w:rsidR="004519FD">
        <w:rPr>
          <w:rFonts w:ascii="Times New Roman" w:hAnsi="Times New Roman" w:cs="Times New Roman"/>
        </w:rPr>
        <w:t xml:space="preserve">The focal point discerned from the applicant’s papers is 16 February 2017 memorandum of agreement it entered into with first respondent and subsequently circulated to various government departments. It is the very document applicant alleges that it was coerced to enter and sign. It is the same document applicant seeks to be declared a nullity by this court. It is further the very document which applicant relies upon to move this court to deuce that there was a double allocation. The document is the pith of </w:t>
      </w:r>
      <w:r w:rsidR="00A81245">
        <w:rPr>
          <w:rFonts w:ascii="Times New Roman" w:hAnsi="Times New Roman" w:cs="Times New Roman"/>
        </w:rPr>
        <w:t>applicant’s</w:t>
      </w:r>
      <w:r w:rsidR="004519FD">
        <w:rPr>
          <w:rFonts w:ascii="Times New Roman" w:hAnsi="Times New Roman" w:cs="Times New Roman"/>
        </w:rPr>
        <w:t xml:space="preserve"> coming to court and as </w:t>
      </w:r>
      <w:r w:rsidR="00A81245">
        <w:rPr>
          <w:rFonts w:ascii="Times New Roman" w:hAnsi="Times New Roman" w:cs="Times New Roman"/>
        </w:rPr>
        <w:t>such</w:t>
      </w:r>
      <w:r w:rsidR="004519FD">
        <w:rPr>
          <w:rFonts w:ascii="Times New Roman" w:hAnsi="Times New Roman" w:cs="Times New Roman"/>
        </w:rPr>
        <w:t xml:space="preserve"> it </w:t>
      </w:r>
      <w:r w:rsidR="00A81245">
        <w:rPr>
          <w:rFonts w:ascii="Times New Roman" w:hAnsi="Times New Roman" w:cs="Times New Roman"/>
        </w:rPr>
        <w:t>fundamentally</w:t>
      </w:r>
      <w:r w:rsidR="004519FD">
        <w:rPr>
          <w:rFonts w:ascii="Times New Roman" w:hAnsi="Times New Roman" w:cs="Times New Roman"/>
        </w:rPr>
        <w:t xml:space="preserve"> forms </w:t>
      </w:r>
      <w:r w:rsidR="00A81245">
        <w:rPr>
          <w:rFonts w:ascii="Times New Roman" w:hAnsi="Times New Roman" w:cs="Times New Roman"/>
        </w:rPr>
        <w:t xml:space="preserve">the foundation of applicant’s cause of action. I reject applicant’s contention that the cause of action is its notice to first respondent advising first respondent about the cancellation of the memorandum of agreement. Consequently, the computation of 3 years as provided by the Prescription Act starts from 116 February 2017 and not in 2024 as argued by the applicant. As it </w:t>
      </w:r>
      <w:r w:rsidR="00A81245">
        <w:rPr>
          <w:rFonts w:ascii="Times New Roman" w:hAnsi="Times New Roman" w:cs="Times New Roman"/>
        </w:rPr>
        <w:lastRenderedPageBreak/>
        <w:t xml:space="preserve">was succinctly put by </w:t>
      </w:r>
      <w:r w:rsidR="00A81245" w:rsidRPr="00A81245">
        <w:rPr>
          <w:rFonts w:ascii="Times New Roman" w:hAnsi="Times New Roman" w:cs="Times New Roman"/>
          <w:smallCaps/>
        </w:rPr>
        <w:t>Tsanga</w:t>
      </w:r>
      <w:r w:rsidR="00A81245">
        <w:rPr>
          <w:rFonts w:ascii="Times New Roman" w:hAnsi="Times New Roman" w:cs="Times New Roman"/>
        </w:rPr>
        <w:t xml:space="preserve"> J</w:t>
      </w:r>
      <w:r w:rsidR="00CB59F2">
        <w:rPr>
          <w:rFonts w:ascii="Times New Roman" w:hAnsi="Times New Roman" w:cs="Times New Roman"/>
        </w:rPr>
        <w:t xml:space="preserve"> in the matter of </w:t>
      </w:r>
      <w:proofErr w:type="spellStart"/>
      <w:r w:rsidR="00CB59F2">
        <w:rPr>
          <w:rFonts w:ascii="Times New Roman" w:hAnsi="Times New Roman" w:cs="Times New Roman"/>
          <w:i/>
          <w:iCs/>
        </w:rPr>
        <w:t>Dhliwayo</w:t>
      </w:r>
      <w:proofErr w:type="spellEnd"/>
      <w:r w:rsidR="00CB59F2">
        <w:rPr>
          <w:rFonts w:ascii="Times New Roman" w:hAnsi="Times New Roman" w:cs="Times New Roman"/>
          <w:i/>
          <w:iCs/>
        </w:rPr>
        <w:t xml:space="preserve"> &amp; Ors </w:t>
      </w:r>
      <w:r w:rsidR="00CB59F2">
        <w:rPr>
          <w:rFonts w:ascii="Times New Roman" w:hAnsi="Times New Roman" w:cs="Times New Roman"/>
        </w:rPr>
        <w:t>v</w:t>
      </w:r>
      <w:r w:rsidR="00CB59F2">
        <w:rPr>
          <w:rFonts w:ascii="Times New Roman" w:hAnsi="Times New Roman" w:cs="Times New Roman"/>
          <w:i/>
          <w:iCs/>
        </w:rPr>
        <w:t xml:space="preserve"> Bere &amp; Ors</w:t>
      </w:r>
      <w:r w:rsidR="00CB59F2">
        <w:rPr>
          <w:rFonts w:ascii="Times New Roman" w:hAnsi="Times New Roman" w:cs="Times New Roman"/>
        </w:rPr>
        <w:t xml:space="preserve"> HH 164/24, an authority cited by first respondent’s counsel in its heads of arguments:</w:t>
      </w:r>
    </w:p>
    <w:p w14:paraId="6E90804F" w14:textId="77777777" w:rsidR="00CB07CB" w:rsidRDefault="00DF048B" w:rsidP="00DF048B">
      <w:pPr>
        <w:spacing w:after="0" w:line="240" w:lineRule="auto"/>
        <w:ind w:left="720"/>
        <w:jc w:val="both"/>
        <w:rPr>
          <w:rFonts w:ascii="Times New Roman" w:hAnsi="Times New Roman" w:cs="Times New Roman"/>
          <w:i/>
          <w:iCs/>
          <w:sz w:val="22"/>
          <w:szCs w:val="22"/>
        </w:rPr>
      </w:pPr>
      <w:r>
        <w:rPr>
          <w:rFonts w:ascii="Times New Roman" w:hAnsi="Times New Roman" w:cs="Times New Roman"/>
          <w:sz w:val="22"/>
          <w:szCs w:val="22"/>
        </w:rPr>
        <w:t>“</w:t>
      </w:r>
      <w:r>
        <w:rPr>
          <w:rFonts w:ascii="Times New Roman" w:hAnsi="Times New Roman" w:cs="Times New Roman"/>
          <w:i/>
          <w:iCs/>
          <w:sz w:val="22"/>
          <w:szCs w:val="22"/>
        </w:rPr>
        <w:t xml:space="preserve">The quest for a </w:t>
      </w:r>
      <w:proofErr w:type="spellStart"/>
      <w:r>
        <w:rPr>
          <w:rFonts w:ascii="Times New Roman" w:hAnsi="Times New Roman" w:cs="Times New Roman"/>
          <w:i/>
          <w:iCs/>
          <w:sz w:val="22"/>
          <w:szCs w:val="22"/>
        </w:rPr>
        <w:t>declarator</w:t>
      </w:r>
      <w:proofErr w:type="spellEnd"/>
      <w:r>
        <w:rPr>
          <w:rFonts w:ascii="Times New Roman" w:hAnsi="Times New Roman" w:cs="Times New Roman"/>
          <w:i/>
          <w:iCs/>
          <w:sz w:val="22"/>
          <w:szCs w:val="22"/>
        </w:rPr>
        <w:t xml:space="preserve"> cannot, simply put, be divorced from the causa as to do so would indeed creative situation where those who have done nothing about their claim, resort to using the </w:t>
      </w:r>
      <w:proofErr w:type="spellStart"/>
      <w:r>
        <w:rPr>
          <w:rFonts w:ascii="Times New Roman" w:hAnsi="Times New Roman" w:cs="Times New Roman"/>
          <w:i/>
          <w:iCs/>
          <w:sz w:val="22"/>
          <w:szCs w:val="22"/>
        </w:rPr>
        <w:t>declarator</w:t>
      </w:r>
      <w:proofErr w:type="spellEnd"/>
      <w:r>
        <w:rPr>
          <w:rFonts w:ascii="Times New Roman" w:hAnsi="Times New Roman" w:cs="Times New Roman"/>
          <w:i/>
          <w:iCs/>
          <w:sz w:val="22"/>
          <w:szCs w:val="22"/>
        </w:rPr>
        <w:t xml:space="preserve"> as a back door seeking coercive relief which they could have sought within the prescribed time limits. Different factual aspects of the case may have prescribed a different times.”</w:t>
      </w:r>
    </w:p>
    <w:p w14:paraId="1F38C153" w14:textId="77777777" w:rsidR="00CB07CB" w:rsidRDefault="00CB07CB" w:rsidP="00CB07CB">
      <w:pPr>
        <w:spacing w:after="0" w:line="240" w:lineRule="auto"/>
        <w:jc w:val="both"/>
        <w:rPr>
          <w:rFonts w:ascii="Times New Roman" w:hAnsi="Times New Roman" w:cs="Times New Roman"/>
          <w:i/>
          <w:iCs/>
          <w:sz w:val="22"/>
          <w:szCs w:val="22"/>
        </w:rPr>
      </w:pPr>
    </w:p>
    <w:p w14:paraId="23AFB80D" w14:textId="77777777" w:rsidR="000A7914" w:rsidRDefault="0010413E" w:rsidP="00CB07CB">
      <w:pPr>
        <w:spacing w:after="0" w:line="360" w:lineRule="auto"/>
        <w:jc w:val="both"/>
        <w:rPr>
          <w:rFonts w:ascii="Times New Roman" w:hAnsi="Times New Roman" w:cs="Times New Roman"/>
        </w:rPr>
      </w:pPr>
      <w:r>
        <w:rPr>
          <w:rFonts w:ascii="Times New Roman" w:hAnsi="Times New Roman" w:cs="Times New Roman"/>
        </w:rPr>
        <w:tab/>
        <w:t xml:space="preserve">I am entirely in </w:t>
      </w:r>
      <w:r w:rsidR="00FF292B">
        <w:rPr>
          <w:rFonts w:ascii="Times New Roman" w:hAnsi="Times New Roman" w:cs="Times New Roman"/>
        </w:rPr>
        <w:t>agreement</w:t>
      </w:r>
      <w:r>
        <w:rPr>
          <w:rFonts w:ascii="Times New Roman" w:hAnsi="Times New Roman" w:cs="Times New Roman"/>
        </w:rPr>
        <w:t xml:space="preserve"> with the </w:t>
      </w:r>
      <w:r w:rsidR="00FF292B">
        <w:rPr>
          <w:rFonts w:ascii="Times New Roman" w:hAnsi="Times New Roman" w:cs="Times New Roman"/>
        </w:rPr>
        <w:t>sentiments</w:t>
      </w:r>
      <w:r>
        <w:rPr>
          <w:rFonts w:ascii="Times New Roman" w:hAnsi="Times New Roman" w:cs="Times New Roman"/>
        </w:rPr>
        <w:t xml:space="preserve"> of the learned Judge. </w:t>
      </w:r>
      <w:r w:rsidR="00FF292B">
        <w:rPr>
          <w:rFonts w:ascii="Times New Roman" w:hAnsi="Times New Roman" w:cs="Times New Roman"/>
        </w:rPr>
        <w:t>Applicant</w:t>
      </w:r>
      <w:r>
        <w:rPr>
          <w:rFonts w:ascii="Times New Roman" w:hAnsi="Times New Roman" w:cs="Times New Roman"/>
        </w:rPr>
        <w:t xml:space="preserve"> had up</w:t>
      </w:r>
      <w:r w:rsidR="00FF292B">
        <w:rPr>
          <w:rFonts w:ascii="Times New Roman" w:hAnsi="Times New Roman" w:cs="Times New Roman"/>
        </w:rPr>
        <w:t xml:space="preserve"> </w:t>
      </w:r>
      <w:r>
        <w:rPr>
          <w:rFonts w:ascii="Times New Roman" w:hAnsi="Times New Roman" w:cs="Times New Roman"/>
        </w:rPr>
        <w:t xml:space="preserve">to </w:t>
      </w:r>
      <w:proofErr w:type="spellStart"/>
      <w:r w:rsidR="00A437BC">
        <w:rPr>
          <w:rFonts w:ascii="Times New Roman" w:hAnsi="Times New Roman" w:cs="Times New Roman"/>
        </w:rPr>
        <w:t>mid 2020</w:t>
      </w:r>
      <w:proofErr w:type="spellEnd"/>
      <w:r w:rsidR="00A437BC">
        <w:rPr>
          <w:rFonts w:ascii="Times New Roman" w:hAnsi="Times New Roman" w:cs="Times New Roman"/>
        </w:rPr>
        <w:t xml:space="preserve"> to take action. It did not </w:t>
      </w:r>
      <w:r w:rsidR="00E15767">
        <w:rPr>
          <w:rFonts w:ascii="Times New Roman" w:hAnsi="Times New Roman" w:cs="Times New Roman"/>
        </w:rPr>
        <w:t xml:space="preserve">do so and I am satisfied that respondent’s preliminary points on prescription are valid and I uphold the point </w:t>
      </w:r>
      <w:r w:rsidR="00E15767">
        <w:rPr>
          <w:rFonts w:ascii="Times New Roman" w:hAnsi="Times New Roman" w:cs="Times New Roman"/>
          <w:i/>
          <w:iCs/>
        </w:rPr>
        <w:t>in limine</w:t>
      </w:r>
      <w:r w:rsidR="00E15767">
        <w:rPr>
          <w:rFonts w:ascii="Times New Roman" w:hAnsi="Times New Roman" w:cs="Times New Roman"/>
        </w:rPr>
        <w:t xml:space="preserve">. </w:t>
      </w:r>
    </w:p>
    <w:p w14:paraId="0939A38D" w14:textId="62699588" w:rsidR="00DF048B" w:rsidRDefault="000A7914" w:rsidP="00CB07CB">
      <w:pPr>
        <w:spacing w:after="0" w:line="360" w:lineRule="auto"/>
        <w:jc w:val="both"/>
        <w:rPr>
          <w:rFonts w:ascii="Times New Roman" w:hAnsi="Times New Roman" w:cs="Times New Roman"/>
          <w:sz w:val="22"/>
          <w:szCs w:val="22"/>
        </w:rPr>
      </w:pPr>
      <w:r>
        <w:rPr>
          <w:rFonts w:ascii="Times New Roman" w:hAnsi="Times New Roman" w:cs="Times New Roman"/>
        </w:rPr>
        <w:tab/>
        <w:t xml:space="preserve">My upholding of these two critical points </w:t>
      </w:r>
      <w:r>
        <w:rPr>
          <w:rFonts w:ascii="Times New Roman" w:hAnsi="Times New Roman" w:cs="Times New Roman"/>
          <w:i/>
          <w:iCs/>
        </w:rPr>
        <w:t>in limine</w:t>
      </w:r>
      <w:r>
        <w:rPr>
          <w:rFonts w:ascii="Times New Roman" w:hAnsi="Times New Roman" w:cs="Times New Roman"/>
        </w:rPr>
        <w:t xml:space="preserve"> is capable of disposing of the application. The remainder of the points </w:t>
      </w:r>
      <w:r>
        <w:rPr>
          <w:rFonts w:ascii="Times New Roman" w:hAnsi="Times New Roman" w:cs="Times New Roman"/>
          <w:i/>
          <w:iCs/>
        </w:rPr>
        <w:t>in limine</w:t>
      </w:r>
      <w:r>
        <w:rPr>
          <w:rFonts w:ascii="Times New Roman" w:hAnsi="Times New Roman" w:cs="Times New Roman"/>
        </w:rPr>
        <w:t xml:space="preserve"> would amount to be academic. There is no purpose in making a ruling on them. Prescription once upheld will dispose of the matter. </w:t>
      </w:r>
      <w:r w:rsidR="00DF048B">
        <w:rPr>
          <w:rFonts w:ascii="Times New Roman" w:hAnsi="Times New Roman" w:cs="Times New Roman"/>
          <w:i/>
          <w:iCs/>
          <w:sz w:val="22"/>
          <w:szCs w:val="22"/>
        </w:rPr>
        <w:t xml:space="preserve"> </w:t>
      </w:r>
    </w:p>
    <w:p w14:paraId="1BC8269D" w14:textId="7C497E85" w:rsidR="00844781" w:rsidRDefault="009D28AC" w:rsidP="00CB07CB">
      <w:pPr>
        <w:spacing w:after="0" w:line="360" w:lineRule="auto"/>
        <w:jc w:val="both"/>
        <w:rPr>
          <w:rFonts w:ascii="Times New Roman" w:hAnsi="Times New Roman" w:cs="Times New Roman"/>
          <w:sz w:val="22"/>
          <w:szCs w:val="22"/>
        </w:rPr>
      </w:pPr>
      <w:r>
        <w:rPr>
          <w:rFonts w:ascii="Times New Roman" w:hAnsi="Times New Roman" w:cs="Times New Roman"/>
          <w:sz w:val="22"/>
          <w:szCs w:val="22"/>
        </w:rPr>
        <w:tab/>
      </w:r>
      <w:r w:rsidR="00DB6F61">
        <w:rPr>
          <w:rFonts w:ascii="Times New Roman" w:hAnsi="Times New Roman" w:cs="Times New Roman"/>
          <w:sz w:val="22"/>
          <w:szCs w:val="22"/>
        </w:rPr>
        <w:t>Accordingly,</w:t>
      </w:r>
      <w:r>
        <w:rPr>
          <w:rFonts w:ascii="Times New Roman" w:hAnsi="Times New Roman" w:cs="Times New Roman"/>
          <w:sz w:val="22"/>
          <w:szCs w:val="22"/>
        </w:rPr>
        <w:t xml:space="preserve"> the applicant’s application is prescribed and on that basis the application is dismissed wit costs on party and party basis.</w:t>
      </w:r>
    </w:p>
    <w:p w14:paraId="48A5DDE8" w14:textId="77777777" w:rsidR="00844781" w:rsidRDefault="00844781" w:rsidP="00CB07CB">
      <w:pPr>
        <w:spacing w:after="0" w:line="360" w:lineRule="auto"/>
        <w:jc w:val="both"/>
        <w:rPr>
          <w:rFonts w:ascii="Times New Roman" w:hAnsi="Times New Roman" w:cs="Times New Roman"/>
          <w:sz w:val="22"/>
          <w:szCs w:val="22"/>
        </w:rPr>
      </w:pPr>
    </w:p>
    <w:p w14:paraId="6BEDDC2F" w14:textId="77777777" w:rsidR="00844781" w:rsidRDefault="00844781" w:rsidP="00CB07CB">
      <w:pPr>
        <w:spacing w:after="0" w:line="360" w:lineRule="auto"/>
        <w:jc w:val="both"/>
        <w:rPr>
          <w:rFonts w:ascii="Times New Roman" w:hAnsi="Times New Roman" w:cs="Times New Roman"/>
          <w:sz w:val="22"/>
          <w:szCs w:val="22"/>
        </w:rPr>
      </w:pPr>
    </w:p>
    <w:p w14:paraId="67015E31" w14:textId="77777777" w:rsidR="00844781" w:rsidRDefault="00844781" w:rsidP="00CB07CB">
      <w:pPr>
        <w:spacing w:after="0" w:line="360" w:lineRule="auto"/>
        <w:jc w:val="both"/>
        <w:rPr>
          <w:rFonts w:ascii="Times New Roman" w:hAnsi="Times New Roman" w:cs="Times New Roman"/>
          <w:sz w:val="22"/>
          <w:szCs w:val="22"/>
        </w:rPr>
      </w:pPr>
    </w:p>
    <w:p w14:paraId="7C3C7E10" w14:textId="1D0CE19E" w:rsidR="009D28AC" w:rsidRDefault="00844781" w:rsidP="00844781">
      <w:pPr>
        <w:spacing w:after="0" w:line="240" w:lineRule="auto"/>
        <w:jc w:val="both"/>
        <w:rPr>
          <w:rFonts w:ascii="Times New Roman" w:hAnsi="Times New Roman" w:cs="Times New Roman"/>
          <w:sz w:val="22"/>
          <w:szCs w:val="22"/>
        </w:rPr>
      </w:pPr>
      <w:proofErr w:type="spellStart"/>
      <w:r>
        <w:rPr>
          <w:rFonts w:ascii="Times New Roman" w:hAnsi="Times New Roman" w:cs="Times New Roman"/>
          <w:i/>
          <w:iCs/>
          <w:sz w:val="22"/>
          <w:szCs w:val="22"/>
        </w:rPr>
        <w:t>Muchengeti</w:t>
      </w:r>
      <w:proofErr w:type="spellEnd"/>
      <w:r>
        <w:rPr>
          <w:rFonts w:ascii="Times New Roman" w:hAnsi="Times New Roman" w:cs="Times New Roman"/>
          <w:i/>
          <w:iCs/>
          <w:sz w:val="22"/>
          <w:szCs w:val="22"/>
        </w:rPr>
        <w:t xml:space="preserve"> &amp; </w:t>
      </w:r>
      <w:r w:rsidRPr="00844781">
        <w:rPr>
          <w:rFonts w:ascii="Times New Roman" w:hAnsi="Times New Roman" w:cs="Times New Roman"/>
          <w:sz w:val="22"/>
          <w:szCs w:val="22"/>
        </w:rPr>
        <w:t>Company</w:t>
      </w:r>
      <w:r>
        <w:rPr>
          <w:rFonts w:ascii="Times New Roman" w:hAnsi="Times New Roman" w:cs="Times New Roman"/>
          <w:sz w:val="22"/>
          <w:szCs w:val="22"/>
        </w:rPr>
        <w:t xml:space="preserve">, applicant’s </w:t>
      </w:r>
      <w:r w:rsidRPr="00844781">
        <w:rPr>
          <w:rFonts w:ascii="Times New Roman" w:hAnsi="Times New Roman" w:cs="Times New Roman"/>
          <w:sz w:val="22"/>
          <w:szCs w:val="22"/>
        </w:rPr>
        <w:t>Legal</w:t>
      </w:r>
      <w:r>
        <w:rPr>
          <w:rFonts w:ascii="Times New Roman" w:hAnsi="Times New Roman" w:cs="Times New Roman"/>
          <w:i/>
          <w:iCs/>
          <w:sz w:val="22"/>
          <w:szCs w:val="22"/>
        </w:rPr>
        <w:t xml:space="preserve"> Practitioners</w:t>
      </w:r>
      <w:r w:rsidR="009D28AC">
        <w:rPr>
          <w:rFonts w:ascii="Times New Roman" w:hAnsi="Times New Roman" w:cs="Times New Roman"/>
          <w:sz w:val="22"/>
          <w:szCs w:val="22"/>
        </w:rPr>
        <w:t xml:space="preserve"> </w:t>
      </w:r>
    </w:p>
    <w:p w14:paraId="0F601AB8" w14:textId="025BED2E" w:rsidR="00844781" w:rsidRDefault="00844781" w:rsidP="00844781">
      <w:pPr>
        <w:spacing w:after="0" w:line="240" w:lineRule="auto"/>
        <w:jc w:val="both"/>
        <w:rPr>
          <w:rFonts w:ascii="Times New Roman" w:hAnsi="Times New Roman" w:cs="Times New Roman"/>
          <w:sz w:val="22"/>
          <w:szCs w:val="22"/>
        </w:rPr>
      </w:pPr>
      <w:r>
        <w:rPr>
          <w:rFonts w:ascii="Times New Roman" w:hAnsi="Times New Roman" w:cs="Times New Roman"/>
          <w:i/>
          <w:iCs/>
          <w:sz w:val="22"/>
          <w:szCs w:val="22"/>
        </w:rPr>
        <w:t>Maunga Maanda &amp; Associates</w:t>
      </w:r>
      <w:r>
        <w:rPr>
          <w:rFonts w:ascii="Times New Roman" w:hAnsi="Times New Roman" w:cs="Times New Roman"/>
          <w:sz w:val="22"/>
          <w:szCs w:val="22"/>
        </w:rPr>
        <w:t>, 1</w:t>
      </w:r>
      <w:r w:rsidRPr="00844781">
        <w:rPr>
          <w:rFonts w:ascii="Times New Roman" w:hAnsi="Times New Roman" w:cs="Times New Roman"/>
          <w:sz w:val="22"/>
          <w:szCs w:val="22"/>
          <w:vertAlign w:val="superscript"/>
        </w:rPr>
        <w:t>st</w:t>
      </w:r>
      <w:r>
        <w:rPr>
          <w:rFonts w:ascii="Times New Roman" w:hAnsi="Times New Roman" w:cs="Times New Roman"/>
          <w:sz w:val="22"/>
          <w:szCs w:val="22"/>
        </w:rPr>
        <w:t xml:space="preserve"> respondent’s legal practitioners </w:t>
      </w:r>
    </w:p>
    <w:p w14:paraId="6466F5EE" w14:textId="218B185C" w:rsidR="00844781" w:rsidRDefault="00844781" w:rsidP="00844781">
      <w:pPr>
        <w:spacing w:after="0" w:line="240" w:lineRule="auto"/>
        <w:jc w:val="both"/>
        <w:rPr>
          <w:rFonts w:ascii="Times New Roman" w:hAnsi="Times New Roman" w:cs="Times New Roman"/>
          <w:sz w:val="22"/>
          <w:szCs w:val="22"/>
        </w:rPr>
      </w:pPr>
      <w:r>
        <w:rPr>
          <w:rFonts w:ascii="Times New Roman" w:hAnsi="Times New Roman" w:cs="Times New Roman"/>
          <w:i/>
          <w:iCs/>
          <w:sz w:val="22"/>
          <w:szCs w:val="22"/>
        </w:rPr>
        <w:t>Bere Brother</w:t>
      </w:r>
      <w:r>
        <w:rPr>
          <w:rFonts w:ascii="Times New Roman" w:hAnsi="Times New Roman" w:cs="Times New Roman"/>
          <w:sz w:val="22"/>
          <w:szCs w:val="22"/>
        </w:rPr>
        <w:t xml:space="preserve">3rd respondent’s legal practitioners </w:t>
      </w:r>
    </w:p>
    <w:p w14:paraId="28CD8E49" w14:textId="00BC1E04" w:rsidR="00844781" w:rsidRPr="00844781" w:rsidRDefault="00844781" w:rsidP="00844781">
      <w:pPr>
        <w:spacing w:after="0" w:line="240" w:lineRule="auto"/>
        <w:jc w:val="both"/>
        <w:rPr>
          <w:rFonts w:ascii="Times New Roman" w:hAnsi="Times New Roman" w:cs="Times New Roman"/>
          <w:sz w:val="22"/>
          <w:szCs w:val="22"/>
        </w:rPr>
      </w:pPr>
      <w:r>
        <w:rPr>
          <w:rFonts w:ascii="Times New Roman" w:hAnsi="Times New Roman" w:cs="Times New Roman"/>
          <w:i/>
          <w:iCs/>
          <w:sz w:val="22"/>
          <w:szCs w:val="22"/>
        </w:rPr>
        <w:t>Civil Division of the Attorney General’s Office</w:t>
      </w:r>
      <w:r>
        <w:rPr>
          <w:rFonts w:ascii="Times New Roman" w:hAnsi="Times New Roman" w:cs="Times New Roman"/>
          <w:sz w:val="22"/>
          <w:szCs w:val="22"/>
        </w:rPr>
        <w:t>, 4</w:t>
      </w:r>
      <w:r w:rsidRPr="00844781">
        <w:rPr>
          <w:rFonts w:ascii="Times New Roman" w:hAnsi="Times New Roman" w:cs="Times New Roman"/>
          <w:sz w:val="22"/>
          <w:szCs w:val="22"/>
          <w:vertAlign w:val="superscript"/>
        </w:rPr>
        <w:t>th</w:t>
      </w:r>
      <w:r>
        <w:rPr>
          <w:rFonts w:ascii="Times New Roman" w:hAnsi="Times New Roman" w:cs="Times New Roman"/>
          <w:sz w:val="22"/>
          <w:szCs w:val="22"/>
        </w:rPr>
        <w:t xml:space="preserve"> respondent’s legal practitioners </w:t>
      </w:r>
    </w:p>
    <w:p w14:paraId="22502763" w14:textId="6F00B556" w:rsidR="00673743" w:rsidRPr="00C04138" w:rsidRDefault="00A81245" w:rsidP="00844781">
      <w:pPr>
        <w:spacing w:after="0" w:line="240" w:lineRule="auto"/>
        <w:jc w:val="both"/>
        <w:rPr>
          <w:rFonts w:ascii="Times New Roman" w:hAnsi="Times New Roman" w:cs="Times New Roman"/>
        </w:rPr>
      </w:pPr>
      <w:r>
        <w:rPr>
          <w:rFonts w:ascii="Times New Roman" w:hAnsi="Times New Roman" w:cs="Times New Roman"/>
        </w:rPr>
        <w:t xml:space="preserve">  </w:t>
      </w:r>
      <w:r w:rsidR="004519FD">
        <w:rPr>
          <w:rFonts w:ascii="Times New Roman" w:hAnsi="Times New Roman" w:cs="Times New Roman"/>
        </w:rPr>
        <w:t xml:space="preserve"> </w:t>
      </w:r>
    </w:p>
    <w:p w14:paraId="4D8A73B6" w14:textId="77777777" w:rsidR="000C0BF5" w:rsidRPr="000C0BF5" w:rsidRDefault="000C0BF5" w:rsidP="000C0BF5">
      <w:pPr>
        <w:spacing w:after="0" w:line="360" w:lineRule="auto"/>
        <w:ind w:firstLine="720"/>
        <w:jc w:val="both"/>
        <w:rPr>
          <w:rFonts w:ascii="Times New Roman" w:hAnsi="Times New Roman" w:cs="Times New Roman"/>
        </w:rPr>
      </w:pPr>
    </w:p>
    <w:p w14:paraId="71C1CE18" w14:textId="77777777" w:rsidR="000C0BF5" w:rsidRPr="002439E7" w:rsidRDefault="000C0BF5" w:rsidP="000C0BF5">
      <w:pPr>
        <w:spacing w:after="0" w:line="360" w:lineRule="auto"/>
        <w:ind w:firstLine="720"/>
        <w:jc w:val="both"/>
        <w:rPr>
          <w:rFonts w:ascii="Times New Roman" w:hAnsi="Times New Roman" w:cs="Times New Roman"/>
        </w:rPr>
      </w:pPr>
    </w:p>
    <w:sectPr w:rsidR="000C0BF5" w:rsidRPr="002439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F54F" w14:textId="77777777" w:rsidR="00196448" w:rsidRDefault="00196448" w:rsidP="0030677A">
      <w:pPr>
        <w:spacing w:after="0" w:line="240" w:lineRule="auto"/>
      </w:pPr>
      <w:r>
        <w:separator/>
      </w:r>
    </w:p>
  </w:endnote>
  <w:endnote w:type="continuationSeparator" w:id="0">
    <w:p w14:paraId="3AB8A781" w14:textId="77777777" w:rsidR="00196448" w:rsidRDefault="00196448"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E4471" w14:textId="77777777" w:rsidR="00196448" w:rsidRDefault="00196448" w:rsidP="0030677A">
      <w:pPr>
        <w:spacing w:after="0" w:line="240" w:lineRule="auto"/>
      </w:pPr>
      <w:r>
        <w:separator/>
      </w:r>
    </w:p>
  </w:footnote>
  <w:footnote w:type="continuationSeparator" w:id="0">
    <w:p w14:paraId="79341F77" w14:textId="77777777" w:rsidR="00196448" w:rsidRDefault="00196448" w:rsidP="0030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sidR="00201F2C">
          <w:rPr>
            <w:noProof/>
          </w:rPr>
          <w:t>4</w:t>
        </w:r>
        <w:r>
          <w:rPr>
            <w:noProof/>
          </w:rPr>
          <w:fldChar w:fldCharType="end"/>
        </w:r>
      </w:p>
      <w:p w14:paraId="1EF915D9" w14:textId="4BBF5C96" w:rsidR="00B853B6" w:rsidRDefault="00B853B6">
        <w:pPr>
          <w:pStyle w:val="Header"/>
          <w:jc w:val="right"/>
          <w:rPr>
            <w:noProof/>
          </w:rPr>
        </w:pPr>
        <w:r>
          <w:rPr>
            <w:noProof/>
          </w:rPr>
          <w:t>HCMTJ</w:t>
        </w:r>
        <w:r w:rsidR="00D31CD8">
          <w:rPr>
            <w:noProof/>
          </w:rPr>
          <w:t>25-25</w:t>
        </w:r>
      </w:p>
      <w:p w14:paraId="15864CC7" w14:textId="37D5EAA2" w:rsidR="0030677A" w:rsidRDefault="0030677A">
        <w:pPr>
          <w:pStyle w:val="Header"/>
          <w:jc w:val="right"/>
        </w:pPr>
        <w:r>
          <w:rPr>
            <w:noProof/>
          </w:rPr>
          <w:t>HCMTC</w:t>
        </w:r>
        <w:r w:rsidR="0093671A">
          <w:rPr>
            <w:noProof/>
          </w:rPr>
          <w:t xml:space="preserve"> </w:t>
        </w:r>
        <w:r w:rsidR="00F45651">
          <w:rPr>
            <w:noProof/>
          </w:rPr>
          <w:t>9/25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64C"/>
    <w:multiLevelType w:val="hybridMultilevel"/>
    <w:tmpl w:val="193C97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40187"/>
    <w:multiLevelType w:val="hybridMultilevel"/>
    <w:tmpl w:val="42F2B4D6"/>
    <w:lvl w:ilvl="0" w:tplc="D56E5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234E20"/>
    <w:multiLevelType w:val="hybridMultilevel"/>
    <w:tmpl w:val="CBAE74C0"/>
    <w:lvl w:ilvl="0" w:tplc="6F385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7"/>
  </w:num>
  <w:num w:numId="5">
    <w:abstractNumId w:val="1"/>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7A"/>
    <w:rsid w:val="00000530"/>
    <w:rsid w:val="00004DB3"/>
    <w:rsid w:val="00020067"/>
    <w:rsid w:val="0002143E"/>
    <w:rsid w:val="00024F5A"/>
    <w:rsid w:val="00030065"/>
    <w:rsid w:val="00031B59"/>
    <w:rsid w:val="00057710"/>
    <w:rsid w:val="00063AFB"/>
    <w:rsid w:val="0006535F"/>
    <w:rsid w:val="000678BF"/>
    <w:rsid w:val="00075044"/>
    <w:rsid w:val="00082804"/>
    <w:rsid w:val="00086274"/>
    <w:rsid w:val="000A7914"/>
    <w:rsid w:val="000B16A1"/>
    <w:rsid w:val="000C0BF5"/>
    <w:rsid w:val="000E41BE"/>
    <w:rsid w:val="000F7E4D"/>
    <w:rsid w:val="00101734"/>
    <w:rsid w:val="00103DFD"/>
    <w:rsid w:val="0010413E"/>
    <w:rsid w:val="001221A3"/>
    <w:rsid w:val="00131DBD"/>
    <w:rsid w:val="0013356B"/>
    <w:rsid w:val="0013600A"/>
    <w:rsid w:val="00140035"/>
    <w:rsid w:val="00157E62"/>
    <w:rsid w:val="0016005E"/>
    <w:rsid w:val="0017568E"/>
    <w:rsid w:val="001866EC"/>
    <w:rsid w:val="00196448"/>
    <w:rsid w:val="001A27AE"/>
    <w:rsid w:val="001C093A"/>
    <w:rsid w:val="001C380B"/>
    <w:rsid w:val="001D1452"/>
    <w:rsid w:val="001F3D5B"/>
    <w:rsid w:val="001F6817"/>
    <w:rsid w:val="00201F2C"/>
    <w:rsid w:val="0020234F"/>
    <w:rsid w:val="002042DB"/>
    <w:rsid w:val="00205B93"/>
    <w:rsid w:val="00207013"/>
    <w:rsid w:val="002149CF"/>
    <w:rsid w:val="00220E0E"/>
    <w:rsid w:val="002315FB"/>
    <w:rsid w:val="002439E7"/>
    <w:rsid w:val="00266CEF"/>
    <w:rsid w:val="002902B5"/>
    <w:rsid w:val="00293C91"/>
    <w:rsid w:val="002C7C87"/>
    <w:rsid w:val="002D5882"/>
    <w:rsid w:val="002E5EC4"/>
    <w:rsid w:val="0030677A"/>
    <w:rsid w:val="00307F61"/>
    <w:rsid w:val="00325033"/>
    <w:rsid w:val="003547E1"/>
    <w:rsid w:val="003A31F1"/>
    <w:rsid w:val="003A399B"/>
    <w:rsid w:val="003B1DCE"/>
    <w:rsid w:val="003B3CED"/>
    <w:rsid w:val="003C346D"/>
    <w:rsid w:val="003F314E"/>
    <w:rsid w:val="00401E5F"/>
    <w:rsid w:val="00427E2C"/>
    <w:rsid w:val="004418D6"/>
    <w:rsid w:val="004519FD"/>
    <w:rsid w:val="00455B04"/>
    <w:rsid w:val="00463DE1"/>
    <w:rsid w:val="004658EF"/>
    <w:rsid w:val="00492735"/>
    <w:rsid w:val="0049412E"/>
    <w:rsid w:val="00494810"/>
    <w:rsid w:val="004A4915"/>
    <w:rsid w:val="004C02F2"/>
    <w:rsid w:val="004C2D31"/>
    <w:rsid w:val="004D3BA6"/>
    <w:rsid w:val="004D743E"/>
    <w:rsid w:val="004E0DB4"/>
    <w:rsid w:val="004E270E"/>
    <w:rsid w:val="004F429F"/>
    <w:rsid w:val="004F6401"/>
    <w:rsid w:val="00501E13"/>
    <w:rsid w:val="00512540"/>
    <w:rsid w:val="005132B8"/>
    <w:rsid w:val="00515980"/>
    <w:rsid w:val="0052291B"/>
    <w:rsid w:val="00533A72"/>
    <w:rsid w:val="00571F6E"/>
    <w:rsid w:val="0059334A"/>
    <w:rsid w:val="005974FF"/>
    <w:rsid w:val="005A33FE"/>
    <w:rsid w:val="005A72DE"/>
    <w:rsid w:val="005B7A6C"/>
    <w:rsid w:val="005C1548"/>
    <w:rsid w:val="005C2F1E"/>
    <w:rsid w:val="005C3597"/>
    <w:rsid w:val="005D29A4"/>
    <w:rsid w:val="005D7B60"/>
    <w:rsid w:val="005E2859"/>
    <w:rsid w:val="005E3AE2"/>
    <w:rsid w:val="005F145F"/>
    <w:rsid w:val="005F34D1"/>
    <w:rsid w:val="00604254"/>
    <w:rsid w:val="006063EA"/>
    <w:rsid w:val="006146D0"/>
    <w:rsid w:val="0065112D"/>
    <w:rsid w:val="0065227E"/>
    <w:rsid w:val="00660E61"/>
    <w:rsid w:val="00672EA0"/>
    <w:rsid w:val="00673743"/>
    <w:rsid w:val="006A0E62"/>
    <w:rsid w:val="006A645F"/>
    <w:rsid w:val="006B297A"/>
    <w:rsid w:val="006B7687"/>
    <w:rsid w:val="006C03FD"/>
    <w:rsid w:val="006C0AE6"/>
    <w:rsid w:val="006D4C8F"/>
    <w:rsid w:val="006D63B3"/>
    <w:rsid w:val="006D6574"/>
    <w:rsid w:val="006E16FB"/>
    <w:rsid w:val="006E30D8"/>
    <w:rsid w:val="006F01B4"/>
    <w:rsid w:val="006F0ED0"/>
    <w:rsid w:val="00705C04"/>
    <w:rsid w:val="00717E87"/>
    <w:rsid w:val="007257C2"/>
    <w:rsid w:val="00747A16"/>
    <w:rsid w:val="0078030F"/>
    <w:rsid w:val="00780387"/>
    <w:rsid w:val="007A5962"/>
    <w:rsid w:val="007B3BCE"/>
    <w:rsid w:val="007B52F3"/>
    <w:rsid w:val="007B59B5"/>
    <w:rsid w:val="007C594A"/>
    <w:rsid w:val="007C59DD"/>
    <w:rsid w:val="007D38E3"/>
    <w:rsid w:val="00803AED"/>
    <w:rsid w:val="00805394"/>
    <w:rsid w:val="00844781"/>
    <w:rsid w:val="00851B8A"/>
    <w:rsid w:val="00872C6C"/>
    <w:rsid w:val="00880734"/>
    <w:rsid w:val="008827A1"/>
    <w:rsid w:val="00893D98"/>
    <w:rsid w:val="008B66C1"/>
    <w:rsid w:val="008D0627"/>
    <w:rsid w:val="008D35B9"/>
    <w:rsid w:val="008E0FF9"/>
    <w:rsid w:val="008E50A1"/>
    <w:rsid w:val="00901B56"/>
    <w:rsid w:val="00911149"/>
    <w:rsid w:val="0091614D"/>
    <w:rsid w:val="00916671"/>
    <w:rsid w:val="00927083"/>
    <w:rsid w:val="009278C6"/>
    <w:rsid w:val="0093671A"/>
    <w:rsid w:val="009511E5"/>
    <w:rsid w:val="00972C50"/>
    <w:rsid w:val="00980008"/>
    <w:rsid w:val="009B1934"/>
    <w:rsid w:val="009C678C"/>
    <w:rsid w:val="009D28AC"/>
    <w:rsid w:val="009E0285"/>
    <w:rsid w:val="009E099B"/>
    <w:rsid w:val="009E26BA"/>
    <w:rsid w:val="009E517B"/>
    <w:rsid w:val="00A07C58"/>
    <w:rsid w:val="00A16063"/>
    <w:rsid w:val="00A20756"/>
    <w:rsid w:val="00A37F84"/>
    <w:rsid w:val="00A437BC"/>
    <w:rsid w:val="00A5339F"/>
    <w:rsid w:val="00A56A92"/>
    <w:rsid w:val="00A56DFB"/>
    <w:rsid w:val="00A81245"/>
    <w:rsid w:val="00AA7424"/>
    <w:rsid w:val="00AB01C7"/>
    <w:rsid w:val="00AB2163"/>
    <w:rsid w:val="00AC7A5B"/>
    <w:rsid w:val="00AD0FB0"/>
    <w:rsid w:val="00AD3070"/>
    <w:rsid w:val="00AF4303"/>
    <w:rsid w:val="00AF7369"/>
    <w:rsid w:val="00B01D49"/>
    <w:rsid w:val="00B20966"/>
    <w:rsid w:val="00B22224"/>
    <w:rsid w:val="00B24D6E"/>
    <w:rsid w:val="00B43204"/>
    <w:rsid w:val="00B51E1E"/>
    <w:rsid w:val="00B66457"/>
    <w:rsid w:val="00B82194"/>
    <w:rsid w:val="00B853B6"/>
    <w:rsid w:val="00B91321"/>
    <w:rsid w:val="00BA17AD"/>
    <w:rsid w:val="00BA51E6"/>
    <w:rsid w:val="00BB095D"/>
    <w:rsid w:val="00BB4B2B"/>
    <w:rsid w:val="00BC551E"/>
    <w:rsid w:val="00BC6705"/>
    <w:rsid w:val="00BC7655"/>
    <w:rsid w:val="00BE1C32"/>
    <w:rsid w:val="00BF797F"/>
    <w:rsid w:val="00C00BD3"/>
    <w:rsid w:val="00C04138"/>
    <w:rsid w:val="00C13D2E"/>
    <w:rsid w:val="00C14399"/>
    <w:rsid w:val="00C24764"/>
    <w:rsid w:val="00C5680F"/>
    <w:rsid w:val="00C63AD6"/>
    <w:rsid w:val="00C67BB2"/>
    <w:rsid w:val="00C812BD"/>
    <w:rsid w:val="00C82565"/>
    <w:rsid w:val="00CB07CB"/>
    <w:rsid w:val="00CB59F2"/>
    <w:rsid w:val="00CB70B3"/>
    <w:rsid w:val="00CC6EFB"/>
    <w:rsid w:val="00CE09DC"/>
    <w:rsid w:val="00CE5270"/>
    <w:rsid w:val="00CE78E1"/>
    <w:rsid w:val="00D12FC3"/>
    <w:rsid w:val="00D31CD8"/>
    <w:rsid w:val="00D33976"/>
    <w:rsid w:val="00D3526D"/>
    <w:rsid w:val="00D7055B"/>
    <w:rsid w:val="00D82E0B"/>
    <w:rsid w:val="00D82EB6"/>
    <w:rsid w:val="00D930FD"/>
    <w:rsid w:val="00D93F73"/>
    <w:rsid w:val="00D955D1"/>
    <w:rsid w:val="00DA287C"/>
    <w:rsid w:val="00DA34FB"/>
    <w:rsid w:val="00DB6F61"/>
    <w:rsid w:val="00DC50F5"/>
    <w:rsid w:val="00DC703E"/>
    <w:rsid w:val="00DD0092"/>
    <w:rsid w:val="00DF048B"/>
    <w:rsid w:val="00E012BA"/>
    <w:rsid w:val="00E0143B"/>
    <w:rsid w:val="00E11C7D"/>
    <w:rsid w:val="00E1330F"/>
    <w:rsid w:val="00E15767"/>
    <w:rsid w:val="00E44E12"/>
    <w:rsid w:val="00E45758"/>
    <w:rsid w:val="00E61E52"/>
    <w:rsid w:val="00E63434"/>
    <w:rsid w:val="00E64D04"/>
    <w:rsid w:val="00E741CC"/>
    <w:rsid w:val="00E801F1"/>
    <w:rsid w:val="00E9482C"/>
    <w:rsid w:val="00E94EE5"/>
    <w:rsid w:val="00E964A6"/>
    <w:rsid w:val="00EB1EB3"/>
    <w:rsid w:val="00EB22EC"/>
    <w:rsid w:val="00EB74F6"/>
    <w:rsid w:val="00EC2D98"/>
    <w:rsid w:val="00ED4747"/>
    <w:rsid w:val="00EE2951"/>
    <w:rsid w:val="00EE6BA8"/>
    <w:rsid w:val="00F0063C"/>
    <w:rsid w:val="00F20E77"/>
    <w:rsid w:val="00F21184"/>
    <w:rsid w:val="00F21A5E"/>
    <w:rsid w:val="00F223F3"/>
    <w:rsid w:val="00F233E0"/>
    <w:rsid w:val="00F34283"/>
    <w:rsid w:val="00F35439"/>
    <w:rsid w:val="00F375C1"/>
    <w:rsid w:val="00F401ED"/>
    <w:rsid w:val="00F435BA"/>
    <w:rsid w:val="00F45651"/>
    <w:rsid w:val="00F479D1"/>
    <w:rsid w:val="00F60038"/>
    <w:rsid w:val="00F74970"/>
    <w:rsid w:val="00F757F7"/>
    <w:rsid w:val="00F93BB4"/>
    <w:rsid w:val="00FB1530"/>
    <w:rsid w:val="00FC2847"/>
    <w:rsid w:val="00FC2D09"/>
    <w:rsid w:val="00FD1F63"/>
    <w:rsid w:val="00FD25C2"/>
    <w:rsid w:val="00FD2602"/>
    <w:rsid w:val="00FD4361"/>
    <w:rsid w:val="00FE1652"/>
    <w:rsid w:val="00FE5E0C"/>
    <w:rsid w:val="00FF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1989</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USR</cp:lastModifiedBy>
  <cp:revision>368</cp:revision>
  <cp:lastPrinted>2025-02-20T07:09:00Z</cp:lastPrinted>
  <dcterms:created xsi:type="dcterms:W3CDTF">2025-01-21T06:30:00Z</dcterms:created>
  <dcterms:modified xsi:type="dcterms:W3CDTF">2025-05-30T08:23:00Z</dcterms:modified>
</cp:coreProperties>
</file>