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84B" w:rsidRPr="00A77CFC" w:rsidRDefault="008A184B" w:rsidP="008A184B">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CEPHAS MUKUDU</w:t>
      </w:r>
      <w:r w:rsidRPr="00A77CFC">
        <w:rPr>
          <w:rFonts w:ascii="Times New Roman" w:hAnsi="Times New Roman" w:cs="Times New Roman"/>
          <w:sz w:val="24"/>
          <w:szCs w:val="24"/>
        </w:rPr>
        <w:tab/>
      </w:r>
      <w:r w:rsidRPr="00A77CFC">
        <w:rPr>
          <w:rFonts w:ascii="Times New Roman" w:hAnsi="Times New Roman" w:cs="Times New Roman"/>
          <w:sz w:val="24"/>
          <w:szCs w:val="24"/>
        </w:rPr>
        <w:tab/>
      </w:r>
      <w:r w:rsidRPr="00A77CFC">
        <w:rPr>
          <w:rFonts w:ascii="Times New Roman" w:hAnsi="Times New Roman" w:cs="Times New Roman"/>
          <w:sz w:val="24"/>
          <w:szCs w:val="24"/>
        </w:rPr>
        <w:tab/>
      </w:r>
      <w:r w:rsidRPr="00A77CFC">
        <w:rPr>
          <w:rFonts w:ascii="Times New Roman" w:hAnsi="Times New Roman" w:cs="Times New Roman"/>
          <w:sz w:val="24"/>
          <w:szCs w:val="24"/>
        </w:rPr>
        <w:tab/>
      </w:r>
    </w:p>
    <w:p w:rsidR="008A184B" w:rsidRPr="00A77CFC" w:rsidRDefault="00ED64E2"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A184B" w:rsidRPr="00A77CFC">
        <w:rPr>
          <w:rFonts w:ascii="Times New Roman" w:hAnsi="Times New Roman" w:cs="Times New Roman"/>
          <w:sz w:val="24"/>
          <w:szCs w:val="24"/>
        </w:rPr>
        <w:t>nd</w:t>
      </w:r>
    </w:p>
    <w:p w:rsidR="008A184B" w:rsidRPr="00A77CFC" w:rsidRDefault="00CF5C09"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FLE</w:t>
      </w:r>
      <w:r w:rsidR="008A184B">
        <w:rPr>
          <w:rFonts w:ascii="Times New Roman" w:hAnsi="Times New Roman" w:cs="Times New Roman"/>
          <w:sz w:val="24"/>
          <w:szCs w:val="24"/>
        </w:rPr>
        <w:t>TCHER KALULU</w:t>
      </w:r>
    </w:p>
    <w:p w:rsidR="008A184B" w:rsidRDefault="00FE6D7C"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A184B" w:rsidRPr="00A77CFC" w:rsidRDefault="008A184B" w:rsidP="008A184B">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8A184B" w:rsidRDefault="008A184B" w:rsidP="008A184B">
      <w:pPr>
        <w:spacing w:after="0" w:line="240" w:lineRule="auto"/>
        <w:rPr>
          <w:rFonts w:ascii="Times New Roman" w:hAnsi="Times New Roman" w:cs="Times New Roman"/>
          <w:sz w:val="24"/>
          <w:szCs w:val="24"/>
        </w:rPr>
      </w:pPr>
    </w:p>
    <w:p w:rsidR="008A184B" w:rsidRPr="00A77CFC" w:rsidRDefault="00FE6D7C" w:rsidP="00FE6D7C">
      <w:pPr>
        <w:tabs>
          <w:tab w:val="left" w:pos="640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A184B" w:rsidRPr="00A77CFC" w:rsidRDefault="008A184B" w:rsidP="008A184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HIGH COURT OF ZIMBABWE </w:t>
      </w:r>
    </w:p>
    <w:p w:rsidR="008A184B" w:rsidRPr="00A77CFC" w:rsidRDefault="008A184B" w:rsidP="008A184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MWAYERA AND MUZENDA JJ</w:t>
      </w:r>
    </w:p>
    <w:p w:rsidR="008A184B" w:rsidRPr="00A77CFC" w:rsidRDefault="008A184B" w:rsidP="008A184B">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MUTARE, </w:t>
      </w:r>
      <w:r w:rsidR="00800C6B">
        <w:rPr>
          <w:rFonts w:ascii="Times New Roman" w:hAnsi="Times New Roman" w:cs="Times New Roman"/>
          <w:sz w:val="24"/>
          <w:szCs w:val="24"/>
        </w:rPr>
        <w:t>9 September 2020 and 17 September 2020</w:t>
      </w: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8A184B" w:rsidP="008A184B">
      <w:pPr>
        <w:spacing w:after="0" w:line="240" w:lineRule="auto"/>
        <w:jc w:val="center"/>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b/>
          <w:sz w:val="24"/>
          <w:szCs w:val="24"/>
        </w:rPr>
      </w:pPr>
      <w:r w:rsidRPr="00A77CFC">
        <w:rPr>
          <w:rFonts w:ascii="Times New Roman" w:hAnsi="Times New Roman" w:cs="Times New Roman"/>
          <w:b/>
          <w:sz w:val="24"/>
          <w:szCs w:val="24"/>
        </w:rPr>
        <w:t>C</w:t>
      </w:r>
      <w:r>
        <w:rPr>
          <w:rFonts w:ascii="Times New Roman" w:hAnsi="Times New Roman" w:cs="Times New Roman"/>
          <w:b/>
          <w:sz w:val="24"/>
          <w:szCs w:val="24"/>
        </w:rPr>
        <w:t>riminal</w:t>
      </w:r>
      <w:r w:rsidRPr="00A77CFC">
        <w:rPr>
          <w:rFonts w:ascii="Times New Roman" w:hAnsi="Times New Roman" w:cs="Times New Roman"/>
          <w:b/>
          <w:sz w:val="24"/>
          <w:szCs w:val="24"/>
        </w:rPr>
        <w:t xml:space="preserve"> Appeal</w:t>
      </w: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sz w:val="24"/>
          <w:szCs w:val="24"/>
        </w:rPr>
      </w:pPr>
      <w:r w:rsidRPr="008A184B">
        <w:rPr>
          <w:rFonts w:ascii="Times New Roman" w:hAnsi="Times New Roman" w:cs="Times New Roman"/>
          <w:i/>
          <w:sz w:val="24"/>
          <w:szCs w:val="24"/>
        </w:rPr>
        <w:t>Mr C Mukwena</w:t>
      </w:r>
      <w:r>
        <w:rPr>
          <w:rFonts w:ascii="Times New Roman" w:hAnsi="Times New Roman" w:cs="Times New Roman"/>
          <w:sz w:val="24"/>
          <w:szCs w:val="24"/>
        </w:rPr>
        <w:t>, for the Appellants</w:t>
      </w:r>
    </w:p>
    <w:p w:rsidR="008A184B" w:rsidRPr="00A77CFC" w:rsidRDefault="008A184B" w:rsidP="008A184B">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Ms T.L Katsiru</w:t>
      </w:r>
      <w:r w:rsidRPr="00A77CFC">
        <w:rPr>
          <w:rFonts w:ascii="Times New Roman" w:hAnsi="Times New Roman" w:cs="Times New Roman"/>
          <w:i/>
          <w:sz w:val="24"/>
          <w:szCs w:val="24"/>
        </w:rPr>
        <w:t>,</w:t>
      </w:r>
      <w:r w:rsidRPr="00A77CFC">
        <w:rPr>
          <w:rFonts w:ascii="Times New Roman" w:hAnsi="Times New Roman" w:cs="Times New Roman"/>
          <w:sz w:val="24"/>
          <w:szCs w:val="24"/>
        </w:rPr>
        <w:t xml:space="preserve"> for the Respondent                      </w:t>
      </w:r>
    </w:p>
    <w:p w:rsidR="008A184B" w:rsidRPr="00A77CFC" w:rsidRDefault="008A184B" w:rsidP="008A184B">
      <w:pPr>
        <w:spacing w:after="0" w:line="240" w:lineRule="auto"/>
        <w:ind w:left="720" w:hanging="720"/>
        <w:rPr>
          <w:rFonts w:ascii="Times New Roman" w:hAnsi="Times New Roman" w:cs="Times New Roman"/>
          <w:sz w:val="24"/>
          <w:szCs w:val="24"/>
        </w:rPr>
      </w:pPr>
    </w:p>
    <w:p w:rsidR="008A184B" w:rsidRPr="00A77CFC" w:rsidRDefault="008A184B" w:rsidP="008A184B">
      <w:pPr>
        <w:spacing w:after="0" w:line="240" w:lineRule="auto"/>
        <w:rPr>
          <w:rFonts w:ascii="Times New Roman" w:hAnsi="Times New Roman" w:cs="Times New Roman"/>
          <w:sz w:val="24"/>
          <w:szCs w:val="24"/>
        </w:rPr>
      </w:pPr>
    </w:p>
    <w:p w:rsidR="000B6E6B" w:rsidRDefault="008A184B" w:rsidP="008A184B">
      <w:pPr>
        <w:spacing w:line="360" w:lineRule="auto"/>
        <w:ind w:firstLine="720"/>
        <w:jc w:val="both"/>
        <w:rPr>
          <w:rFonts w:ascii="Times New Roman" w:hAnsi="Times New Roman" w:cs="Times New Roman"/>
          <w:sz w:val="24"/>
          <w:szCs w:val="24"/>
        </w:rPr>
      </w:pPr>
      <w:r w:rsidRPr="008A184B">
        <w:rPr>
          <w:rFonts w:ascii="Times New Roman" w:hAnsi="Times New Roman" w:cs="Times New Roman"/>
          <w:sz w:val="24"/>
          <w:szCs w:val="24"/>
        </w:rPr>
        <w:t xml:space="preserve">MUZENDA J: </w:t>
      </w:r>
      <w:r>
        <w:rPr>
          <w:rFonts w:ascii="Times New Roman" w:hAnsi="Times New Roman" w:cs="Times New Roman"/>
          <w:sz w:val="24"/>
          <w:szCs w:val="24"/>
        </w:rPr>
        <w:t xml:space="preserve">This is an appeal against both conviction and sentence that was imposed upon appellants by </w:t>
      </w:r>
      <w:r w:rsidR="00ED64E2">
        <w:rPr>
          <w:rFonts w:ascii="Times New Roman" w:hAnsi="Times New Roman" w:cs="Times New Roman"/>
          <w:sz w:val="24"/>
          <w:szCs w:val="24"/>
        </w:rPr>
        <w:t xml:space="preserve">the Provincial Magistrate on </w:t>
      </w:r>
      <w:r>
        <w:rPr>
          <w:rFonts w:ascii="Times New Roman" w:hAnsi="Times New Roman" w:cs="Times New Roman"/>
          <w:sz w:val="24"/>
          <w:szCs w:val="24"/>
        </w:rPr>
        <w:t>24 April 2020 where the court convicted the two appellants of contravening s 368 (1) as read with s 368 (4) of the Mines and Minerals Act [</w:t>
      </w:r>
      <w:r w:rsidRPr="00071E67">
        <w:rPr>
          <w:rFonts w:ascii="Times New Roman" w:hAnsi="Times New Roman" w:cs="Times New Roman"/>
          <w:i/>
          <w:sz w:val="24"/>
          <w:szCs w:val="24"/>
        </w:rPr>
        <w:t>Chapter 21:05</w:t>
      </w:r>
      <w:r w:rsidR="00863E48">
        <w:rPr>
          <w:rFonts w:ascii="Times New Roman" w:hAnsi="Times New Roman" w:cs="Times New Roman"/>
          <w:sz w:val="24"/>
          <w:szCs w:val="24"/>
        </w:rPr>
        <w:t>]</w:t>
      </w:r>
      <w:r>
        <w:rPr>
          <w:rFonts w:ascii="Times New Roman" w:hAnsi="Times New Roman" w:cs="Times New Roman"/>
          <w:sz w:val="24"/>
          <w:szCs w:val="24"/>
        </w:rPr>
        <w:t xml:space="preserve"> for prospecting for minerals without a permit or licence and were both sentenced to 24 months (2 years).</w:t>
      </w:r>
    </w:p>
    <w:p w:rsidR="008A184B" w:rsidRPr="00185583" w:rsidRDefault="008A184B" w:rsidP="008A184B">
      <w:pPr>
        <w:spacing w:line="360" w:lineRule="auto"/>
        <w:jc w:val="both"/>
        <w:rPr>
          <w:rFonts w:ascii="Times New Roman" w:hAnsi="Times New Roman" w:cs="Times New Roman"/>
          <w:sz w:val="24"/>
          <w:szCs w:val="24"/>
          <w:u w:val="single"/>
        </w:rPr>
      </w:pPr>
      <w:r w:rsidRPr="00185583">
        <w:rPr>
          <w:rFonts w:ascii="Times New Roman" w:hAnsi="Times New Roman" w:cs="Times New Roman"/>
          <w:sz w:val="24"/>
          <w:szCs w:val="24"/>
          <w:u w:val="single"/>
        </w:rPr>
        <w:t>BACKGROUND</w:t>
      </w:r>
    </w:p>
    <w:p w:rsidR="008A184B" w:rsidRDefault="008A184B" w:rsidP="00863E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appellant is aged 42 years and resides at </w:t>
      </w:r>
      <w:r w:rsidR="00071E67">
        <w:rPr>
          <w:rFonts w:ascii="Times New Roman" w:hAnsi="Times New Roman" w:cs="Times New Roman"/>
          <w:sz w:val="24"/>
          <w:szCs w:val="24"/>
        </w:rPr>
        <w:t>Vhumbunu Village Chief Mutasa, Watsomba and is unemployed. Second appellant i</w:t>
      </w:r>
      <w:r w:rsidR="00C06D33">
        <w:rPr>
          <w:rFonts w:ascii="Times New Roman" w:hAnsi="Times New Roman" w:cs="Times New Roman"/>
          <w:sz w:val="24"/>
          <w:szCs w:val="24"/>
        </w:rPr>
        <w:t>s also aged 42 years and resides</w:t>
      </w:r>
      <w:r w:rsidR="00071E67">
        <w:rPr>
          <w:rFonts w:ascii="Times New Roman" w:hAnsi="Times New Roman" w:cs="Times New Roman"/>
          <w:sz w:val="24"/>
          <w:szCs w:val="24"/>
        </w:rPr>
        <w:t xml:space="preserve"> at Village 7 Dombo Rutinhira, Chief Mutasa, Penhalonga, he is also not employed.</w:t>
      </w:r>
    </w:p>
    <w:p w:rsidR="00071E67" w:rsidRDefault="00071E67" w:rsidP="00863E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April 2020 at around 11:30 hours police were deployed on an operation to arrest i</w:t>
      </w:r>
      <w:r w:rsidR="00EB6D7D">
        <w:rPr>
          <w:rFonts w:ascii="Times New Roman" w:hAnsi="Times New Roman" w:cs="Times New Roman"/>
          <w:sz w:val="24"/>
          <w:szCs w:val="24"/>
        </w:rPr>
        <w:t>llegal gold panners along Nyaka</w:t>
      </w:r>
      <w:r w:rsidR="00466BD6">
        <w:rPr>
          <w:rFonts w:ascii="Times New Roman" w:hAnsi="Times New Roman" w:cs="Times New Roman"/>
          <w:sz w:val="24"/>
          <w:szCs w:val="24"/>
        </w:rPr>
        <w:t>u</w:t>
      </w:r>
      <w:r>
        <w:rPr>
          <w:rFonts w:ascii="Times New Roman" w:hAnsi="Times New Roman" w:cs="Times New Roman"/>
          <w:sz w:val="24"/>
          <w:szCs w:val="24"/>
        </w:rPr>
        <w:t xml:space="preserve">nga River, Sheba Estates, Penhalonga. They intercepted both appellants prospecting gold each using a hoe and apprehended them. Appellants were asked to produce any permit or licence but failed to produce neither. </w:t>
      </w:r>
    </w:p>
    <w:p w:rsidR="00071E67" w:rsidRDefault="00071E67" w:rsidP="00071E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April 2020 both appellants appeared at Mutare Magistrates Court. They were not legally represented. The charge was put to them and they replied that they had understood the charge and admitted to it. A plea of guilty was entered. The court proceeded in terms of s 271 (2) (b) of the Criminal Procedure and Evidence Act [</w:t>
      </w:r>
      <w:r w:rsidRPr="00071E67">
        <w:rPr>
          <w:rFonts w:ascii="Times New Roman" w:hAnsi="Times New Roman" w:cs="Times New Roman"/>
          <w:i/>
          <w:sz w:val="24"/>
          <w:szCs w:val="24"/>
        </w:rPr>
        <w:t>Chapter 9:07</w:t>
      </w:r>
      <w:r>
        <w:rPr>
          <w:rFonts w:ascii="Times New Roman" w:hAnsi="Times New Roman" w:cs="Times New Roman"/>
          <w:sz w:val="24"/>
          <w:szCs w:val="24"/>
        </w:rPr>
        <w:t xml:space="preserve">] and the following questions were canvassed by the </w:t>
      </w:r>
      <w:r w:rsidRPr="00EB6D7D">
        <w:rPr>
          <w:rFonts w:ascii="Times New Roman" w:hAnsi="Times New Roman" w:cs="Times New Roman"/>
          <w:sz w:val="24"/>
          <w:szCs w:val="24"/>
        </w:rPr>
        <w:t>court</w:t>
      </w:r>
      <w:r w:rsidRPr="00071E67">
        <w:rPr>
          <w:rFonts w:ascii="Times New Roman" w:hAnsi="Times New Roman" w:cs="Times New Roman"/>
          <w:i/>
          <w:sz w:val="24"/>
          <w:szCs w:val="24"/>
        </w:rPr>
        <w:t xml:space="preserve"> a</w:t>
      </w:r>
      <w:r w:rsidR="00EB6D7D">
        <w:rPr>
          <w:rFonts w:ascii="Times New Roman" w:hAnsi="Times New Roman" w:cs="Times New Roman"/>
          <w:i/>
          <w:sz w:val="24"/>
          <w:szCs w:val="24"/>
        </w:rPr>
        <w:t xml:space="preserve"> </w:t>
      </w:r>
      <w:r w:rsidRPr="00071E67">
        <w:rPr>
          <w:rFonts w:ascii="Times New Roman" w:hAnsi="Times New Roman" w:cs="Times New Roman"/>
          <w:i/>
          <w:sz w:val="24"/>
          <w:szCs w:val="24"/>
        </w:rPr>
        <w:t>quo</w:t>
      </w:r>
      <w:r>
        <w:rPr>
          <w:rFonts w:ascii="Times New Roman" w:hAnsi="Times New Roman" w:cs="Times New Roman"/>
          <w:sz w:val="24"/>
          <w:szCs w:val="24"/>
        </w:rPr>
        <w:t>.</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0E53D6">
        <w:rPr>
          <w:rFonts w:ascii="Times New Roman" w:hAnsi="Times New Roman" w:cs="Times New Roman"/>
          <w:sz w:val="24"/>
          <w:szCs w:val="24"/>
          <w:u w:val="single"/>
        </w:rPr>
        <w:t>Essential elements</w:t>
      </w:r>
      <w:r>
        <w:rPr>
          <w:rFonts w:ascii="Times New Roman" w:hAnsi="Times New Roman" w:cs="Times New Roman"/>
          <w:sz w:val="24"/>
          <w:szCs w:val="24"/>
        </w:rPr>
        <w:t>”</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Q.</w:t>
      </w:r>
      <w:r>
        <w:rPr>
          <w:rFonts w:ascii="Times New Roman" w:hAnsi="Times New Roman" w:cs="Times New Roman"/>
          <w:sz w:val="24"/>
          <w:szCs w:val="24"/>
        </w:rPr>
        <w:tab/>
        <w:t>So is it correct that on 23 April 2020 at Nyakanga River Sheba Estate, Penhalonga, you were found whilst searching for gold as alleged?</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Accused 1: Yes</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Accused 2: Yes</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 </w:t>
      </w:r>
      <w:r>
        <w:rPr>
          <w:rFonts w:ascii="Times New Roman" w:hAnsi="Times New Roman" w:cs="Times New Roman"/>
          <w:sz w:val="24"/>
          <w:szCs w:val="24"/>
        </w:rPr>
        <w:tab/>
        <w:t>Are you a holder of a licence to search for gold?</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Accused 1: No</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Accused 2: No</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 </w:t>
      </w:r>
      <w:r>
        <w:rPr>
          <w:rFonts w:ascii="Times New Roman" w:hAnsi="Times New Roman" w:cs="Times New Roman"/>
          <w:sz w:val="24"/>
          <w:szCs w:val="24"/>
        </w:rPr>
        <w:tab/>
        <w:t>You know that your conduct was unlawful?</w:t>
      </w:r>
    </w:p>
    <w:p w:rsidR="00185583" w:rsidRDefault="00ED40F7"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Accused 1: Yes</w:t>
      </w:r>
    </w:p>
    <w:p w:rsidR="00185583" w:rsidRDefault="00ED40F7"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Accused 2: Yes</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 </w:t>
      </w:r>
      <w:r>
        <w:rPr>
          <w:rFonts w:ascii="Times New Roman" w:hAnsi="Times New Roman" w:cs="Times New Roman"/>
          <w:sz w:val="24"/>
          <w:szCs w:val="24"/>
        </w:rPr>
        <w:tab/>
        <w:t>Any defence?</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Accused 1: No</w:t>
      </w:r>
    </w:p>
    <w:p w:rsidR="00185583" w:rsidRDefault="00185583" w:rsidP="0018558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Accused 2: No</w:t>
      </w:r>
    </w:p>
    <w:p w:rsidR="00185583" w:rsidRDefault="00ED40F7" w:rsidP="00185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appellants were</w:t>
      </w:r>
      <w:r w:rsidR="00185583">
        <w:rPr>
          <w:rFonts w:ascii="Times New Roman" w:hAnsi="Times New Roman" w:cs="Times New Roman"/>
          <w:sz w:val="24"/>
          <w:szCs w:val="24"/>
        </w:rPr>
        <w:t xml:space="preserve"> convicted after these questions.</w:t>
      </w:r>
    </w:p>
    <w:p w:rsidR="00185583" w:rsidRDefault="00185583" w:rsidP="001855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 May 2020 an appeal was filed on appellants</w:t>
      </w:r>
      <w:r w:rsidR="00944259">
        <w:rPr>
          <w:rFonts w:ascii="Times New Roman" w:hAnsi="Times New Roman" w:cs="Times New Roman"/>
          <w:sz w:val="24"/>
          <w:szCs w:val="24"/>
        </w:rPr>
        <w:t>’ behalf and the grounds of appeal were outlined as follows</w:t>
      </w:r>
      <w:r w:rsidR="000E53D6">
        <w:rPr>
          <w:rFonts w:ascii="Times New Roman" w:hAnsi="Times New Roman" w:cs="Times New Roman"/>
          <w:sz w:val="24"/>
          <w:szCs w:val="24"/>
        </w:rPr>
        <w:t>:</w:t>
      </w:r>
    </w:p>
    <w:p w:rsidR="00944259" w:rsidRDefault="00944259" w:rsidP="009442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863E48">
        <w:rPr>
          <w:rFonts w:ascii="Times New Roman" w:hAnsi="Times New Roman" w:cs="Times New Roman"/>
          <w:sz w:val="24"/>
          <w:szCs w:val="24"/>
        </w:rPr>
        <w:tab/>
      </w:r>
      <w:r>
        <w:rPr>
          <w:rFonts w:ascii="Times New Roman" w:hAnsi="Times New Roman" w:cs="Times New Roman"/>
          <w:sz w:val="24"/>
          <w:szCs w:val="24"/>
        </w:rPr>
        <w:t>GROUNDS OF APPEAL</w:t>
      </w:r>
    </w:p>
    <w:p w:rsidR="00944259" w:rsidRPr="00944259" w:rsidRDefault="00944259" w:rsidP="00944259">
      <w:pPr>
        <w:spacing w:line="360" w:lineRule="auto"/>
        <w:ind w:firstLine="720"/>
        <w:jc w:val="both"/>
        <w:rPr>
          <w:rFonts w:ascii="Times New Roman" w:hAnsi="Times New Roman" w:cs="Times New Roman"/>
          <w:sz w:val="24"/>
          <w:szCs w:val="24"/>
          <w:u w:val="single"/>
        </w:rPr>
      </w:pPr>
      <w:r w:rsidRPr="00944259">
        <w:rPr>
          <w:rFonts w:ascii="Times New Roman" w:hAnsi="Times New Roman" w:cs="Times New Roman"/>
          <w:sz w:val="24"/>
          <w:szCs w:val="24"/>
          <w:u w:val="single"/>
        </w:rPr>
        <w:t xml:space="preserve">Ad Conviction </w:t>
      </w:r>
    </w:p>
    <w:p w:rsidR="00944259" w:rsidRDefault="00944259" w:rsidP="009442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23C96">
        <w:rPr>
          <w:rFonts w:ascii="Times New Roman" w:hAnsi="Times New Roman" w:cs="Times New Roman"/>
          <w:i/>
          <w:sz w:val="24"/>
          <w:szCs w:val="24"/>
        </w:rPr>
        <w:t>a</w:t>
      </w:r>
      <w:r w:rsidR="00C23C96" w:rsidRPr="00C23C96">
        <w:rPr>
          <w:rFonts w:ascii="Times New Roman" w:hAnsi="Times New Roman" w:cs="Times New Roman"/>
          <w:i/>
          <w:sz w:val="24"/>
          <w:szCs w:val="24"/>
        </w:rPr>
        <w:t xml:space="preserve"> </w:t>
      </w:r>
      <w:r w:rsidRPr="00C23C96">
        <w:rPr>
          <w:rFonts w:ascii="Times New Roman" w:hAnsi="Times New Roman" w:cs="Times New Roman"/>
          <w:i/>
          <w:sz w:val="24"/>
          <w:szCs w:val="24"/>
        </w:rPr>
        <w:t>quo</w:t>
      </w:r>
      <w:r>
        <w:rPr>
          <w:rFonts w:ascii="Times New Roman" w:hAnsi="Times New Roman" w:cs="Times New Roman"/>
          <w:sz w:val="24"/>
          <w:szCs w:val="24"/>
        </w:rPr>
        <w:t xml:space="preserve"> erred and misdirected itself at law when it failed to fully and exhaustively explain the charge and the essential elements of the offence with the appellants who were not legally represented and the conviction is not proper and in accordance with real and substantial justice.</w:t>
      </w:r>
    </w:p>
    <w:p w:rsidR="000E53D6" w:rsidRDefault="000E53D6" w:rsidP="000E53D6">
      <w:pPr>
        <w:spacing w:line="360" w:lineRule="auto"/>
        <w:jc w:val="both"/>
        <w:rPr>
          <w:rFonts w:ascii="Times New Roman" w:hAnsi="Times New Roman" w:cs="Times New Roman"/>
          <w:sz w:val="24"/>
          <w:szCs w:val="24"/>
        </w:rPr>
      </w:pPr>
    </w:p>
    <w:p w:rsidR="000E53D6" w:rsidRPr="000E53D6" w:rsidRDefault="000E53D6" w:rsidP="000E53D6">
      <w:pPr>
        <w:spacing w:line="360" w:lineRule="auto"/>
        <w:jc w:val="both"/>
        <w:rPr>
          <w:rFonts w:ascii="Times New Roman" w:hAnsi="Times New Roman" w:cs="Times New Roman"/>
          <w:sz w:val="24"/>
          <w:szCs w:val="24"/>
        </w:rPr>
      </w:pPr>
    </w:p>
    <w:p w:rsidR="00944259" w:rsidRPr="00944259" w:rsidRDefault="00944259" w:rsidP="009442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Pr>
          <w:rFonts w:ascii="Times New Roman" w:hAnsi="Times New Roman" w:cs="Times New Roman"/>
          <w:sz w:val="24"/>
          <w:szCs w:val="24"/>
        </w:rPr>
        <w:tab/>
      </w:r>
      <w:r w:rsidRPr="00944259">
        <w:rPr>
          <w:rFonts w:ascii="Times New Roman" w:hAnsi="Times New Roman" w:cs="Times New Roman"/>
          <w:sz w:val="24"/>
          <w:szCs w:val="24"/>
          <w:u w:val="single"/>
        </w:rPr>
        <w:t>Ad Sentence</w:t>
      </w:r>
      <w:r w:rsidRPr="00944259">
        <w:rPr>
          <w:rFonts w:ascii="Times New Roman" w:hAnsi="Times New Roman" w:cs="Times New Roman"/>
          <w:sz w:val="24"/>
          <w:szCs w:val="24"/>
        </w:rPr>
        <w:t xml:space="preserve"> </w:t>
      </w:r>
    </w:p>
    <w:p w:rsidR="00185583" w:rsidRDefault="00944259" w:rsidP="0094425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F61F07">
        <w:rPr>
          <w:rFonts w:ascii="Times New Roman" w:hAnsi="Times New Roman" w:cs="Times New Roman"/>
          <w:i/>
          <w:sz w:val="24"/>
          <w:szCs w:val="24"/>
        </w:rPr>
        <w:t>a</w:t>
      </w:r>
      <w:r w:rsidR="00F61F07" w:rsidRPr="00F61F07">
        <w:rPr>
          <w:rFonts w:ascii="Times New Roman" w:hAnsi="Times New Roman" w:cs="Times New Roman"/>
          <w:i/>
          <w:sz w:val="24"/>
          <w:szCs w:val="24"/>
        </w:rPr>
        <w:t xml:space="preserve"> </w:t>
      </w:r>
      <w:r w:rsidRPr="00F61F07">
        <w:rPr>
          <w:rFonts w:ascii="Times New Roman" w:hAnsi="Times New Roman" w:cs="Times New Roman"/>
          <w:i/>
          <w:sz w:val="24"/>
          <w:szCs w:val="24"/>
        </w:rPr>
        <w:t>quo</w:t>
      </w:r>
      <w:r>
        <w:rPr>
          <w:rFonts w:ascii="Times New Roman" w:hAnsi="Times New Roman" w:cs="Times New Roman"/>
          <w:sz w:val="24"/>
          <w:szCs w:val="24"/>
        </w:rPr>
        <w:t xml:space="preserve"> grossly misdirected itself at law by making a finding that there were no special circumstances and imposed the minimum mandatory sentence as provided for by the Act where there were special circumstances.</w:t>
      </w:r>
    </w:p>
    <w:p w:rsidR="00A450CF" w:rsidRPr="000E53D6" w:rsidRDefault="00A450CF" w:rsidP="00A450CF">
      <w:pPr>
        <w:spacing w:line="360" w:lineRule="auto"/>
        <w:jc w:val="both"/>
        <w:rPr>
          <w:rFonts w:ascii="Times New Roman" w:hAnsi="Times New Roman" w:cs="Times New Roman"/>
          <w:sz w:val="24"/>
          <w:szCs w:val="24"/>
          <w:u w:val="single"/>
        </w:rPr>
      </w:pPr>
      <w:r w:rsidRPr="000E53D6">
        <w:rPr>
          <w:rFonts w:ascii="Times New Roman" w:hAnsi="Times New Roman" w:cs="Times New Roman"/>
          <w:sz w:val="24"/>
          <w:szCs w:val="24"/>
          <w:u w:val="single"/>
        </w:rPr>
        <w:t>SUBMISSIONS</w:t>
      </w:r>
    </w:p>
    <w:p w:rsidR="009A71D8" w:rsidRDefault="00A450CF" w:rsidP="000E5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F412F">
        <w:rPr>
          <w:rFonts w:ascii="Times New Roman" w:hAnsi="Times New Roman" w:cs="Times New Roman"/>
          <w:i/>
          <w:sz w:val="24"/>
          <w:szCs w:val="24"/>
        </w:rPr>
        <w:t>Mukwena</w:t>
      </w:r>
      <w:r>
        <w:rPr>
          <w:rFonts w:ascii="Times New Roman" w:hAnsi="Times New Roman" w:cs="Times New Roman"/>
          <w:sz w:val="24"/>
          <w:szCs w:val="24"/>
        </w:rPr>
        <w:t xml:space="preserve"> submitted on behalf of the </w:t>
      </w:r>
      <w:r w:rsidR="00AF412F">
        <w:rPr>
          <w:rFonts w:ascii="Times New Roman" w:hAnsi="Times New Roman" w:cs="Times New Roman"/>
          <w:sz w:val="24"/>
          <w:szCs w:val="24"/>
        </w:rPr>
        <w:t xml:space="preserve">appellants that the court </w:t>
      </w:r>
      <w:r w:rsidR="00AF412F" w:rsidRPr="009A71D8">
        <w:rPr>
          <w:rFonts w:ascii="Times New Roman" w:hAnsi="Times New Roman" w:cs="Times New Roman"/>
          <w:i/>
          <w:sz w:val="24"/>
          <w:szCs w:val="24"/>
        </w:rPr>
        <w:t>a quo</w:t>
      </w:r>
      <w:r w:rsidR="00AF412F">
        <w:rPr>
          <w:rFonts w:ascii="Times New Roman" w:hAnsi="Times New Roman" w:cs="Times New Roman"/>
          <w:sz w:val="24"/>
          <w:szCs w:val="24"/>
        </w:rPr>
        <w:t xml:space="preserve"> erred and misdirected itself at law when it failed to fully and exhaustively explain the charge and the essential elements of the offence with applicants who were not legally represented and hence the conviction is not proper and should be quashed. Appellants added that in terms of s 271 (2) (b) of the Criminal Procedure and Evidence Act, the court has a duty to explain the charge and the essential elements of the offence to an accused</w:t>
      </w:r>
      <w:r w:rsidR="009A71D8">
        <w:rPr>
          <w:rFonts w:ascii="Times New Roman" w:hAnsi="Times New Roman" w:cs="Times New Roman"/>
          <w:sz w:val="24"/>
          <w:szCs w:val="24"/>
        </w:rPr>
        <w:t xml:space="preserve"> especially to an unrepresented accused. He contended that the record of proceedings does not have any explanation of the charge that was made by the court. It was further submitted by the appel</w:t>
      </w:r>
      <w:r w:rsidR="000358FC">
        <w:rPr>
          <w:rFonts w:ascii="Times New Roman" w:hAnsi="Times New Roman" w:cs="Times New Roman"/>
          <w:sz w:val="24"/>
          <w:szCs w:val="24"/>
        </w:rPr>
        <w:t>lants’ Counsel that the court should</w:t>
      </w:r>
      <w:r w:rsidR="009A71D8">
        <w:rPr>
          <w:rFonts w:ascii="Times New Roman" w:hAnsi="Times New Roman" w:cs="Times New Roman"/>
          <w:sz w:val="24"/>
          <w:szCs w:val="24"/>
        </w:rPr>
        <w:t xml:space="preserve"> also satisfy itself that indeed the accused has understood and admits the charge as well as the essential elements and the facts on which the charge is</w:t>
      </w:r>
      <w:r w:rsidR="00F80DE7">
        <w:rPr>
          <w:rFonts w:ascii="Times New Roman" w:hAnsi="Times New Roman" w:cs="Times New Roman"/>
          <w:sz w:val="24"/>
          <w:szCs w:val="24"/>
        </w:rPr>
        <w:t xml:space="preserve"> based. Appellants further averr</w:t>
      </w:r>
      <w:r w:rsidR="009A71D8">
        <w:rPr>
          <w:rFonts w:ascii="Times New Roman" w:hAnsi="Times New Roman" w:cs="Times New Roman"/>
          <w:sz w:val="24"/>
          <w:szCs w:val="24"/>
        </w:rPr>
        <w:t xml:space="preserve">ed that the court </w:t>
      </w:r>
      <w:r w:rsidR="009A71D8" w:rsidRPr="009A71D8">
        <w:rPr>
          <w:rFonts w:ascii="Times New Roman" w:hAnsi="Times New Roman" w:cs="Times New Roman"/>
          <w:i/>
          <w:sz w:val="24"/>
          <w:szCs w:val="24"/>
        </w:rPr>
        <w:t>a quo</w:t>
      </w:r>
      <w:r w:rsidR="009A71D8">
        <w:rPr>
          <w:rFonts w:ascii="Times New Roman" w:hAnsi="Times New Roman" w:cs="Times New Roman"/>
          <w:i/>
          <w:sz w:val="24"/>
          <w:szCs w:val="24"/>
        </w:rPr>
        <w:t xml:space="preserve"> </w:t>
      </w:r>
      <w:r w:rsidR="009A71D8">
        <w:rPr>
          <w:rFonts w:ascii="Times New Roman" w:hAnsi="Times New Roman" w:cs="Times New Roman"/>
          <w:sz w:val="24"/>
          <w:szCs w:val="24"/>
        </w:rPr>
        <w:t xml:space="preserve">did not follow the provision of s 271 (2) (b). As a result appellants’ pleas of guilty were not properly secured. He cited the case of </w:t>
      </w:r>
      <w:r w:rsidR="009A71D8" w:rsidRPr="009A71D8">
        <w:rPr>
          <w:rFonts w:ascii="Times New Roman" w:hAnsi="Times New Roman" w:cs="Times New Roman"/>
          <w:i/>
          <w:sz w:val="24"/>
          <w:szCs w:val="24"/>
        </w:rPr>
        <w:t>Simbarashe M</w:t>
      </w:r>
      <w:r w:rsidR="009A71D8">
        <w:rPr>
          <w:rFonts w:ascii="Times New Roman" w:hAnsi="Times New Roman" w:cs="Times New Roman"/>
          <w:i/>
          <w:sz w:val="24"/>
          <w:szCs w:val="24"/>
        </w:rPr>
        <w:t>a</w:t>
      </w:r>
      <w:r w:rsidR="009A71D8" w:rsidRPr="009A71D8">
        <w:rPr>
          <w:rFonts w:ascii="Times New Roman" w:hAnsi="Times New Roman" w:cs="Times New Roman"/>
          <w:i/>
          <w:sz w:val="24"/>
          <w:szCs w:val="24"/>
        </w:rPr>
        <w:t>yo</w:t>
      </w:r>
      <w:r w:rsidR="009A71D8">
        <w:rPr>
          <w:rFonts w:ascii="Times New Roman" w:hAnsi="Times New Roman" w:cs="Times New Roman"/>
          <w:sz w:val="24"/>
          <w:szCs w:val="24"/>
        </w:rPr>
        <w:t xml:space="preserve"> v </w:t>
      </w:r>
      <w:r w:rsidR="009A71D8" w:rsidRPr="009A71D8">
        <w:rPr>
          <w:rFonts w:ascii="Times New Roman" w:hAnsi="Times New Roman" w:cs="Times New Roman"/>
          <w:i/>
          <w:sz w:val="24"/>
          <w:szCs w:val="24"/>
        </w:rPr>
        <w:t>The State</w:t>
      </w:r>
      <w:r w:rsidR="009A71D8">
        <w:rPr>
          <w:rStyle w:val="FootnoteReference"/>
          <w:rFonts w:ascii="Times New Roman" w:hAnsi="Times New Roman" w:cs="Times New Roman"/>
          <w:sz w:val="24"/>
          <w:szCs w:val="24"/>
        </w:rPr>
        <w:footnoteReference w:id="1"/>
      </w:r>
      <w:r w:rsidR="009A71D8">
        <w:rPr>
          <w:rFonts w:ascii="Times New Roman" w:hAnsi="Times New Roman" w:cs="Times New Roman"/>
          <w:i/>
          <w:sz w:val="24"/>
          <w:szCs w:val="24"/>
        </w:rPr>
        <w:t xml:space="preserve"> </w:t>
      </w:r>
      <w:r w:rsidR="009A71D8">
        <w:rPr>
          <w:rFonts w:ascii="Times New Roman" w:hAnsi="Times New Roman" w:cs="Times New Roman"/>
          <w:sz w:val="24"/>
          <w:szCs w:val="24"/>
        </w:rPr>
        <w:t xml:space="preserve">and also the matter of </w:t>
      </w:r>
      <w:r w:rsidR="009A71D8" w:rsidRPr="009A71D8">
        <w:rPr>
          <w:rFonts w:ascii="Times New Roman" w:hAnsi="Times New Roman" w:cs="Times New Roman"/>
          <w:i/>
          <w:sz w:val="24"/>
          <w:szCs w:val="24"/>
        </w:rPr>
        <w:t>State</w:t>
      </w:r>
      <w:r w:rsidR="009A71D8">
        <w:rPr>
          <w:rFonts w:ascii="Times New Roman" w:hAnsi="Times New Roman" w:cs="Times New Roman"/>
          <w:sz w:val="24"/>
          <w:szCs w:val="24"/>
        </w:rPr>
        <w:t xml:space="preserve"> v </w:t>
      </w:r>
      <w:r w:rsidR="009A71D8" w:rsidRPr="009A71D8">
        <w:rPr>
          <w:rFonts w:ascii="Times New Roman" w:hAnsi="Times New Roman" w:cs="Times New Roman"/>
          <w:i/>
          <w:sz w:val="24"/>
          <w:szCs w:val="24"/>
        </w:rPr>
        <w:t>Dube and Another</w:t>
      </w:r>
      <w:r w:rsidR="009A71D8">
        <w:rPr>
          <w:rFonts w:ascii="Times New Roman" w:hAnsi="Times New Roman" w:cs="Times New Roman"/>
          <w:sz w:val="24"/>
          <w:szCs w:val="24"/>
        </w:rPr>
        <w:t>.</w:t>
      </w:r>
      <w:r w:rsidR="009A71D8">
        <w:rPr>
          <w:rStyle w:val="FootnoteReference"/>
          <w:rFonts w:ascii="Times New Roman" w:hAnsi="Times New Roman" w:cs="Times New Roman"/>
          <w:sz w:val="24"/>
          <w:szCs w:val="24"/>
        </w:rPr>
        <w:footnoteReference w:id="2"/>
      </w:r>
    </w:p>
    <w:p w:rsidR="009A71D8" w:rsidRDefault="009A71D8" w:rsidP="000E5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aspect of sentence, appellants submitted that the court a quo grossly misdirected itself </w:t>
      </w:r>
      <w:r w:rsidR="00B41DB7">
        <w:rPr>
          <w:rFonts w:ascii="Times New Roman" w:hAnsi="Times New Roman" w:cs="Times New Roman"/>
          <w:sz w:val="24"/>
          <w:szCs w:val="24"/>
        </w:rPr>
        <w:t xml:space="preserve">by making a finding that there were no special circumstances when there were special circumstances. Mr </w:t>
      </w:r>
      <w:r w:rsidR="00B41DB7" w:rsidRPr="00B41DB7">
        <w:rPr>
          <w:rFonts w:ascii="Times New Roman" w:hAnsi="Times New Roman" w:cs="Times New Roman"/>
          <w:i/>
          <w:sz w:val="24"/>
          <w:szCs w:val="24"/>
        </w:rPr>
        <w:t>Mukwena</w:t>
      </w:r>
      <w:r w:rsidR="00B41DB7">
        <w:rPr>
          <w:rFonts w:ascii="Times New Roman" w:hAnsi="Times New Roman" w:cs="Times New Roman"/>
          <w:sz w:val="24"/>
          <w:szCs w:val="24"/>
        </w:rPr>
        <w:t xml:space="preserve"> urged this court to make a finding of special circumstances premised on the current lockdown brought about the Covid 19 pandemic. The lockdown pushed the appellants to commit the offence as they </w:t>
      </w:r>
      <w:r w:rsidR="00BD1B31">
        <w:rPr>
          <w:rFonts w:ascii="Times New Roman" w:hAnsi="Times New Roman" w:cs="Times New Roman"/>
          <w:sz w:val="24"/>
          <w:szCs w:val="24"/>
        </w:rPr>
        <w:t xml:space="preserve">were </w:t>
      </w:r>
      <w:r w:rsidR="00B41DB7">
        <w:rPr>
          <w:rFonts w:ascii="Times New Roman" w:hAnsi="Times New Roman" w:cs="Times New Roman"/>
          <w:sz w:val="24"/>
          <w:szCs w:val="24"/>
        </w:rPr>
        <w:t>compelled to do so due to the hardships caused by the lockdown. To the appellants the issue of special circumstances have not yet been dealt with exhaustively by th</w:t>
      </w:r>
      <w:r w:rsidR="003B4867">
        <w:rPr>
          <w:rFonts w:ascii="Times New Roman" w:hAnsi="Times New Roman" w:cs="Times New Roman"/>
          <w:sz w:val="24"/>
          <w:szCs w:val="24"/>
        </w:rPr>
        <w:t>e courts and there is no clear c</w:t>
      </w:r>
      <w:r w:rsidR="00B41DB7">
        <w:rPr>
          <w:rFonts w:ascii="Times New Roman" w:hAnsi="Times New Roman" w:cs="Times New Roman"/>
          <w:sz w:val="24"/>
          <w:szCs w:val="24"/>
        </w:rPr>
        <w:t xml:space="preserve">ut guideline regarding what constitute special circumstances. He cited the case of </w:t>
      </w:r>
      <w:r w:rsidR="00B41DB7" w:rsidRPr="00B41DB7">
        <w:rPr>
          <w:rFonts w:ascii="Times New Roman" w:hAnsi="Times New Roman" w:cs="Times New Roman"/>
          <w:i/>
          <w:sz w:val="24"/>
          <w:szCs w:val="24"/>
        </w:rPr>
        <w:t>Mutsa Mwayedza</w:t>
      </w:r>
      <w:r w:rsidR="00B41DB7">
        <w:rPr>
          <w:rFonts w:ascii="Times New Roman" w:hAnsi="Times New Roman" w:cs="Times New Roman"/>
          <w:sz w:val="24"/>
          <w:szCs w:val="24"/>
        </w:rPr>
        <w:t xml:space="preserve"> v </w:t>
      </w:r>
      <w:r w:rsidR="00B41DB7" w:rsidRPr="00B41DB7">
        <w:rPr>
          <w:rFonts w:ascii="Times New Roman" w:hAnsi="Times New Roman" w:cs="Times New Roman"/>
          <w:i/>
          <w:sz w:val="24"/>
          <w:szCs w:val="24"/>
        </w:rPr>
        <w:t>The State</w:t>
      </w:r>
      <w:r w:rsidR="00B41DB7">
        <w:rPr>
          <w:rFonts w:ascii="Times New Roman" w:hAnsi="Times New Roman" w:cs="Times New Roman"/>
          <w:sz w:val="24"/>
          <w:szCs w:val="24"/>
        </w:rPr>
        <w:t xml:space="preserve"> </w:t>
      </w:r>
      <w:r w:rsidR="00B41DB7">
        <w:rPr>
          <w:rStyle w:val="FootnoteReference"/>
          <w:rFonts w:ascii="Times New Roman" w:hAnsi="Times New Roman" w:cs="Times New Roman"/>
          <w:sz w:val="24"/>
          <w:szCs w:val="24"/>
        </w:rPr>
        <w:footnoteReference w:id="3"/>
      </w:r>
      <w:r w:rsidR="00B41DB7">
        <w:rPr>
          <w:rFonts w:ascii="Times New Roman" w:hAnsi="Times New Roman" w:cs="Times New Roman"/>
          <w:sz w:val="24"/>
          <w:szCs w:val="24"/>
        </w:rPr>
        <w:t xml:space="preserve"> and he submitted </w:t>
      </w:r>
      <w:r w:rsidR="00E14BA2">
        <w:rPr>
          <w:rFonts w:ascii="Times New Roman" w:hAnsi="Times New Roman" w:cs="Times New Roman"/>
          <w:sz w:val="24"/>
          <w:szCs w:val="24"/>
        </w:rPr>
        <w:t xml:space="preserve">that </w:t>
      </w:r>
      <w:r w:rsidR="00B41DB7">
        <w:rPr>
          <w:rFonts w:ascii="Times New Roman" w:hAnsi="Times New Roman" w:cs="Times New Roman"/>
          <w:sz w:val="24"/>
          <w:szCs w:val="24"/>
        </w:rPr>
        <w:t xml:space="preserve">the circumstances raised by the appellants are extra-ordinary circumstances surrounding the commission of the offence and special to the offender. Appellants added that </w:t>
      </w:r>
      <w:r w:rsidR="00B41DB7">
        <w:rPr>
          <w:rFonts w:ascii="Times New Roman" w:hAnsi="Times New Roman" w:cs="Times New Roman"/>
          <w:sz w:val="24"/>
          <w:szCs w:val="24"/>
        </w:rPr>
        <w:lastRenderedPageBreak/>
        <w:t xml:space="preserve">since the court </w:t>
      </w:r>
      <w:r w:rsidR="00B41DB7" w:rsidRPr="00B41DB7">
        <w:rPr>
          <w:rFonts w:ascii="Times New Roman" w:hAnsi="Times New Roman" w:cs="Times New Roman"/>
          <w:i/>
          <w:sz w:val="24"/>
          <w:szCs w:val="24"/>
        </w:rPr>
        <w:t>a</w:t>
      </w:r>
      <w:r w:rsidR="00B41DB7">
        <w:rPr>
          <w:rFonts w:ascii="Times New Roman" w:hAnsi="Times New Roman" w:cs="Times New Roman"/>
          <w:sz w:val="24"/>
          <w:szCs w:val="24"/>
        </w:rPr>
        <w:t xml:space="preserve"> </w:t>
      </w:r>
      <w:r w:rsidR="00B41DB7" w:rsidRPr="00B41DB7">
        <w:rPr>
          <w:rFonts w:ascii="Times New Roman" w:hAnsi="Times New Roman" w:cs="Times New Roman"/>
          <w:i/>
          <w:sz w:val="24"/>
          <w:szCs w:val="24"/>
        </w:rPr>
        <w:t>quo</w:t>
      </w:r>
      <w:r w:rsidR="00B41DB7">
        <w:rPr>
          <w:rFonts w:ascii="Times New Roman" w:hAnsi="Times New Roman" w:cs="Times New Roman"/>
          <w:sz w:val="24"/>
          <w:szCs w:val="24"/>
        </w:rPr>
        <w:t xml:space="preserve"> settled for a 24 month</w:t>
      </w:r>
      <w:r w:rsidR="007D0439">
        <w:rPr>
          <w:rFonts w:ascii="Times New Roman" w:hAnsi="Times New Roman" w:cs="Times New Roman"/>
          <w:sz w:val="24"/>
          <w:szCs w:val="24"/>
        </w:rPr>
        <w:t>s</w:t>
      </w:r>
      <w:r w:rsidR="00B41DB7">
        <w:rPr>
          <w:rFonts w:ascii="Times New Roman" w:hAnsi="Times New Roman" w:cs="Times New Roman"/>
          <w:sz w:val="24"/>
          <w:szCs w:val="24"/>
        </w:rPr>
        <w:t xml:space="preserve"> imprisonment, it was duty bound to consider other non-custodial sentence</w:t>
      </w:r>
      <w:r w:rsidR="007D0439">
        <w:rPr>
          <w:rFonts w:ascii="Times New Roman" w:hAnsi="Times New Roman" w:cs="Times New Roman"/>
          <w:sz w:val="24"/>
          <w:szCs w:val="24"/>
        </w:rPr>
        <w:t>s</w:t>
      </w:r>
      <w:r w:rsidR="00B41DB7">
        <w:rPr>
          <w:rFonts w:ascii="Times New Roman" w:hAnsi="Times New Roman" w:cs="Times New Roman"/>
          <w:sz w:val="24"/>
          <w:szCs w:val="24"/>
        </w:rPr>
        <w:t xml:space="preserve"> like community service. Mr </w:t>
      </w:r>
      <w:r w:rsidR="00B41DB7" w:rsidRPr="00B41DB7">
        <w:rPr>
          <w:rFonts w:ascii="Times New Roman" w:hAnsi="Times New Roman" w:cs="Times New Roman"/>
          <w:i/>
          <w:sz w:val="24"/>
          <w:szCs w:val="24"/>
        </w:rPr>
        <w:t>Mukwena</w:t>
      </w:r>
      <w:r w:rsidR="00B41DB7">
        <w:rPr>
          <w:rFonts w:ascii="Times New Roman" w:hAnsi="Times New Roman" w:cs="Times New Roman"/>
          <w:sz w:val="24"/>
          <w:szCs w:val="24"/>
        </w:rPr>
        <w:t xml:space="preserve"> referred the court </w:t>
      </w:r>
      <w:r w:rsidR="00CA690B">
        <w:rPr>
          <w:rFonts w:ascii="Times New Roman" w:hAnsi="Times New Roman" w:cs="Times New Roman"/>
          <w:sz w:val="24"/>
          <w:szCs w:val="24"/>
        </w:rPr>
        <w:t xml:space="preserve">to the matter of </w:t>
      </w:r>
      <w:r w:rsidR="00CA690B" w:rsidRPr="00CA690B">
        <w:rPr>
          <w:rFonts w:ascii="Times New Roman" w:hAnsi="Times New Roman" w:cs="Times New Roman"/>
          <w:i/>
          <w:sz w:val="24"/>
          <w:szCs w:val="24"/>
        </w:rPr>
        <w:t>Major</w:t>
      </w:r>
      <w:r w:rsidR="00CA690B">
        <w:rPr>
          <w:rFonts w:ascii="Times New Roman" w:hAnsi="Times New Roman" w:cs="Times New Roman"/>
          <w:sz w:val="24"/>
          <w:szCs w:val="24"/>
        </w:rPr>
        <w:t xml:space="preserve"> </w:t>
      </w:r>
      <w:r w:rsidR="00CA690B" w:rsidRPr="00CA690B">
        <w:rPr>
          <w:rFonts w:ascii="Times New Roman" w:hAnsi="Times New Roman" w:cs="Times New Roman"/>
          <w:i/>
          <w:sz w:val="24"/>
          <w:szCs w:val="24"/>
        </w:rPr>
        <w:t xml:space="preserve">Mhlanga </w:t>
      </w:r>
      <w:r w:rsidR="00CA690B">
        <w:rPr>
          <w:rFonts w:ascii="Times New Roman" w:hAnsi="Times New Roman" w:cs="Times New Roman"/>
          <w:sz w:val="24"/>
          <w:szCs w:val="24"/>
        </w:rPr>
        <w:t xml:space="preserve">v </w:t>
      </w:r>
      <w:r w:rsidR="00CA690B" w:rsidRPr="00CA690B">
        <w:rPr>
          <w:rFonts w:ascii="Times New Roman" w:hAnsi="Times New Roman" w:cs="Times New Roman"/>
          <w:i/>
          <w:sz w:val="24"/>
          <w:szCs w:val="24"/>
        </w:rPr>
        <w:t>The State</w:t>
      </w:r>
      <w:r w:rsidR="00CA690B">
        <w:rPr>
          <w:rFonts w:ascii="Times New Roman" w:hAnsi="Times New Roman" w:cs="Times New Roman"/>
          <w:sz w:val="24"/>
          <w:szCs w:val="24"/>
        </w:rPr>
        <w:t xml:space="preserve">. </w:t>
      </w:r>
      <w:r w:rsidR="00CA690B">
        <w:rPr>
          <w:rStyle w:val="FootnoteReference"/>
          <w:rFonts w:ascii="Times New Roman" w:hAnsi="Times New Roman" w:cs="Times New Roman"/>
          <w:sz w:val="24"/>
          <w:szCs w:val="24"/>
        </w:rPr>
        <w:footnoteReference w:id="4"/>
      </w:r>
      <w:r w:rsidR="00CA690B">
        <w:rPr>
          <w:rFonts w:ascii="Times New Roman" w:hAnsi="Times New Roman" w:cs="Times New Roman"/>
          <w:sz w:val="24"/>
          <w:szCs w:val="24"/>
        </w:rPr>
        <w:t xml:space="preserve"> Appellants prayed for a sentence of a fine once special circumstances are adjudged to have been established to exist. </w:t>
      </w:r>
    </w:p>
    <w:p w:rsidR="00CA690B" w:rsidRDefault="00CA690B" w:rsidP="000E5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CA690B">
        <w:rPr>
          <w:rFonts w:ascii="Times New Roman" w:hAnsi="Times New Roman" w:cs="Times New Roman"/>
          <w:i/>
          <w:sz w:val="24"/>
          <w:szCs w:val="24"/>
        </w:rPr>
        <w:t>T.L Katsiru</w:t>
      </w:r>
      <w:r>
        <w:rPr>
          <w:rFonts w:ascii="Times New Roman" w:hAnsi="Times New Roman" w:cs="Times New Roman"/>
          <w:sz w:val="24"/>
          <w:szCs w:val="24"/>
        </w:rPr>
        <w:t xml:space="preserve"> for the respondent submitted that the court </w:t>
      </w:r>
      <w:r w:rsidRPr="00CA690B">
        <w:rPr>
          <w:rFonts w:ascii="Times New Roman" w:hAnsi="Times New Roman" w:cs="Times New Roman"/>
          <w:i/>
          <w:sz w:val="24"/>
          <w:szCs w:val="24"/>
        </w:rPr>
        <w:t>a quo</w:t>
      </w:r>
      <w:r>
        <w:rPr>
          <w:rFonts w:ascii="Times New Roman" w:hAnsi="Times New Roman" w:cs="Times New Roman"/>
          <w:sz w:val="24"/>
          <w:szCs w:val="24"/>
        </w:rPr>
        <w:t xml:space="preserve"> did not misdirect itself when it convicted the appellants as it canvassed the essential elements to the appellants. She argued that s 368 of the Mines and Minerals Act basically prohibits (i) searching for gold, (ii) without a licence to search for gold and (iii) the act was unlawful. According to the state all these essential elements were put to the appellants by the court </w:t>
      </w:r>
      <w:r w:rsidRPr="00CA690B">
        <w:rPr>
          <w:rFonts w:ascii="Times New Roman" w:hAnsi="Times New Roman" w:cs="Times New Roman"/>
          <w:i/>
          <w:sz w:val="24"/>
          <w:szCs w:val="24"/>
        </w:rPr>
        <w:t>a quo</w:t>
      </w:r>
      <w:r>
        <w:rPr>
          <w:rFonts w:ascii="Times New Roman" w:hAnsi="Times New Roman" w:cs="Times New Roman"/>
          <w:sz w:val="24"/>
          <w:szCs w:val="24"/>
        </w:rPr>
        <w:t xml:space="preserve"> and the court was referred to p 15 of the record. The state further submitted that the factual findings of the lower court </w:t>
      </w:r>
      <w:r w:rsidR="000E53D6">
        <w:rPr>
          <w:rFonts w:ascii="Times New Roman" w:hAnsi="Times New Roman" w:cs="Times New Roman"/>
          <w:sz w:val="24"/>
          <w:szCs w:val="24"/>
        </w:rPr>
        <w:t>cannot</w:t>
      </w:r>
      <w:r>
        <w:rPr>
          <w:rFonts w:ascii="Times New Roman" w:hAnsi="Times New Roman" w:cs="Times New Roman"/>
          <w:sz w:val="24"/>
          <w:szCs w:val="24"/>
        </w:rPr>
        <w:t xml:space="preserve"> easily be reversed by a superior court unless the lower court</w:t>
      </w:r>
      <w:r w:rsidR="00E36F14">
        <w:rPr>
          <w:rFonts w:ascii="Times New Roman" w:hAnsi="Times New Roman" w:cs="Times New Roman"/>
          <w:sz w:val="24"/>
          <w:szCs w:val="24"/>
        </w:rPr>
        <w:t>’</w:t>
      </w:r>
      <w:r>
        <w:rPr>
          <w:rFonts w:ascii="Times New Roman" w:hAnsi="Times New Roman" w:cs="Times New Roman"/>
          <w:sz w:val="24"/>
          <w:szCs w:val="24"/>
        </w:rPr>
        <w:t xml:space="preserve">s findings are so outrageous or irrational that no </w:t>
      </w:r>
      <w:r w:rsidR="00720127">
        <w:rPr>
          <w:rFonts w:ascii="Times New Roman" w:hAnsi="Times New Roman" w:cs="Times New Roman"/>
          <w:sz w:val="24"/>
          <w:szCs w:val="24"/>
        </w:rPr>
        <w:t>tribunal would act upon it. The state referred the court to a plethora of cases.</w:t>
      </w:r>
      <w:r w:rsidR="00720127">
        <w:rPr>
          <w:rStyle w:val="FootnoteReference"/>
          <w:rFonts w:ascii="Times New Roman" w:hAnsi="Times New Roman" w:cs="Times New Roman"/>
          <w:sz w:val="24"/>
          <w:szCs w:val="24"/>
        </w:rPr>
        <w:footnoteReference w:id="5"/>
      </w:r>
    </w:p>
    <w:p w:rsidR="00720127" w:rsidRDefault="00720127" w:rsidP="000E53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concluded its submission on this aspect by submitting that the appellants were explain</w:t>
      </w:r>
      <w:r w:rsidR="00E36F14">
        <w:rPr>
          <w:rFonts w:ascii="Times New Roman" w:hAnsi="Times New Roman" w:cs="Times New Roman"/>
          <w:sz w:val="24"/>
          <w:szCs w:val="24"/>
        </w:rPr>
        <w:t>e</w:t>
      </w:r>
      <w:r>
        <w:rPr>
          <w:rFonts w:ascii="Times New Roman" w:hAnsi="Times New Roman" w:cs="Times New Roman"/>
          <w:sz w:val="24"/>
          <w:szCs w:val="24"/>
        </w:rPr>
        <w:t xml:space="preserve">d the elements of the charge in a language that they coherently understood and answered the questions that were put to them by the court </w:t>
      </w:r>
      <w:r w:rsidRPr="00720127">
        <w:rPr>
          <w:rFonts w:ascii="Times New Roman" w:hAnsi="Times New Roman" w:cs="Times New Roman"/>
          <w:i/>
          <w:sz w:val="24"/>
          <w:szCs w:val="24"/>
        </w:rPr>
        <w:t>a quo</w:t>
      </w:r>
      <w:r>
        <w:rPr>
          <w:rFonts w:ascii="Times New Roman" w:hAnsi="Times New Roman" w:cs="Times New Roman"/>
          <w:sz w:val="24"/>
          <w:szCs w:val="24"/>
        </w:rPr>
        <w:t xml:space="preserve">. The appellants’ pleas were genuine and should be allowed to stand. </w:t>
      </w:r>
    </w:p>
    <w:p w:rsidR="00720127" w:rsidRDefault="00720127" w:rsidP="00B41D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appeal against sentence, the respondent contended that the court </w:t>
      </w:r>
      <w:r w:rsidRPr="00720127">
        <w:rPr>
          <w:rFonts w:ascii="Times New Roman" w:hAnsi="Times New Roman" w:cs="Times New Roman"/>
          <w:i/>
          <w:sz w:val="24"/>
          <w:szCs w:val="24"/>
        </w:rPr>
        <w:t>a quo</w:t>
      </w:r>
      <w:r>
        <w:rPr>
          <w:rFonts w:ascii="Times New Roman" w:hAnsi="Times New Roman" w:cs="Times New Roman"/>
          <w:sz w:val="24"/>
          <w:szCs w:val="24"/>
        </w:rPr>
        <w:t xml:space="preserve"> d</w:t>
      </w:r>
      <w:r w:rsidR="000B75F9">
        <w:rPr>
          <w:rFonts w:ascii="Times New Roman" w:hAnsi="Times New Roman" w:cs="Times New Roman"/>
          <w:sz w:val="24"/>
          <w:szCs w:val="24"/>
        </w:rPr>
        <w:t>id not err rejec</w:t>
      </w:r>
      <w:r w:rsidR="002A18AE">
        <w:rPr>
          <w:rFonts w:ascii="Times New Roman" w:hAnsi="Times New Roman" w:cs="Times New Roman"/>
          <w:sz w:val="24"/>
          <w:szCs w:val="24"/>
        </w:rPr>
        <w:t>ting reasons proffered</w:t>
      </w:r>
      <w:r>
        <w:rPr>
          <w:rFonts w:ascii="Times New Roman" w:hAnsi="Times New Roman" w:cs="Times New Roman"/>
          <w:sz w:val="24"/>
          <w:szCs w:val="24"/>
        </w:rPr>
        <w:t xml:space="preserve"> by both appellants to constitute special circumstances. The state referred the court to the case of </w:t>
      </w:r>
      <w:r w:rsidRPr="00E13239">
        <w:rPr>
          <w:rFonts w:ascii="Times New Roman" w:hAnsi="Times New Roman" w:cs="Times New Roman"/>
          <w:i/>
          <w:sz w:val="24"/>
          <w:szCs w:val="24"/>
        </w:rPr>
        <w:t>State</w:t>
      </w:r>
      <w:r>
        <w:rPr>
          <w:rFonts w:ascii="Times New Roman" w:hAnsi="Times New Roman" w:cs="Times New Roman"/>
          <w:sz w:val="24"/>
          <w:szCs w:val="24"/>
        </w:rPr>
        <w:t xml:space="preserve"> </w:t>
      </w:r>
      <w:r w:rsidRPr="00E13239">
        <w:rPr>
          <w:rFonts w:ascii="Times New Roman" w:hAnsi="Times New Roman" w:cs="Times New Roman"/>
          <w:i/>
          <w:sz w:val="24"/>
          <w:szCs w:val="24"/>
        </w:rPr>
        <w:t>v Rawston</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6"/>
      </w:r>
      <w:r w:rsidR="00E13239">
        <w:rPr>
          <w:rFonts w:ascii="Times New Roman" w:hAnsi="Times New Roman" w:cs="Times New Roman"/>
          <w:sz w:val="24"/>
          <w:szCs w:val="24"/>
        </w:rPr>
        <w:t xml:space="preserve"> where the court held that a distinction must be drawn between those factors which create special reasons and those that are only mitigatory. A special reason is one which is special to the facts which constitute the offence, as opposed to the offender. The state added that the reason that there was Covid 19 lockdown which had drove them to go and prospect do not amount to special reason</w:t>
      </w:r>
      <w:r w:rsidR="001A50AF">
        <w:rPr>
          <w:rFonts w:ascii="Times New Roman" w:hAnsi="Times New Roman" w:cs="Times New Roman"/>
          <w:sz w:val="24"/>
          <w:szCs w:val="24"/>
        </w:rPr>
        <w:t>s</w:t>
      </w:r>
      <w:r w:rsidR="00E13239">
        <w:rPr>
          <w:rFonts w:ascii="Times New Roman" w:hAnsi="Times New Roman" w:cs="Times New Roman"/>
          <w:sz w:val="24"/>
          <w:szCs w:val="24"/>
        </w:rPr>
        <w:t xml:space="preserve">. The respondent </w:t>
      </w:r>
      <w:r w:rsidR="00351BD2">
        <w:rPr>
          <w:rFonts w:ascii="Times New Roman" w:hAnsi="Times New Roman" w:cs="Times New Roman"/>
          <w:sz w:val="24"/>
          <w:szCs w:val="24"/>
        </w:rPr>
        <w:t>further</w:t>
      </w:r>
      <w:r w:rsidR="00E13239">
        <w:rPr>
          <w:rFonts w:ascii="Times New Roman" w:hAnsi="Times New Roman" w:cs="Times New Roman"/>
          <w:sz w:val="24"/>
          <w:szCs w:val="24"/>
        </w:rPr>
        <w:t xml:space="preserve"> submitted that Covid 19 pandemic which resulted in the lockdown virtually affected everyone economically and thus makes it an ordinary reason. The state recited the case of Mutsa Mwayedza (</w:t>
      </w:r>
      <w:r w:rsidR="00E13239" w:rsidRPr="00E13239">
        <w:rPr>
          <w:rFonts w:ascii="Times New Roman" w:hAnsi="Times New Roman" w:cs="Times New Roman"/>
          <w:i/>
          <w:sz w:val="24"/>
          <w:szCs w:val="24"/>
        </w:rPr>
        <w:t>supra</w:t>
      </w:r>
      <w:r w:rsidR="00E13239">
        <w:rPr>
          <w:rFonts w:ascii="Times New Roman" w:hAnsi="Times New Roman" w:cs="Times New Roman"/>
          <w:sz w:val="24"/>
          <w:szCs w:val="24"/>
        </w:rPr>
        <w:t>) to advance its argument on special circumstances. The state submitted that the second ground of appeal against sentence be dismissed.</w:t>
      </w:r>
    </w:p>
    <w:p w:rsidR="000E53D6" w:rsidRDefault="000E53D6" w:rsidP="00E13239">
      <w:pPr>
        <w:spacing w:line="360" w:lineRule="auto"/>
        <w:jc w:val="both"/>
        <w:rPr>
          <w:rFonts w:ascii="Times New Roman" w:hAnsi="Times New Roman" w:cs="Times New Roman"/>
          <w:sz w:val="24"/>
          <w:szCs w:val="24"/>
          <w:u w:val="single"/>
        </w:rPr>
      </w:pPr>
    </w:p>
    <w:p w:rsidR="00E13239" w:rsidRDefault="00E13239" w:rsidP="00E13239">
      <w:pPr>
        <w:spacing w:line="360" w:lineRule="auto"/>
        <w:jc w:val="both"/>
        <w:rPr>
          <w:rFonts w:ascii="Times New Roman" w:hAnsi="Times New Roman" w:cs="Times New Roman"/>
          <w:sz w:val="24"/>
          <w:szCs w:val="24"/>
        </w:rPr>
      </w:pPr>
      <w:r w:rsidRPr="000E53D6">
        <w:rPr>
          <w:rFonts w:ascii="Times New Roman" w:hAnsi="Times New Roman" w:cs="Times New Roman"/>
          <w:sz w:val="24"/>
          <w:szCs w:val="24"/>
          <w:u w:val="single"/>
        </w:rPr>
        <w:t xml:space="preserve">WHETHER THE COURT </w:t>
      </w:r>
      <w:r w:rsidRPr="003A0FF9">
        <w:rPr>
          <w:rFonts w:ascii="Times New Roman" w:hAnsi="Times New Roman" w:cs="Times New Roman"/>
          <w:i/>
          <w:sz w:val="24"/>
          <w:szCs w:val="24"/>
          <w:u w:val="single"/>
        </w:rPr>
        <w:t>A QUO</w:t>
      </w:r>
      <w:r w:rsidRPr="000E53D6">
        <w:rPr>
          <w:rFonts w:ascii="Times New Roman" w:hAnsi="Times New Roman" w:cs="Times New Roman"/>
          <w:sz w:val="24"/>
          <w:szCs w:val="24"/>
          <w:u w:val="single"/>
        </w:rPr>
        <w:t xml:space="preserve"> EXPLAIN</w:t>
      </w:r>
      <w:r w:rsidR="003A0FF9">
        <w:rPr>
          <w:rFonts w:ascii="Times New Roman" w:hAnsi="Times New Roman" w:cs="Times New Roman"/>
          <w:sz w:val="24"/>
          <w:szCs w:val="24"/>
          <w:u w:val="single"/>
        </w:rPr>
        <w:t>ED</w:t>
      </w:r>
      <w:r w:rsidRPr="000E53D6">
        <w:rPr>
          <w:rFonts w:ascii="Times New Roman" w:hAnsi="Times New Roman" w:cs="Times New Roman"/>
          <w:sz w:val="24"/>
          <w:szCs w:val="24"/>
          <w:u w:val="single"/>
        </w:rPr>
        <w:t xml:space="preserve"> THE ESENTIAL ELEMENTS OF THE CHARGE</w:t>
      </w:r>
      <w:r>
        <w:rPr>
          <w:rFonts w:ascii="Times New Roman" w:hAnsi="Times New Roman" w:cs="Times New Roman"/>
          <w:sz w:val="24"/>
          <w:szCs w:val="24"/>
        </w:rPr>
        <w:t>:</w:t>
      </w:r>
    </w:p>
    <w:p w:rsidR="00E13239" w:rsidRDefault="00E13239" w:rsidP="000829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Section 271 (2) of the Criminal Procedure and Evidence Act [Chapter 9:07] provides</w:t>
      </w:r>
      <w:r w:rsidR="00361B2C">
        <w:rPr>
          <w:rFonts w:ascii="Times New Roman" w:hAnsi="Times New Roman" w:cs="Times New Roman"/>
          <w:sz w:val="24"/>
          <w:szCs w:val="24"/>
        </w:rPr>
        <w:t>:</w:t>
      </w:r>
    </w:p>
    <w:p w:rsidR="00E13239" w:rsidRPr="0051045B" w:rsidRDefault="0051045B" w:rsidP="000829F2">
      <w:pPr>
        <w:spacing w:line="240" w:lineRule="auto"/>
        <w:ind w:left="1440"/>
        <w:jc w:val="both"/>
        <w:rPr>
          <w:rFonts w:ascii="Times New Roman" w:hAnsi="Times New Roman" w:cs="Times New Roman"/>
        </w:rPr>
      </w:pPr>
      <w:r w:rsidRPr="0051045B">
        <w:rPr>
          <w:rFonts w:ascii="Times New Roman" w:hAnsi="Times New Roman" w:cs="Times New Roman"/>
        </w:rPr>
        <w:t>“Where</w:t>
      </w:r>
      <w:r w:rsidR="00E13239" w:rsidRPr="0051045B">
        <w:rPr>
          <w:rFonts w:ascii="Times New Roman" w:hAnsi="Times New Roman" w:cs="Times New Roman"/>
        </w:rPr>
        <w:t xml:space="preserve"> a person arraigned before a magistrate court </w:t>
      </w:r>
      <w:r w:rsidR="007D3655" w:rsidRPr="0051045B">
        <w:rPr>
          <w:rFonts w:ascii="Times New Roman" w:hAnsi="Times New Roman" w:cs="Times New Roman"/>
        </w:rPr>
        <w:t>on any charge pleads guilty to the offence charged or to any other offence of which he might be found guilty on the charge and the prosecutor accepts that plea</w:t>
      </w:r>
    </w:p>
    <w:p w:rsidR="007D3655" w:rsidRPr="0051045B" w:rsidRDefault="0051045B" w:rsidP="00863E48">
      <w:pPr>
        <w:spacing w:line="240" w:lineRule="auto"/>
        <w:ind w:left="1440" w:hanging="720"/>
        <w:jc w:val="both"/>
        <w:rPr>
          <w:rFonts w:ascii="Times New Roman" w:hAnsi="Times New Roman" w:cs="Times New Roman"/>
        </w:rPr>
      </w:pPr>
      <w:r w:rsidRPr="0051045B">
        <w:rPr>
          <w:rFonts w:ascii="Times New Roman" w:hAnsi="Times New Roman" w:cs="Times New Roman"/>
        </w:rPr>
        <w:t xml:space="preserve">(b) </w:t>
      </w:r>
      <w:r w:rsidR="00863E48">
        <w:rPr>
          <w:rFonts w:ascii="Times New Roman" w:hAnsi="Times New Roman" w:cs="Times New Roman"/>
        </w:rPr>
        <w:tab/>
      </w:r>
      <w:r w:rsidRPr="0051045B">
        <w:rPr>
          <w:rFonts w:ascii="Times New Roman" w:hAnsi="Times New Roman" w:cs="Times New Roman"/>
        </w:rPr>
        <w:t>t</w:t>
      </w:r>
      <w:r w:rsidR="007D3655" w:rsidRPr="0051045B">
        <w:rPr>
          <w:rFonts w:ascii="Times New Roman" w:hAnsi="Times New Roman" w:cs="Times New Roman"/>
        </w:rPr>
        <w:t>he court shall, if it is of the opinion that the offence merits any punishment referred to in subparagraph (i) or (ii) of paragraph (a) if requested therein by prosecutor –</w:t>
      </w:r>
    </w:p>
    <w:p w:rsidR="007D3655" w:rsidRPr="0051045B" w:rsidRDefault="0051045B" w:rsidP="00863E48">
      <w:pPr>
        <w:spacing w:line="240" w:lineRule="auto"/>
        <w:ind w:left="1440" w:hanging="720"/>
        <w:jc w:val="both"/>
        <w:rPr>
          <w:rFonts w:ascii="Times New Roman" w:hAnsi="Times New Roman" w:cs="Times New Roman"/>
        </w:rPr>
      </w:pPr>
      <w:r w:rsidRPr="0051045B">
        <w:rPr>
          <w:rFonts w:ascii="Times New Roman" w:hAnsi="Times New Roman" w:cs="Times New Roman"/>
        </w:rPr>
        <w:t xml:space="preserve">(a) </w:t>
      </w:r>
      <w:r w:rsidR="00863E48">
        <w:rPr>
          <w:rFonts w:ascii="Times New Roman" w:hAnsi="Times New Roman" w:cs="Times New Roman"/>
        </w:rPr>
        <w:tab/>
      </w:r>
      <w:r w:rsidRPr="0051045B">
        <w:rPr>
          <w:rFonts w:ascii="Times New Roman" w:hAnsi="Times New Roman" w:cs="Times New Roman"/>
        </w:rPr>
        <w:t>e</w:t>
      </w:r>
      <w:r w:rsidR="007D3655" w:rsidRPr="0051045B">
        <w:rPr>
          <w:rFonts w:ascii="Times New Roman" w:hAnsi="Times New Roman" w:cs="Times New Roman"/>
        </w:rPr>
        <w:t>xplain the charge and the essential elements of the offence to the accused and to that end require the prosecutor to state, in so far as the acts or omission on which the charge is based are not apparent from the charge, on what acts or om</w:t>
      </w:r>
      <w:r w:rsidRPr="0051045B">
        <w:rPr>
          <w:rFonts w:ascii="Times New Roman" w:hAnsi="Times New Roman" w:cs="Times New Roman"/>
        </w:rPr>
        <w:t>ission the charge is based and;</w:t>
      </w:r>
    </w:p>
    <w:p w:rsidR="007D3655" w:rsidRPr="0051045B" w:rsidRDefault="0051045B" w:rsidP="00863E48">
      <w:pPr>
        <w:spacing w:line="240" w:lineRule="auto"/>
        <w:ind w:left="1440" w:hanging="720"/>
        <w:jc w:val="both"/>
        <w:rPr>
          <w:rFonts w:ascii="Times New Roman" w:hAnsi="Times New Roman" w:cs="Times New Roman"/>
        </w:rPr>
      </w:pPr>
      <w:r w:rsidRPr="0051045B">
        <w:rPr>
          <w:rFonts w:ascii="Times New Roman" w:hAnsi="Times New Roman" w:cs="Times New Roman"/>
        </w:rPr>
        <w:t xml:space="preserve">(ii) </w:t>
      </w:r>
      <w:r w:rsidR="00863E48">
        <w:rPr>
          <w:rFonts w:ascii="Times New Roman" w:hAnsi="Times New Roman" w:cs="Times New Roman"/>
        </w:rPr>
        <w:tab/>
      </w:r>
      <w:r w:rsidRPr="0051045B">
        <w:rPr>
          <w:rFonts w:ascii="Times New Roman" w:hAnsi="Times New Roman" w:cs="Times New Roman"/>
        </w:rPr>
        <w:t>i</w:t>
      </w:r>
      <w:r w:rsidR="007D3655" w:rsidRPr="0051045B">
        <w:rPr>
          <w:rFonts w:ascii="Times New Roman" w:hAnsi="Times New Roman" w:cs="Times New Roman"/>
        </w:rPr>
        <w:t xml:space="preserve">nquire from the accused whether he understands the charge and the essential elements of the </w:t>
      </w:r>
      <w:r w:rsidRPr="0051045B">
        <w:rPr>
          <w:rFonts w:ascii="Times New Roman" w:hAnsi="Times New Roman" w:cs="Times New Roman"/>
        </w:rPr>
        <w:t>offence and whether his plea of guilty is an admission of the elements of the offence and of the acts or omissions stated or by the prosecutor;</w:t>
      </w:r>
    </w:p>
    <w:p w:rsidR="0051045B" w:rsidRPr="0051045B" w:rsidRDefault="0051045B" w:rsidP="00863E48">
      <w:pPr>
        <w:spacing w:line="240" w:lineRule="auto"/>
        <w:ind w:left="1440"/>
        <w:jc w:val="both"/>
        <w:rPr>
          <w:rFonts w:ascii="Times New Roman" w:hAnsi="Times New Roman" w:cs="Times New Roman"/>
        </w:rPr>
      </w:pPr>
      <w:r w:rsidRPr="0051045B">
        <w:rPr>
          <w:rFonts w:ascii="Times New Roman" w:hAnsi="Times New Roman" w:cs="Times New Roman"/>
        </w:rPr>
        <w:t xml:space="preserve">and may if satisfied that the accused understands the charge and the essential elements of the offence and that he admits the elements of the offence and the acts or omissions on which the charge is based as stated in the charge or by the prosecutor, convict the accused of the offence to which he has </w:t>
      </w:r>
      <w:r w:rsidR="007F78B9" w:rsidRPr="0051045B">
        <w:rPr>
          <w:rFonts w:ascii="Times New Roman" w:hAnsi="Times New Roman" w:cs="Times New Roman"/>
        </w:rPr>
        <w:t>pleaded</w:t>
      </w:r>
      <w:r w:rsidRPr="0051045B">
        <w:rPr>
          <w:rFonts w:ascii="Times New Roman" w:hAnsi="Times New Roman" w:cs="Times New Roman"/>
        </w:rPr>
        <w:t xml:space="preserve"> guilty on his plea of guilty and impose any competent sentence or deal with the accused otherwise in accordance with the law”</w:t>
      </w:r>
    </w:p>
    <w:p w:rsidR="0051045B" w:rsidRDefault="0051045B" w:rsidP="00863E48">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0A77D8">
        <w:rPr>
          <w:rFonts w:ascii="Times New Roman" w:hAnsi="Times New Roman" w:cs="Times New Roman"/>
          <w:i/>
          <w:sz w:val="24"/>
          <w:szCs w:val="24"/>
        </w:rPr>
        <w:t>S</w:t>
      </w:r>
      <w:r w:rsidR="000A77D8" w:rsidRPr="000A77D8">
        <w:rPr>
          <w:rFonts w:ascii="Times New Roman" w:hAnsi="Times New Roman" w:cs="Times New Roman"/>
          <w:i/>
          <w:sz w:val="24"/>
          <w:szCs w:val="24"/>
        </w:rPr>
        <w:t>tate</w:t>
      </w:r>
      <w:r>
        <w:rPr>
          <w:rFonts w:ascii="Times New Roman" w:hAnsi="Times New Roman" w:cs="Times New Roman"/>
          <w:sz w:val="24"/>
          <w:szCs w:val="24"/>
        </w:rPr>
        <w:t xml:space="preserve"> v </w:t>
      </w:r>
      <w:r w:rsidRPr="000A77D8">
        <w:rPr>
          <w:rFonts w:ascii="Times New Roman" w:hAnsi="Times New Roman" w:cs="Times New Roman"/>
          <w:i/>
          <w:sz w:val="24"/>
          <w:szCs w:val="24"/>
        </w:rPr>
        <w:t>Machokoto</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it was held further</w:t>
      </w:r>
      <w:r w:rsidR="00710692">
        <w:rPr>
          <w:rFonts w:ascii="Times New Roman" w:hAnsi="Times New Roman" w:cs="Times New Roman"/>
          <w:sz w:val="24"/>
          <w:szCs w:val="24"/>
        </w:rPr>
        <w:t>:</w:t>
      </w:r>
      <w:r>
        <w:rPr>
          <w:rFonts w:ascii="Times New Roman" w:hAnsi="Times New Roman" w:cs="Times New Roman"/>
          <w:sz w:val="24"/>
          <w:szCs w:val="24"/>
        </w:rPr>
        <w:t xml:space="preserve"> </w:t>
      </w:r>
    </w:p>
    <w:p w:rsidR="001813FB" w:rsidRPr="00D42089" w:rsidRDefault="001813FB" w:rsidP="00863E48">
      <w:pPr>
        <w:spacing w:line="240" w:lineRule="auto"/>
        <w:ind w:left="1440"/>
        <w:jc w:val="both"/>
        <w:rPr>
          <w:rFonts w:ascii="Times New Roman" w:hAnsi="Times New Roman" w:cs="Times New Roman"/>
        </w:rPr>
      </w:pPr>
      <w:r>
        <w:rPr>
          <w:rFonts w:ascii="Times New Roman" w:hAnsi="Times New Roman" w:cs="Times New Roman"/>
          <w:sz w:val="24"/>
          <w:szCs w:val="24"/>
        </w:rPr>
        <w:t>“</w:t>
      </w:r>
      <w:r w:rsidRPr="00D42089">
        <w:rPr>
          <w:rFonts w:ascii="Times New Roman" w:hAnsi="Times New Roman" w:cs="Times New Roman"/>
        </w:rPr>
        <w:t>that the plea of guilty was not properly entered because there was a failure to explain the charge and the essential elements to the accused. The essential elements must be explained in such a way as is calculated to inform the accused, if he is unrepresented of the nature of the charge in sufficient clarity and detail as will suggest to him, in his knowledge of the matter, whether he has a defence to offer. This does not imply that the magistrate should suggest defence to the accused, but it should not be forgotten that, where the accused is unrepresented, the magistrate is the only source of independent assistance towards an understanding of the nature of his predicament. The fact that the accused wishes to plead guilty is not a reason to be cursory in the explanation of the essential elements on the contrary, it is necessary to ensure that the accused has applied his mind to the true import of the charge and is properly aware that anything he may wish to say could not constitute a defence. The question posed to by magistrate should be adapted to the individual circumstances of the case.”</w:t>
      </w:r>
    </w:p>
    <w:p w:rsidR="00863E48" w:rsidRDefault="00863E48" w:rsidP="00710692">
      <w:pPr>
        <w:autoSpaceDE w:val="0"/>
        <w:autoSpaceDN w:val="0"/>
        <w:adjustRightInd w:val="0"/>
        <w:spacing w:after="0" w:line="240" w:lineRule="auto"/>
        <w:ind w:firstLine="720"/>
        <w:jc w:val="both"/>
        <w:rPr>
          <w:rFonts w:ascii="Times New Roman" w:hAnsi="Times New Roman" w:cs="Times New Roman"/>
          <w:sz w:val="24"/>
          <w:szCs w:val="24"/>
        </w:rPr>
      </w:pPr>
    </w:p>
    <w:p w:rsidR="00863E48" w:rsidRDefault="00863E48" w:rsidP="00710692">
      <w:pPr>
        <w:autoSpaceDE w:val="0"/>
        <w:autoSpaceDN w:val="0"/>
        <w:adjustRightInd w:val="0"/>
        <w:spacing w:after="0" w:line="240" w:lineRule="auto"/>
        <w:ind w:firstLine="720"/>
        <w:jc w:val="both"/>
        <w:rPr>
          <w:rFonts w:ascii="Times New Roman" w:hAnsi="Times New Roman" w:cs="Times New Roman"/>
          <w:sz w:val="24"/>
          <w:szCs w:val="24"/>
        </w:rPr>
      </w:pPr>
    </w:p>
    <w:p w:rsidR="00863E48" w:rsidRDefault="00863E48" w:rsidP="00710692">
      <w:pPr>
        <w:autoSpaceDE w:val="0"/>
        <w:autoSpaceDN w:val="0"/>
        <w:adjustRightInd w:val="0"/>
        <w:spacing w:after="0" w:line="240" w:lineRule="auto"/>
        <w:ind w:firstLine="720"/>
        <w:jc w:val="both"/>
        <w:rPr>
          <w:rFonts w:ascii="Times New Roman" w:hAnsi="Times New Roman" w:cs="Times New Roman"/>
          <w:sz w:val="24"/>
          <w:szCs w:val="24"/>
        </w:rPr>
      </w:pPr>
    </w:p>
    <w:p w:rsidR="00863E48" w:rsidRDefault="00863E48" w:rsidP="00710692">
      <w:pPr>
        <w:autoSpaceDE w:val="0"/>
        <w:autoSpaceDN w:val="0"/>
        <w:adjustRightInd w:val="0"/>
        <w:spacing w:after="0" w:line="240" w:lineRule="auto"/>
        <w:ind w:firstLine="720"/>
        <w:jc w:val="both"/>
        <w:rPr>
          <w:rFonts w:ascii="Times New Roman" w:hAnsi="Times New Roman" w:cs="Times New Roman"/>
          <w:sz w:val="24"/>
          <w:szCs w:val="24"/>
        </w:rPr>
      </w:pPr>
    </w:p>
    <w:p w:rsidR="00863E48" w:rsidRDefault="00863E48" w:rsidP="00710692">
      <w:pPr>
        <w:autoSpaceDE w:val="0"/>
        <w:autoSpaceDN w:val="0"/>
        <w:adjustRightInd w:val="0"/>
        <w:spacing w:after="0" w:line="240" w:lineRule="auto"/>
        <w:ind w:firstLine="720"/>
        <w:jc w:val="both"/>
        <w:rPr>
          <w:rFonts w:ascii="Times New Roman" w:hAnsi="Times New Roman" w:cs="Times New Roman"/>
          <w:sz w:val="24"/>
          <w:szCs w:val="24"/>
        </w:rPr>
      </w:pPr>
    </w:p>
    <w:p w:rsidR="00710692" w:rsidRPr="007904F9" w:rsidRDefault="00710692" w:rsidP="00A12A37">
      <w:pPr>
        <w:autoSpaceDE w:val="0"/>
        <w:autoSpaceDN w:val="0"/>
        <w:adjustRightInd w:val="0"/>
        <w:spacing w:after="0" w:line="240" w:lineRule="auto"/>
        <w:ind w:firstLine="720"/>
        <w:jc w:val="both"/>
        <w:rPr>
          <w:rFonts w:ascii="Times New Roman" w:hAnsi="Times New Roman" w:cs="Times New Roman"/>
          <w:sz w:val="24"/>
          <w:szCs w:val="24"/>
        </w:rPr>
      </w:pPr>
      <w:r w:rsidRPr="007904F9">
        <w:rPr>
          <w:rFonts w:ascii="Times New Roman" w:hAnsi="Times New Roman" w:cs="Times New Roman"/>
          <w:sz w:val="24"/>
          <w:szCs w:val="24"/>
        </w:rPr>
        <w:lastRenderedPageBreak/>
        <w:t>Section 368 of the Mines and Minerals Act provides</w:t>
      </w:r>
      <w:r>
        <w:rPr>
          <w:rFonts w:ascii="Times New Roman" w:hAnsi="Times New Roman" w:cs="Times New Roman"/>
          <w:sz w:val="24"/>
          <w:szCs w:val="24"/>
        </w:rPr>
        <w:t>:</w:t>
      </w:r>
    </w:p>
    <w:p w:rsidR="00710692" w:rsidRDefault="00710692" w:rsidP="00710692">
      <w:pPr>
        <w:autoSpaceDE w:val="0"/>
        <w:autoSpaceDN w:val="0"/>
        <w:adjustRightInd w:val="0"/>
        <w:spacing w:after="0" w:line="240" w:lineRule="auto"/>
        <w:ind w:left="1440" w:hanging="720"/>
        <w:jc w:val="both"/>
        <w:rPr>
          <w:rFonts w:ascii="Times New Roman" w:hAnsi="Times New Roman" w:cs="Times New Roman"/>
          <w:szCs w:val="21"/>
        </w:rPr>
      </w:pPr>
    </w:p>
    <w:p w:rsidR="00710692" w:rsidRDefault="00710692" w:rsidP="00710692">
      <w:pPr>
        <w:autoSpaceDE w:val="0"/>
        <w:autoSpaceDN w:val="0"/>
        <w:adjustRightInd w:val="0"/>
        <w:spacing w:after="0" w:line="240" w:lineRule="auto"/>
        <w:ind w:left="1440" w:hanging="720"/>
        <w:jc w:val="both"/>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ab/>
      </w:r>
      <w:r w:rsidRPr="00540F5B">
        <w:rPr>
          <w:rFonts w:ascii="Times New Roman" w:hAnsi="Times New Roman" w:cs="Times New Roman"/>
          <w:szCs w:val="21"/>
        </w:rPr>
        <w:t>Subject to subsections (2) and (3), no person shall prospect or search for any mineral, mineral oil or natural gas except in the exercise of rights granted under a prospecting licence, exclusive prospecting order or special grant or unless he is the duly authorized representative of the holder of such licence, order or special grant and acting in the exercise of such rights.</w:t>
      </w:r>
    </w:p>
    <w:p w:rsidR="00710692" w:rsidRPr="00540F5B" w:rsidRDefault="00710692" w:rsidP="00710692">
      <w:pPr>
        <w:autoSpaceDE w:val="0"/>
        <w:autoSpaceDN w:val="0"/>
        <w:adjustRightInd w:val="0"/>
        <w:spacing w:after="0" w:line="240" w:lineRule="auto"/>
        <w:ind w:left="720"/>
        <w:jc w:val="both"/>
        <w:rPr>
          <w:rFonts w:ascii="Times New Roman" w:hAnsi="Times New Roman" w:cs="Times New Roman"/>
          <w:szCs w:val="21"/>
        </w:rPr>
      </w:pPr>
    </w:p>
    <w:p w:rsidR="00710692" w:rsidRDefault="00710692" w:rsidP="00710692">
      <w:pPr>
        <w:autoSpaceDE w:val="0"/>
        <w:autoSpaceDN w:val="0"/>
        <w:adjustRightInd w:val="0"/>
        <w:spacing w:after="0" w:line="240" w:lineRule="auto"/>
        <w:ind w:left="1440" w:hanging="720"/>
        <w:jc w:val="both"/>
        <w:rPr>
          <w:rFonts w:ascii="Times New Roman" w:hAnsi="Times New Roman" w:cs="Times New Roman"/>
          <w:szCs w:val="21"/>
        </w:rPr>
      </w:pPr>
      <w:r w:rsidRPr="00540F5B">
        <w:rPr>
          <w:rFonts w:ascii="Times New Roman" w:hAnsi="Times New Roman" w:cs="Times New Roman"/>
          <w:szCs w:val="21"/>
        </w:rPr>
        <w:t xml:space="preserve">(2) </w:t>
      </w:r>
      <w:r>
        <w:rPr>
          <w:rFonts w:ascii="Times New Roman" w:hAnsi="Times New Roman" w:cs="Times New Roman"/>
          <w:szCs w:val="21"/>
        </w:rPr>
        <w:tab/>
      </w:r>
      <w:r w:rsidRPr="00540F5B">
        <w:rPr>
          <w:rFonts w:ascii="Times New Roman" w:hAnsi="Times New Roman" w:cs="Times New Roman"/>
          <w:szCs w:val="21"/>
        </w:rPr>
        <w:t>No person shall prospect or search for any mineral, mineral oil or natural gas unless he is an approved</w:t>
      </w:r>
      <w:r>
        <w:rPr>
          <w:rFonts w:ascii="Times New Roman" w:hAnsi="Times New Roman" w:cs="Times New Roman"/>
          <w:szCs w:val="21"/>
        </w:rPr>
        <w:t xml:space="preserve"> </w:t>
      </w:r>
      <w:r w:rsidRPr="00540F5B">
        <w:rPr>
          <w:rFonts w:ascii="Times New Roman" w:hAnsi="Times New Roman" w:cs="Times New Roman"/>
          <w:szCs w:val="21"/>
        </w:rPr>
        <w:t>prospector.</w:t>
      </w:r>
    </w:p>
    <w:p w:rsidR="00710692" w:rsidRPr="00540F5B" w:rsidRDefault="00710692" w:rsidP="00710692">
      <w:pPr>
        <w:autoSpaceDE w:val="0"/>
        <w:autoSpaceDN w:val="0"/>
        <w:adjustRightInd w:val="0"/>
        <w:spacing w:after="0" w:line="240" w:lineRule="auto"/>
        <w:ind w:left="720"/>
        <w:jc w:val="both"/>
        <w:rPr>
          <w:rFonts w:ascii="Times New Roman" w:hAnsi="Times New Roman" w:cs="Times New Roman"/>
          <w:szCs w:val="21"/>
        </w:rPr>
      </w:pPr>
    </w:p>
    <w:p w:rsidR="00710692" w:rsidRPr="00540F5B" w:rsidRDefault="00710692" w:rsidP="00710692">
      <w:pPr>
        <w:autoSpaceDE w:val="0"/>
        <w:autoSpaceDN w:val="0"/>
        <w:adjustRightInd w:val="0"/>
        <w:spacing w:after="0" w:line="240" w:lineRule="auto"/>
        <w:ind w:left="1440" w:hanging="720"/>
        <w:jc w:val="both"/>
        <w:rPr>
          <w:rFonts w:ascii="Times New Roman" w:hAnsi="Times New Roman" w:cs="Times New Roman"/>
          <w:szCs w:val="21"/>
        </w:rPr>
      </w:pPr>
      <w:r w:rsidRPr="00540F5B">
        <w:rPr>
          <w:rFonts w:ascii="Times New Roman" w:hAnsi="Times New Roman" w:cs="Times New Roman"/>
          <w:szCs w:val="21"/>
        </w:rPr>
        <w:t>(3)</w:t>
      </w:r>
      <w:r>
        <w:rPr>
          <w:rFonts w:ascii="Times New Roman" w:hAnsi="Times New Roman" w:cs="Times New Roman"/>
          <w:szCs w:val="21"/>
        </w:rPr>
        <w:tab/>
      </w:r>
      <w:r w:rsidRPr="00540F5B">
        <w:rPr>
          <w:rFonts w:ascii="Times New Roman" w:hAnsi="Times New Roman" w:cs="Times New Roman"/>
          <w:szCs w:val="21"/>
        </w:rPr>
        <w:t>No approved prospector registered for Communal Land only in terms of subparagraph (i) of paragraph</w:t>
      </w:r>
      <w:r>
        <w:rPr>
          <w:rFonts w:ascii="Times New Roman" w:hAnsi="Times New Roman" w:cs="Times New Roman"/>
          <w:szCs w:val="21"/>
        </w:rPr>
        <w:t xml:space="preserve"> </w:t>
      </w:r>
      <w:r w:rsidRPr="00540F5B">
        <w:rPr>
          <w:rFonts w:ascii="Times New Roman" w:hAnsi="Times New Roman" w:cs="Times New Roman"/>
          <w:szCs w:val="21"/>
        </w:rPr>
        <w:t>(</w:t>
      </w:r>
      <w:r w:rsidRPr="00540F5B">
        <w:rPr>
          <w:rFonts w:ascii="Times New Roman" w:hAnsi="Times New Roman" w:cs="Times New Roman"/>
          <w:i/>
          <w:iCs/>
          <w:szCs w:val="21"/>
        </w:rPr>
        <w:t>a</w:t>
      </w:r>
      <w:r w:rsidRPr="00540F5B">
        <w:rPr>
          <w:rFonts w:ascii="Times New Roman" w:hAnsi="Times New Roman" w:cs="Times New Roman"/>
          <w:szCs w:val="21"/>
        </w:rPr>
        <w:t xml:space="preserve">) of subsection (3) of section </w:t>
      </w:r>
      <w:r w:rsidRPr="00AF1663">
        <w:rPr>
          <w:rFonts w:ascii="Times New Roman" w:hAnsi="Times New Roman" w:cs="Times New Roman"/>
          <w:iCs/>
          <w:szCs w:val="21"/>
        </w:rPr>
        <w:t>fifteen</w:t>
      </w:r>
      <w:r w:rsidRPr="00540F5B">
        <w:rPr>
          <w:rFonts w:ascii="Times New Roman" w:hAnsi="Times New Roman" w:cs="Times New Roman"/>
          <w:i/>
          <w:iCs/>
          <w:szCs w:val="21"/>
        </w:rPr>
        <w:t xml:space="preserve"> </w:t>
      </w:r>
      <w:r w:rsidRPr="00540F5B">
        <w:rPr>
          <w:rFonts w:ascii="Times New Roman" w:hAnsi="Times New Roman" w:cs="Times New Roman"/>
          <w:szCs w:val="21"/>
        </w:rPr>
        <w:t>shall prospect or search for any mineral, mineral oil or natural gas elsewhere</w:t>
      </w:r>
      <w:r>
        <w:rPr>
          <w:rFonts w:ascii="Times New Roman" w:hAnsi="Times New Roman" w:cs="Times New Roman"/>
          <w:szCs w:val="21"/>
        </w:rPr>
        <w:t xml:space="preserve"> </w:t>
      </w:r>
      <w:r w:rsidRPr="00540F5B">
        <w:rPr>
          <w:rFonts w:ascii="Times New Roman" w:hAnsi="Times New Roman" w:cs="Times New Roman"/>
          <w:szCs w:val="21"/>
        </w:rPr>
        <w:t>than in Communal Land.</w:t>
      </w:r>
    </w:p>
    <w:p w:rsidR="00710692" w:rsidRPr="00540F5B" w:rsidRDefault="00710692" w:rsidP="00710692">
      <w:pPr>
        <w:autoSpaceDE w:val="0"/>
        <w:autoSpaceDN w:val="0"/>
        <w:adjustRightInd w:val="0"/>
        <w:spacing w:after="0" w:line="240" w:lineRule="auto"/>
        <w:ind w:left="1440" w:hanging="720"/>
        <w:jc w:val="both"/>
        <w:rPr>
          <w:rFonts w:ascii="Times New Roman" w:hAnsi="Times New Roman" w:cs="Times New Roman"/>
          <w:szCs w:val="21"/>
        </w:rPr>
      </w:pPr>
      <w:r w:rsidRPr="00540F5B">
        <w:rPr>
          <w:rFonts w:ascii="Times New Roman" w:hAnsi="Times New Roman" w:cs="Times New Roman"/>
          <w:szCs w:val="21"/>
        </w:rPr>
        <w:t>(4)</w:t>
      </w:r>
      <w:r>
        <w:rPr>
          <w:rFonts w:ascii="Times New Roman" w:hAnsi="Times New Roman" w:cs="Times New Roman"/>
          <w:szCs w:val="21"/>
        </w:rPr>
        <w:tab/>
      </w:r>
      <w:r w:rsidRPr="00540F5B">
        <w:rPr>
          <w:rFonts w:ascii="Times New Roman" w:hAnsi="Times New Roman" w:cs="Times New Roman"/>
          <w:szCs w:val="21"/>
        </w:rPr>
        <w:t>Any person who contravenes subsection (1), (2) or (3) shall be guilty of an offence and liable—</w:t>
      </w:r>
    </w:p>
    <w:p w:rsidR="00710692" w:rsidRPr="00540F5B" w:rsidRDefault="00710692" w:rsidP="00710692">
      <w:pPr>
        <w:autoSpaceDE w:val="0"/>
        <w:autoSpaceDN w:val="0"/>
        <w:adjustRightInd w:val="0"/>
        <w:spacing w:after="0" w:line="240" w:lineRule="auto"/>
        <w:ind w:left="2160" w:hanging="720"/>
        <w:jc w:val="both"/>
        <w:rPr>
          <w:rFonts w:ascii="Times New Roman" w:hAnsi="Times New Roman" w:cs="Times New Roman"/>
          <w:szCs w:val="21"/>
        </w:rPr>
      </w:pPr>
      <w:r w:rsidRPr="00540F5B">
        <w:rPr>
          <w:rFonts w:ascii="Times New Roman" w:hAnsi="Times New Roman" w:cs="Times New Roman"/>
          <w:szCs w:val="21"/>
        </w:rPr>
        <w:t>(</w:t>
      </w:r>
      <w:r w:rsidRPr="00540F5B">
        <w:rPr>
          <w:rFonts w:ascii="Times New Roman" w:hAnsi="Times New Roman" w:cs="Times New Roman"/>
          <w:i/>
          <w:iCs/>
          <w:szCs w:val="21"/>
        </w:rPr>
        <w:t>a</w:t>
      </w:r>
      <w:r w:rsidRPr="00540F5B">
        <w:rPr>
          <w:rFonts w:ascii="Times New Roman" w:hAnsi="Times New Roman" w:cs="Times New Roman"/>
          <w:szCs w:val="21"/>
        </w:rPr>
        <w:t>)</w:t>
      </w:r>
      <w:r>
        <w:rPr>
          <w:rFonts w:ascii="Times New Roman" w:hAnsi="Times New Roman" w:cs="Times New Roman"/>
          <w:szCs w:val="21"/>
        </w:rPr>
        <w:tab/>
      </w:r>
      <w:r w:rsidRPr="00540F5B">
        <w:rPr>
          <w:rFonts w:ascii="Times New Roman" w:hAnsi="Times New Roman" w:cs="Times New Roman"/>
          <w:szCs w:val="21"/>
        </w:rPr>
        <w:t>if there are no special circumstances in the particular case, to imprisonment for a period of not less</w:t>
      </w:r>
      <w:r>
        <w:rPr>
          <w:rFonts w:ascii="Times New Roman" w:hAnsi="Times New Roman" w:cs="Times New Roman"/>
          <w:szCs w:val="21"/>
        </w:rPr>
        <w:t xml:space="preserve"> </w:t>
      </w:r>
      <w:r w:rsidRPr="00540F5B">
        <w:rPr>
          <w:rFonts w:ascii="Times New Roman" w:hAnsi="Times New Roman" w:cs="Times New Roman"/>
          <w:szCs w:val="21"/>
        </w:rPr>
        <w:t>than two years; or</w:t>
      </w:r>
    </w:p>
    <w:p w:rsidR="00710692" w:rsidRDefault="00710692" w:rsidP="00710692">
      <w:pPr>
        <w:autoSpaceDE w:val="0"/>
        <w:autoSpaceDN w:val="0"/>
        <w:adjustRightInd w:val="0"/>
        <w:spacing w:after="0" w:line="240" w:lineRule="auto"/>
        <w:ind w:left="2160" w:hanging="720"/>
        <w:jc w:val="both"/>
        <w:rPr>
          <w:rFonts w:ascii="Times New Roman" w:hAnsi="Times New Roman" w:cs="Times New Roman"/>
          <w:szCs w:val="21"/>
        </w:rPr>
      </w:pPr>
      <w:r w:rsidRPr="00540F5B">
        <w:rPr>
          <w:rFonts w:ascii="Times New Roman" w:hAnsi="Times New Roman" w:cs="Times New Roman"/>
          <w:szCs w:val="21"/>
        </w:rPr>
        <w:t>(</w:t>
      </w:r>
      <w:r w:rsidRPr="00540F5B">
        <w:rPr>
          <w:rFonts w:ascii="Times New Roman" w:hAnsi="Times New Roman" w:cs="Times New Roman"/>
          <w:i/>
          <w:iCs/>
          <w:szCs w:val="21"/>
        </w:rPr>
        <w:t>b</w:t>
      </w:r>
      <w:r w:rsidRPr="00540F5B">
        <w:rPr>
          <w:rFonts w:ascii="Times New Roman" w:hAnsi="Times New Roman" w:cs="Times New Roman"/>
          <w:szCs w:val="21"/>
        </w:rPr>
        <w:t xml:space="preserve">) </w:t>
      </w:r>
      <w:r>
        <w:rPr>
          <w:rFonts w:ascii="Times New Roman" w:hAnsi="Times New Roman" w:cs="Times New Roman"/>
          <w:szCs w:val="21"/>
        </w:rPr>
        <w:tab/>
      </w:r>
      <w:r w:rsidRPr="00540F5B">
        <w:rPr>
          <w:rFonts w:ascii="Times New Roman" w:hAnsi="Times New Roman" w:cs="Times New Roman"/>
          <w:szCs w:val="21"/>
        </w:rPr>
        <w:t>if the person convicted of the offence satisfies the court that there are special circumstances in the</w:t>
      </w:r>
      <w:r>
        <w:rPr>
          <w:rFonts w:ascii="Times New Roman" w:hAnsi="Times New Roman" w:cs="Times New Roman"/>
          <w:szCs w:val="21"/>
        </w:rPr>
        <w:t xml:space="preserve"> </w:t>
      </w:r>
      <w:r w:rsidRPr="00540F5B">
        <w:rPr>
          <w:rFonts w:ascii="Times New Roman" w:hAnsi="Times New Roman" w:cs="Times New Roman"/>
          <w:szCs w:val="21"/>
        </w:rPr>
        <w:t>particular case why the penalty provided under paragraph (</w:t>
      </w:r>
      <w:r w:rsidRPr="00540F5B">
        <w:rPr>
          <w:rFonts w:ascii="Times New Roman" w:hAnsi="Times New Roman" w:cs="Times New Roman"/>
          <w:i/>
          <w:iCs/>
          <w:szCs w:val="21"/>
        </w:rPr>
        <w:t>a</w:t>
      </w:r>
      <w:r w:rsidRPr="00540F5B">
        <w:rPr>
          <w:rFonts w:ascii="Times New Roman" w:hAnsi="Times New Roman" w:cs="Times New Roman"/>
          <w:szCs w:val="21"/>
        </w:rPr>
        <w:t>) should not be imposed, which circumstances</w:t>
      </w:r>
      <w:r>
        <w:rPr>
          <w:rFonts w:ascii="Times New Roman" w:hAnsi="Times New Roman" w:cs="Times New Roman"/>
          <w:szCs w:val="21"/>
        </w:rPr>
        <w:t xml:space="preserve"> </w:t>
      </w:r>
      <w:r w:rsidRPr="00540F5B">
        <w:rPr>
          <w:rFonts w:ascii="Times New Roman" w:hAnsi="Times New Roman" w:cs="Times New Roman"/>
          <w:szCs w:val="21"/>
        </w:rPr>
        <w:t>shall be recorded by the court, to imprisonment for a period not exceeding two years or a fine</w:t>
      </w:r>
      <w:r>
        <w:rPr>
          <w:rFonts w:ascii="Times New Roman" w:hAnsi="Times New Roman" w:cs="Times New Roman"/>
          <w:szCs w:val="21"/>
        </w:rPr>
        <w:t xml:space="preserve"> </w:t>
      </w:r>
      <w:r w:rsidRPr="00540F5B">
        <w:rPr>
          <w:rFonts w:ascii="Times New Roman" w:hAnsi="Times New Roman" w:cs="Times New Roman"/>
          <w:szCs w:val="21"/>
        </w:rPr>
        <w:t>not exceeding level ten.</w:t>
      </w:r>
      <w:r>
        <w:rPr>
          <w:rFonts w:ascii="Times New Roman" w:hAnsi="Times New Roman" w:cs="Times New Roman"/>
          <w:szCs w:val="21"/>
        </w:rPr>
        <w:t>”</w:t>
      </w:r>
    </w:p>
    <w:p w:rsidR="00710692" w:rsidRPr="00F52D17"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sidRPr="00F52D17">
        <w:rPr>
          <w:rFonts w:ascii="Times New Roman" w:hAnsi="Times New Roman" w:cs="Times New Roman"/>
          <w:sz w:val="24"/>
          <w:szCs w:val="21"/>
        </w:rPr>
        <w:tab/>
        <w:t xml:space="preserve">The gravamen of the offence under s 368 of the Mines and Minerals Act is the unlawful searching for gold without a licence nor a permit nor the authority of a licence or permit holder. The record of proceedings on p 15 of the record clearly shows that the charge for contravening s 368 of the Act was put to the appellants in a language they clearly perceived and they understood that charge and admitted it. Having satisfied itself that both have understood the pith of the charge and pleaded guilty the next step was to have the facts read to the appellant </w:t>
      </w:r>
      <w:r>
        <w:rPr>
          <w:rFonts w:ascii="Times New Roman" w:hAnsi="Times New Roman" w:cs="Times New Roman"/>
          <w:sz w:val="24"/>
          <w:szCs w:val="21"/>
        </w:rPr>
        <w:t>in</w:t>
      </w:r>
      <w:r w:rsidRPr="00F52D17">
        <w:rPr>
          <w:rFonts w:ascii="Times New Roman" w:hAnsi="Times New Roman" w:cs="Times New Roman"/>
          <w:sz w:val="24"/>
          <w:szCs w:val="21"/>
        </w:rPr>
        <w:t xml:space="preserve"> the language they were familiar</w:t>
      </w:r>
      <w:r>
        <w:rPr>
          <w:rFonts w:ascii="Times New Roman" w:hAnsi="Times New Roman" w:cs="Times New Roman"/>
          <w:sz w:val="24"/>
          <w:szCs w:val="21"/>
        </w:rPr>
        <w:t xml:space="preserve"> with. The record shows that both appellants indicated to the court </w:t>
      </w:r>
      <w:r>
        <w:rPr>
          <w:rFonts w:ascii="Times New Roman" w:hAnsi="Times New Roman" w:cs="Times New Roman"/>
          <w:i/>
          <w:sz w:val="24"/>
          <w:szCs w:val="21"/>
        </w:rPr>
        <w:t>a quo</w:t>
      </w:r>
      <w:r>
        <w:rPr>
          <w:rFonts w:ascii="Times New Roman" w:hAnsi="Times New Roman" w:cs="Times New Roman"/>
          <w:sz w:val="24"/>
          <w:szCs w:val="21"/>
        </w:rPr>
        <w:t xml:space="preserve"> that they have understood th</w:t>
      </w:r>
      <w:r w:rsidR="00213EF6">
        <w:rPr>
          <w:rFonts w:ascii="Times New Roman" w:hAnsi="Times New Roman" w:cs="Times New Roman"/>
          <w:sz w:val="24"/>
          <w:szCs w:val="21"/>
        </w:rPr>
        <w:t>e underlying facts and admitte</w:t>
      </w:r>
      <w:r>
        <w:rPr>
          <w:rFonts w:ascii="Times New Roman" w:hAnsi="Times New Roman" w:cs="Times New Roman"/>
          <w:sz w:val="24"/>
          <w:szCs w:val="21"/>
        </w:rPr>
        <w:t xml:space="preserve">d them. The court below following the principles and approach specified proceeded to explain the essential elements of the charge to the appellants and looking at the nature of questions put to each appellant the essential elements of contravening s 368 of the Act were </w:t>
      </w:r>
      <w:r w:rsidR="00D9597A">
        <w:rPr>
          <w:rFonts w:ascii="Times New Roman" w:hAnsi="Times New Roman" w:cs="Times New Roman"/>
          <w:sz w:val="24"/>
          <w:szCs w:val="21"/>
        </w:rPr>
        <w:t>comprehensively</w:t>
      </w:r>
      <w:r>
        <w:rPr>
          <w:rFonts w:ascii="Times New Roman" w:hAnsi="Times New Roman" w:cs="Times New Roman"/>
          <w:sz w:val="24"/>
          <w:szCs w:val="21"/>
        </w:rPr>
        <w:t xml:space="preserve"> and exhaustively encapsulated as already covered herein under the background of this matter. The explanation of the essential elements was done in compliance with s 271 (2) (b) of the Criminal Procedure and Evidence Act as well as in the court </w:t>
      </w:r>
      <w:r>
        <w:rPr>
          <w:rFonts w:ascii="Times New Roman" w:hAnsi="Times New Roman" w:cs="Times New Roman"/>
          <w:i/>
          <w:sz w:val="24"/>
          <w:szCs w:val="21"/>
        </w:rPr>
        <w:t>a quo</w:t>
      </w:r>
      <w:r>
        <w:rPr>
          <w:rFonts w:ascii="Times New Roman" w:hAnsi="Times New Roman" w:cs="Times New Roman"/>
          <w:sz w:val="24"/>
          <w:szCs w:val="21"/>
        </w:rPr>
        <w:t xml:space="preserve"> ably assisting the unrepresented accused. I am more satisfied on this finding when I examine the submissions by both appellants whilst addressing the court </w:t>
      </w:r>
      <w:r>
        <w:rPr>
          <w:rFonts w:ascii="Times New Roman" w:hAnsi="Times New Roman" w:cs="Times New Roman"/>
          <w:i/>
          <w:sz w:val="24"/>
          <w:szCs w:val="21"/>
        </w:rPr>
        <w:t>a quo</w:t>
      </w:r>
      <w:r>
        <w:rPr>
          <w:rFonts w:ascii="Times New Roman" w:hAnsi="Times New Roman" w:cs="Times New Roman"/>
          <w:sz w:val="24"/>
          <w:szCs w:val="21"/>
        </w:rPr>
        <w:t xml:space="preserve"> on special circumstances. If there was any doubt whether the two appellants had understood the nature of the charge the two were facing, their address on special </w:t>
      </w:r>
      <w:r>
        <w:rPr>
          <w:rFonts w:ascii="Times New Roman" w:hAnsi="Times New Roman" w:cs="Times New Roman"/>
          <w:sz w:val="24"/>
          <w:szCs w:val="21"/>
        </w:rPr>
        <w:lastRenderedPageBreak/>
        <w:t xml:space="preserve">circumstances clearly reflects that they were fully aware that they had embarked on prospecting or searching for gold without a licence and that their conduct was unlawful, but because of pressure at home they had no choice. I am satisfied that the pleas of guilty by the appellants was genuinely tendered to the court and all essential elements were exhaustively covered by the court </w:t>
      </w:r>
      <w:r>
        <w:rPr>
          <w:rFonts w:ascii="Times New Roman" w:hAnsi="Times New Roman" w:cs="Times New Roman"/>
          <w:i/>
          <w:sz w:val="24"/>
          <w:szCs w:val="21"/>
        </w:rPr>
        <w:t>a quo</w:t>
      </w:r>
      <w:r>
        <w:rPr>
          <w:rFonts w:ascii="Times New Roman" w:hAnsi="Times New Roman" w:cs="Times New Roman"/>
          <w:sz w:val="24"/>
          <w:szCs w:val="21"/>
        </w:rPr>
        <w:t xml:space="preserve">. I agree with the state that there is no basis to interfere with the conviction of the appellants by the court </w:t>
      </w:r>
      <w:r>
        <w:rPr>
          <w:rFonts w:ascii="Times New Roman" w:hAnsi="Times New Roman" w:cs="Times New Roman"/>
          <w:i/>
          <w:sz w:val="24"/>
          <w:szCs w:val="21"/>
        </w:rPr>
        <w:t>a quo</w:t>
      </w:r>
      <w:r>
        <w:rPr>
          <w:rFonts w:ascii="Times New Roman" w:hAnsi="Times New Roman" w:cs="Times New Roman"/>
          <w:sz w:val="24"/>
          <w:szCs w:val="21"/>
        </w:rPr>
        <w:t>. The appeal against conviction has no merit, it is therefore dismissed.</w:t>
      </w: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u w:val="single"/>
        </w:rPr>
      </w:pPr>
      <w:r>
        <w:rPr>
          <w:rFonts w:ascii="Times New Roman" w:hAnsi="Times New Roman" w:cs="Times New Roman"/>
          <w:sz w:val="24"/>
          <w:szCs w:val="21"/>
          <w:u w:val="single"/>
        </w:rPr>
        <w:t>WHETHER THERE</w:t>
      </w:r>
      <w:r w:rsidR="00C57CB6">
        <w:rPr>
          <w:rFonts w:ascii="Times New Roman" w:hAnsi="Times New Roman" w:cs="Times New Roman"/>
          <w:sz w:val="24"/>
          <w:szCs w:val="21"/>
          <w:u w:val="single"/>
        </w:rPr>
        <w:t xml:space="preserve"> </w:t>
      </w:r>
      <w:r>
        <w:rPr>
          <w:rFonts w:ascii="Times New Roman" w:hAnsi="Times New Roman" w:cs="Times New Roman"/>
          <w:sz w:val="24"/>
          <w:szCs w:val="21"/>
          <w:u w:val="single"/>
        </w:rPr>
        <w:t>WERE SPECIAL CIRCUMSTANCES IN THIS MATTER</w:t>
      </w:r>
    </w:p>
    <w:p w:rsidR="00710692" w:rsidRDefault="00710692" w:rsidP="0091674C">
      <w:pPr>
        <w:autoSpaceDE w:val="0"/>
        <w:autoSpaceDN w:val="0"/>
        <w:adjustRightInd w:val="0"/>
        <w:spacing w:after="0" w:line="360" w:lineRule="auto"/>
        <w:ind w:firstLine="720"/>
        <w:jc w:val="both"/>
        <w:rPr>
          <w:rFonts w:ascii="Times New Roman" w:hAnsi="Times New Roman" w:cs="Times New Roman"/>
          <w:sz w:val="24"/>
          <w:szCs w:val="21"/>
        </w:rPr>
      </w:pPr>
      <w:r>
        <w:rPr>
          <w:rFonts w:ascii="Times New Roman" w:hAnsi="Times New Roman" w:cs="Times New Roman"/>
          <w:sz w:val="24"/>
          <w:szCs w:val="21"/>
        </w:rPr>
        <w:t xml:space="preserve">In the matter of </w:t>
      </w:r>
      <w:r w:rsidR="003A0499">
        <w:rPr>
          <w:rFonts w:ascii="Times New Roman" w:hAnsi="Times New Roman" w:cs="Times New Roman"/>
          <w:i/>
          <w:sz w:val="24"/>
          <w:szCs w:val="21"/>
        </w:rPr>
        <w:t>S v Chisii</w:t>
      </w:r>
      <w:r>
        <w:rPr>
          <w:rFonts w:ascii="Times New Roman" w:hAnsi="Times New Roman" w:cs="Times New Roman"/>
          <w:i/>
          <w:sz w:val="24"/>
          <w:szCs w:val="21"/>
        </w:rPr>
        <w:t>wa</w:t>
      </w:r>
      <w:r>
        <w:rPr>
          <w:rStyle w:val="FootnoteReference"/>
          <w:rFonts w:ascii="Times New Roman" w:hAnsi="Times New Roman" w:cs="Times New Roman"/>
          <w:i/>
          <w:sz w:val="24"/>
          <w:szCs w:val="21"/>
        </w:rPr>
        <w:footnoteReference w:id="8"/>
      </w:r>
      <w:r>
        <w:rPr>
          <w:rFonts w:ascii="Times New Roman" w:hAnsi="Times New Roman" w:cs="Times New Roman"/>
          <w:sz w:val="24"/>
          <w:szCs w:val="21"/>
        </w:rPr>
        <w:t xml:space="preserve"> this court held that:</w:t>
      </w:r>
    </w:p>
    <w:p w:rsidR="00710692" w:rsidRDefault="00710692" w:rsidP="00710692">
      <w:pPr>
        <w:autoSpaceDE w:val="0"/>
        <w:autoSpaceDN w:val="0"/>
        <w:adjustRightInd w:val="0"/>
        <w:spacing w:after="0" w:line="240" w:lineRule="auto"/>
        <w:ind w:left="720"/>
        <w:jc w:val="both"/>
        <w:rPr>
          <w:rFonts w:ascii="Times New Roman" w:hAnsi="Times New Roman" w:cs="Times New Roman"/>
          <w:szCs w:val="21"/>
        </w:rPr>
      </w:pPr>
      <w:r w:rsidRPr="006012EF">
        <w:rPr>
          <w:rFonts w:ascii="Times New Roman" w:hAnsi="Times New Roman" w:cs="Times New Roman"/>
          <w:szCs w:val="21"/>
        </w:rPr>
        <w:t xml:space="preserve">“… the </w:t>
      </w:r>
      <w:r>
        <w:rPr>
          <w:rFonts w:ascii="Times New Roman" w:hAnsi="Times New Roman" w:cs="Times New Roman"/>
          <w:szCs w:val="21"/>
        </w:rPr>
        <w:t xml:space="preserve">court may have regard to factors arising either out of the circumstances of the offence or peculiar to the offender as long as they are out of the ordinary. This will involve the making of a value judgment since the question whether such reasons exist will often be a matter of degree. And furthermore, by use of the plural “reasons”, it should be borne in mind that the legislature clearly allowed for the cumulative effect of a number of reasons to be taken into account by the court in arriving at its decision.” </w:t>
      </w:r>
      <w:r>
        <w:rPr>
          <w:rStyle w:val="FootnoteReference"/>
          <w:rFonts w:ascii="Times New Roman" w:hAnsi="Times New Roman" w:cs="Times New Roman"/>
          <w:szCs w:val="21"/>
        </w:rPr>
        <w:footnoteReference w:id="9"/>
      </w:r>
    </w:p>
    <w:p w:rsidR="00710692" w:rsidRDefault="00710692" w:rsidP="00710692">
      <w:pPr>
        <w:autoSpaceDE w:val="0"/>
        <w:autoSpaceDN w:val="0"/>
        <w:adjustRightInd w:val="0"/>
        <w:spacing w:after="0" w:line="240" w:lineRule="auto"/>
        <w:ind w:left="720"/>
        <w:jc w:val="both"/>
        <w:rPr>
          <w:rFonts w:ascii="Times New Roman" w:hAnsi="Times New Roman" w:cs="Times New Roman"/>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It has been judiciously recognised that there is no difference in substance between the words “reasons” and “circumstances”. In </w:t>
      </w:r>
      <w:r w:rsidR="0091674C">
        <w:rPr>
          <w:rFonts w:ascii="Times New Roman" w:hAnsi="Times New Roman" w:cs="Times New Roman"/>
          <w:i/>
          <w:sz w:val="24"/>
          <w:szCs w:val="21"/>
        </w:rPr>
        <w:t>Whit</w:t>
      </w:r>
      <w:r>
        <w:rPr>
          <w:rFonts w:ascii="Times New Roman" w:hAnsi="Times New Roman" w:cs="Times New Roman"/>
          <w:i/>
          <w:sz w:val="24"/>
          <w:szCs w:val="21"/>
        </w:rPr>
        <w:t>tal v Kirby</w:t>
      </w:r>
      <w:r>
        <w:rPr>
          <w:rStyle w:val="FootnoteReference"/>
          <w:rFonts w:ascii="Times New Roman" w:hAnsi="Times New Roman" w:cs="Times New Roman"/>
          <w:i/>
          <w:sz w:val="24"/>
          <w:szCs w:val="21"/>
        </w:rPr>
        <w:footnoteReference w:id="10"/>
      </w:r>
      <w:r>
        <w:rPr>
          <w:rFonts w:ascii="Times New Roman" w:hAnsi="Times New Roman" w:cs="Times New Roman"/>
          <w:sz w:val="24"/>
          <w:szCs w:val="21"/>
        </w:rPr>
        <w:t xml:space="preserve"> it was held that: </w:t>
      </w:r>
    </w:p>
    <w:p w:rsidR="00710692" w:rsidRDefault="00710692" w:rsidP="00710692">
      <w:pPr>
        <w:autoSpaceDE w:val="0"/>
        <w:autoSpaceDN w:val="0"/>
        <w:adjustRightInd w:val="0"/>
        <w:spacing w:after="0" w:line="240" w:lineRule="auto"/>
        <w:ind w:left="720"/>
        <w:jc w:val="both"/>
        <w:rPr>
          <w:rFonts w:ascii="Times New Roman" w:hAnsi="Times New Roman" w:cs="Times New Roman"/>
          <w:szCs w:val="21"/>
        </w:rPr>
      </w:pPr>
      <w:r>
        <w:rPr>
          <w:rFonts w:ascii="Times New Roman" w:hAnsi="Times New Roman" w:cs="Times New Roman"/>
          <w:szCs w:val="21"/>
        </w:rPr>
        <w:t xml:space="preserve">“A special reason within the exceptions is one which is special to the facts of that particular </w:t>
      </w:r>
      <w:r w:rsidR="000829F2">
        <w:rPr>
          <w:rFonts w:ascii="Times New Roman" w:hAnsi="Times New Roman" w:cs="Times New Roman"/>
          <w:szCs w:val="21"/>
        </w:rPr>
        <w:t>case that</w:t>
      </w:r>
      <w:r>
        <w:rPr>
          <w:rFonts w:ascii="Times New Roman" w:hAnsi="Times New Roman" w:cs="Times New Roman"/>
          <w:szCs w:val="21"/>
        </w:rPr>
        <w:t xml:space="preserve"> is special to the facts constituting the offence. It is, in other words a mitigating or extenuati</w:t>
      </w:r>
      <w:r w:rsidR="00F52FDD">
        <w:rPr>
          <w:rFonts w:ascii="Times New Roman" w:hAnsi="Times New Roman" w:cs="Times New Roman"/>
          <w:szCs w:val="21"/>
        </w:rPr>
        <w:t>ng circumstance, not amounting in</w:t>
      </w:r>
      <w:r>
        <w:rPr>
          <w:rFonts w:ascii="Times New Roman" w:hAnsi="Times New Roman" w:cs="Times New Roman"/>
          <w:szCs w:val="21"/>
        </w:rPr>
        <w:t xml:space="preserve"> law to a defence to the charge, yet directly connected to the commission of the offence and one which the court ought properly to take into consideration when imposing punishment. A circumstance peculiar to the offender as distinguished from the offence is not a special reason within the exception.</w:t>
      </w:r>
    </w:p>
    <w:p w:rsidR="00710692" w:rsidRDefault="00710692" w:rsidP="00710692">
      <w:pPr>
        <w:autoSpaceDE w:val="0"/>
        <w:autoSpaceDN w:val="0"/>
        <w:adjustRightInd w:val="0"/>
        <w:spacing w:after="0" w:line="240" w:lineRule="auto"/>
        <w:ind w:left="720"/>
        <w:jc w:val="both"/>
        <w:rPr>
          <w:rFonts w:ascii="Times New Roman" w:hAnsi="Times New Roman" w:cs="Times New Roman"/>
          <w:szCs w:val="21"/>
        </w:rPr>
      </w:pPr>
    </w:p>
    <w:p w:rsidR="00710692" w:rsidRPr="000A28C6" w:rsidRDefault="00710692" w:rsidP="00710692">
      <w:pPr>
        <w:autoSpaceDE w:val="0"/>
        <w:autoSpaceDN w:val="0"/>
        <w:adjustRightInd w:val="0"/>
        <w:spacing w:after="0" w:line="240" w:lineRule="auto"/>
        <w:ind w:left="720"/>
        <w:jc w:val="both"/>
        <w:rPr>
          <w:rFonts w:ascii="Times New Roman" w:hAnsi="Times New Roman" w:cs="Times New Roman"/>
          <w:szCs w:val="21"/>
        </w:rPr>
      </w:pPr>
      <w:r>
        <w:rPr>
          <w:rFonts w:ascii="Times New Roman" w:hAnsi="Times New Roman" w:cs="Times New Roman"/>
          <w:szCs w:val="21"/>
        </w:rPr>
        <w:t>However the circumstance must be of a “special” character. The nature of the evidence must be in some way completely remove the case from the normal case of its type. The circumstance must be so unusual from the normal case of its type. They should be unusual that the court finds itself in a position where it can decide beyond any doubt that such cir</w:t>
      </w:r>
      <w:r w:rsidR="003F1F95">
        <w:rPr>
          <w:rFonts w:ascii="Times New Roman" w:hAnsi="Times New Roman" w:cs="Times New Roman"/>
          <w:szCs w:val="21"/>
        </w:rPr>
        <w:t>cumstances could not have been in</w:t>
      </w:r>
      <w:r>
        <w:rPr>
          <w:rFonts w:ascii="Times New Roman" w:hAnsi="Times New Roman" w:cs="Times New Roman"/>
          <w:szCs w:val="21"/>
        </w:rPr>
        <w:t xml:space="preserve"> the contemplation of the legislature when it decreed that all offenders should be punished with a mandatory minimum sentence.” </w:t>
      </w:r>
    </w:p>
    <w:p w:rsidR="00710692" w:rsidRPr="009A4FD4" w:rsidRDefault="00710692" w:rsidP="00710692">
      <w:pPr>
        <w:autoSpaceDE w:val="0"/>
        <w:autoSpaceDN w:val="0"/>
        <w:adjustRightInd w:val="0"/>
        <w:spacing w:after="0" w:line="360" w:lineRule="auto"/>
        <w:jc w:val="both"/>
        <w:rPr>
          <w:rFonts w:ascii="Times New Roman" w:hAnsi="Times New Roman" w:cs="Times New Roman"/>
          <w:sz w:val="20"/>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In </w:t>
      </w:r>
      <w:r>
        <w:rPr>
          <w:rFonts w:ascii="Times New Roman" w:hAnsi="Times New Roman" w:cs="Times New Roman"/>
          <w:i/>
          <w:sz w:val="24"/>
          <w:szCs w:val="21"/>
        </w:rPr>
        <w:t>R v de Costa Silva</w:t>
      </w:r>
      <w:r>
        <w:rPr>
          <w:rStyle w:val="FootnoteReference"/>
          <w:rFonts w:ascii="Times New Roman" w:hAnsi="Times New Roman" w:cs="Times New Roman"/>
          <w:i/>
          <w:sz w:val="24"/>
          <w:szCs w:val="21"/>
        </w:rPr>
        <w:footnoteReference w:id="11"/>
      </w:r>
      <w:r>
        <w:rPr>
          <w:rFonts w:ascii="Times New Roman" w:hAnsi="Times New Roman" w:cs="Times New Roman"/>
          <w:sz w:val="24"/>
          <w:szCs w:val="21"/>
        </w:rPr>
        <w:t xml:space="preserve"> it was held per </w:t>
      </w:r>
      <w:r w:rsidR="00925DB6">
        <w:rPr>
          <w:rFonts w:ascii="Times New Roman" w:hAnsi="Times New Roman" w:cs="Times New Roman"/>
          <w:smallCaps/>
          <w:sz w:val="24"/>
          <w:szCs w:val="21"/>
        </w:rPr>
        <w:t>Beadle j</w:t>
      </w:r>
      <w:r>
        <w:rPr>
          <w:rFonts w:ascii="Times New Roman" w:hAnsi="Times New Roman" w:cs="Times New Roman"/>
          <w:smallCaps/>
          <w:sz w:val="24"/>
          <w:szCs w:val="21"/>
        </w:rPr>
        <w:t xml:space="preserve"> (</w:t>
      </w:r>
      <w:r>
        <w:rPr>
          <w:rFonts w:ascii="Times New Roman" w:hAnsi="Times New Roman" w:cs="Times New Roman"/>
          <w:sz w:val="24"/>
          <w:szCs w:val="21"/>
        </w:rPr>
        <w:t>as he then was):</w:t>
      </w:r>
    </w:p>
    <w:p w:rsidR="00710692" w:rsidRDefault="00710692" w:rsidP="00710692">
      <w:pPr>
        <w:autoSpaceDE w:val="0"/>
        <w:autoSpaceDN w:val="0"/>
        <w:adjustRightInd w:val="0"/>
        <w:spacing w:after="0" w:line="240" w:lineRule="auto"/>
        <w:ind w:left="720"/>
        <w:jc w:val="both"/>
        <w:rPr>
          <w:rFonts w:ascii="Times New Roman" w:hAnsi="Times New Roman" w:cs="Times New Roman"/>
          <w:szCs w:val="21"/>
        </w:rPr>
      </w:pPr>
      <w:r>
        <w:rPr>
          <w:rFonts w:ascii="Times New Roman" w:hAnsi="Times New Roman" w:cs="Times New Roman"/>
          <w:szCs w:val="21"/>
        </w:rPr>
        <w:t xml:space="preserve">“The legislature seems to have wished to draw distinction between “general” as opposed to “special” circumstances and not between circumstances special to the offence and those special to the offender. If therefor, there is relevant excuse which is only to the offender, I can see no logical reason why it should be excluded from consideration.”  </w:t>
      </w:r>
    </w:p>
    <w:p w:rsidR="00710692" w:rsidRDefault="00710692" w:rsidP="00710692">
      <w:pPr>
        <w:autoSpaceDE w:val="0"/>
        <w:autoSpaceDN w:val="0"/>
        <w:adjustRightInd w:val="0"/>
        <w:spacing w:after="0" w:line="240" w:lineRule="auto"/>
        <w:jc w:val="both"/>
        <w:rPr>
          <w:rFonts w:ascii="Times New Roman" w:hAnsi="Times New Roman" w:cs="Times New Roman"/>
          <w:szCs w:val="21"/>
        </w:rPr>
      </w:pPr>
    </w:p>
    <w:p w:rsidR="00710692" w:rsidRDefault="00925DB6"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lastRenderedPageBreak/>
        <w:tab/>
        <w:t>The</w:t>
      </w:r>
      <w:r w:rsidR="00710692">
        <w:rPr>
          <w:rFonts w:ascii="Times New Roman" w:hAnsi="Times New Roman" w:cs="Times New Roman"/>
          <w:sz w:val="24"/>
          <w:szCs w:val="21"/>
        </w:rPr>
        <w:t xml:space="preserve"> recent legislative practice in Zimbabwe has created a distinction, “special circumstances” appear to have been used where the words have been statutorily defin</w:t>
      </w:r>
      <w:r w:rsidR="00503EDA">
        <w:rPr>
          <w:rFonts w:ascii="Times New Roman" w:hAnsi="Times New Roman" w:cs="Times New Roman"/>
          <w:sz w:val="24"/>
          <w:szCs w:val="21"/>
        </w:rPr>
        <w:t>ed, in most cases after the m</w:t>
      </w:r>
      <w:r w:rsidR="00710692">
        <w:rPr>
          <w:rFonts w:ascii="Times New Roman" w:hAnsi="Times New Roman" w:cs="Times New Roman"/>
          <w:sz w:val="24"/>
          <w:szCs w:val="21"/>
        </w:rPr>
        <w:t xml:space="preserve">ould suggested in </w:t>
      </w:r>
      <w:r w:rsidR="00503EDA">
        <w:rPr>
          <w:rFonts w:ascii="Times New Roman" w:hAnsi="Times New Roman" w:cs="Times New Roman"/>
          <w:i/>
          <w:sz w:val="24"/>
          <w:szCs w:val="21"/>
        </w:rPr>
        <w:t>Whittal v Ki</w:t>
      </w:r>
      <w:r w:rsidR="00710692">
        <w:rPr>
          <w:rFonts w:ascii="Times New Roman" w:hAnsi="Times New Roman" w:cs="Times New Roman"/>
          <w:i/>
          <w:sz w:val="24"/>
          <w:szCs w:val="21"/>
        </w:rPr>
        <w:t xml:space="preserve">rby </w:t>
      </w:r>
      <w:r w:rsidR="00710692">
        <w:rPr>
          <w:rFonts w:ascii="Times New Roman" w:hAnsi="Times New Roman" w:cs="Times New Roman"/>
          <w:sz w:val="24"/>
          <w:szCs w:val="21"/>
        </w:rPr>
        <w:t>(</w:t>
      </w:r>
      <w:r w:rsidR="00710692">
        <w:rPr>
          <w:rFonts w:ascii="Times New Roman" w:hAnsi="Times New Roman" w:cs="Times New Roman"/>
          <w:i/>
          <w:sz w:val="24"/>
          <w:szCs w:val="21"/>
        </w:rPr>
        <w:t>supra</w:t>
      </w:r>
      <w:r w:rsidR="00710692">
        <w:rPr>
          <w:rFonts w:ascii="Times New Roman" w:hAnsi="Times New Roman" w:cs="Times New Roman"/>
          <w:sz w:val="24"/>
          <w:szCs w:val="21"/>
        </w:rPr>
        <w:t xml:space="preserve">) in </w:t>
      </w:r>
      <w:r w:rsidR="00AF1663">
        <w:rPr>
          <w:rFonts w:ascii="Times New Roman" w:hAnsi="Times New Roman" w:cs="Times New Roman"/>
          <w:sz w:val="24"/>
          <w:szCs w:val="21"/>
        </w:rPr>
        <w:t>contradistinction</w:t>
      </w:r>
      <w:r w:rsidR="00710692">
        <w:rPr>
          <w:rFonts w:ascii="Times New Roman" w:hAnsi="Times New Roman" w:cs="Times New Roman"/>
          <w:sz w:val="24"/>
          <w:szCs w:val="21"/>
        </w:rPr>
        <w:t xml:space="preserve"> the legislature appear consistently to have used the term “special reasons” when it has not supplied a definition</w:t>
      </w:r>
      <w:r w:rsidR="00710692">
        <w:rPr>
          <w:rStyle w:val="FootnoteReference"/>
          <w:rFonts w:ascii="Times New Roman" w:hAnsi="Times New Roman" w:cs="Times New Roman"/>
          <w:sz w:val="24"/>
          <w:szCs w:val="21"/>
        </w:rPr>
        <w:footnoteReference w:id="12"/>
      </w:r>
      <w:r w:rsidR="00710692">
        <w:rPr>
          <w:rFonts w:ascii="Times New Roman" w:hAnsi="Times New Roman" w:cs="Times New Roman"/>
          <w:sz w:val="24"/>
          <w:szCs w:val="21"/>
        </w:rPr>
        <w:t>.</w:t>
      </w: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 xml:space="preserve">Having looked at the foregoing I do not agree with Mr </w:t>
      </w:r>
      <w:r w:rsidRPr="00444D37">
        <w:rPr>
          <w:rFonts w:ascii="Times New Roman" w:hAnsi="Times New Roman" w:cs="Times New Roman"/>
          <w:i/>
          <w:sz w:val="24"/>
          <w:szCs w:val="21"/>
        </w:rPr>
        <w:t>Mukwena</w:t>
      </w:r>
      <w:r>
        <w:rPr>
          <w:rFonts w:ascii="Times New Roman" w:hAnsi="Times New Roman" w:cs="Times New Roman"/>
          <w:sz w:val="24"/>
          <w:szCs w:val="21"/>
        </w:rPr>
        <w:t>’s submission that appellan</w:t>
      </w:r>
      <w:r w:rsidR="00444D37">
        <w:rPr>
          <w:rFonts w:ascii="Times New Roman" w:hAnsi="Times New Roman" w:cs="Times New Roman"/>
          <w:sz w:val="24"/>
          <w:szCs w:val="21"/>
        </w:rPr>
        <w:t>ts managed to advance facts which</w:t>
      </w:r>
      <w:r>
        <w:rPr>
          <w:rFonts w:ascii="Times New Roman" w:hAnsi="Times New Roman" w:cs="Times New Roman"/>
          <w:sz w:val="24"/>
          <w:szCs w:val="21"/>
        </w:rPr>
        <w:t xml:space="preserve"> constituted special circumstances. I am unable to discern any misdirection on the part of the court </w:t>
      </w:r>
      <w:r>
        <w:rPr>
          <w:rFonts w:ascii="Times New Roman" w:hAnsi="Times New Roman" w:cs="Times New Roman"/>
          <w:i/>
          <w:sz w:val="24"/>
          <w:szCs w:val="21"/>
        </w:rPr>
        <w:t>a quo</w:t>
      </w:r>
      <w:r>
        <w:rPr>
          <w:rFonts w:ascii="Times New Roman" w:hAnsi="Times New Roman" w:cs="Times New Roman"/>
          <w:sz w:val="24"/>
          <w:szCs w:val="21"/>
        </w:rPr>
        <w:t xml:space="preserve">. The second ground of appeal against </w:t>
      </w:r>
      <w:r w:rsidR="00444D37">
        <w:rPr>
          <w:rFonts w:ascii="Times New Roman" w:hAnsi="Times New Roman" w:cs="Times New Roman"/>
          <w:sz w:val="24"/>
          <w:szCs w:val="21"/>
        </w:rPr>
        <w:t xml:space="preserve">sentence </w:t>
      </w:r>
      <w:r>
        <w:rPr>
          <w:rFonts w:ascii="Times New Roman" w:hAnsi="Times New Roman" w:cs="Times New Roman"/>
          <w:sz w:val="24"/>
          <w:szCs w:val="21"/>
        </w:rPr>
        <w:t xml:space="preserve">equally fails. </w:t>
      </w: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t>Accordingly the following order is returned.</w:t>
      </w: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ab/>
      </w:r>
      <w:r w:rsidR="00444D37">
        <w:rPr>
          <w:rFonts w:ascii="Times New Roman" w:hAnsi="Times New Roman" w:cs="Times New Roman"/>
          <w:sz w:val="24"/>
          <w:szCs w:val="21"/>
        </w:rPr>
        <w:t>The a</w:t>
      </w:r>
      <w:r>
        <w:rPr>
          <w:rFonts w:ascii="Times New Roman" w:hAnsi="Times New Roman" w:cs="Times New Roman"/>
          <w:sz w:val="24"/>
          <w:szCs w:val="21"/>
        </w:rPr>
        <w:t xml:space="preserve">ppeal is dismissed in its entirety. </w:t>
      </w: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360" w:lineRule="auto"/>
        <w:jc w:val="both"/>
        <w:rPr>
          <w:rFonts w:ascii="Times New Roman" w:hAnsi="Times New Roman" w:cs="Times New Roman"/>
          <w:sz w:val="24"/>
          <w:szCs w:val="21"/>
        </w:rPr>
      </w:pPr>
      <w:r>
        <w:rPr>
          <w:rFonts w:ascii="Times New Roman" w:hAnsi="Times New Roman" w:cs="Times New Roman"/>
          <w:sz w:val="24"/>
          <w:szCs w:val="21"/>
        </w:rPr>
        <w:t>MWAYERA J agrees _____________________</w:t>
      </w:r>
    </w:p>
    <w:p w:rsidR="00710692" w:rsidRDefault="00710692" w:rsidP="00710692">
      <w:pPr>
        <w:autoSpaceDE w:val="0"/>
        <w:autoSpaceDN w:val="0"/>
        <w:adjustRightInd w:val="0"/>
        <w:spacing w:after="0" w:line="24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240" w:lineRule="auto"/>
        <w:jc w:val="both"/>
        <w:rPr>
          <w:rFonts w:ascii="Times New Roman" w:hAnsi="Times New Roman" w:cs="Times New Roman"/>
          <w:sz w:val="24"/>
          <w:szCs w:val="21"/>
        </w:rPr>
      </w:pPr>
    </w:p>
    <w:p w:rsidR="00710692" w:rsidRDefault="00710692" w:rsidP="00710692">
      <w:pPr>
        <w:autoSpaceDE w:val="0"/>
        <w:autoSpaceDN w:val="0"/>
        <w:adjustRightInd w:val="0"/>
        <w:spacing w:after="0" w:line="240" w:lineRule="auto"/>
        <w:jc w:val="both"/>
        <w:rPr>
          <w:rFonts w:ascii="Times New Roman" w:hAnsi="Times New Roman" w:cs="Times New Roman"/>
          <w:sz w:val="24"/>
          <w:szCs w:val="21"/>
        </w:rPr>
      </w:pPr>
      <w:r>
        <w:rPr>
          <w:rFonts w:ascii="Times New Roman" w:hAnsi="Times New Roman" w:cs="Times New Roman"/>
          <w:i/>
          <w:sz w:val="24"/>
          <w:szCs w:val="21"/>
        </w:rPr>
        <w:t>Chibaya &amp; Partners</w:t>
      </w:r>
      <w:r>
        <w:rPr>
          <w:rFonts w:ascii="Times New Roman" w:hAnsi="Times New Roman" w:cs="Times New Roman"/>
          <w:sz w:val="24"/>
          <w:szCs w:val="21"/>
        </w:rPr>
        <w:t xml:space="preserve">, appellant’s legal practitioners </w:t>
      </w:r>
    </w:p>
    <w:p w:rsidR="00710692" w:rsidRPr="00E163C4" w:rsidRDefault="00710692" w:rsidP="00710692">
      <w:pPr>
        <w:autoSpaceDE w:val="0"/>
        <w:autoSpaceDN w:val="0"/>
        <w:adjustRightInd w:val="0"/>
        <w:spacing w:after="0" w:line="240" w:lineRule="auto"/>
        <w:jc w:val="both"/>
        <w:rPr>
          <w:rFonts w:ascii="Times New Roman" w:hAnsi="Times New Roman" w:cs="Times New Roman"/>
          <w:sz w:val="24"/>
          <w:szCs w:val="21"/>
        </w:rPr>
      </w:pPr>
      <w:r>
        <w:rPr>
          <w:rFonts w:ascii="Times New Roman" w:hAnsi="Times New Roman" w:cs="Times New Roman"/>
          <w:i/>
          <w:sz w:val="24"/>
          <w:szCs w:val="21"/>
        </w:rPr>
        <w:t>National Prosecuting Authority</w:t>
      </w:r>
      <w:r>
        <w:rPr>
          <w:rFonts w:ascii="Times New Roman" w:hAnsi="Times New Roman" w:cs="Times New Roman"/>
          <w:sz w:val="24"/>
          <w:szCs w:val="21"/>
        </w:rPr>
        <w:t xml:space="preserve">, respondent’s legal practitioners </w:t>
      </w:r>
    </w:p>
    <w:p w:rsidR="00710692" w:rsidRPr="00540F5B" w:rsidRDefault="00710692" w:rsidP="00710692">
      <w:pPr>
        <w:autoSpaceDE w:val="0"/>
        <w:autoSpaceDN w:val="0"/>
        <w:adjustRightInd w:val="0"/>
        <w:spacing w:after="0" w:line="360" w:lineRule="auto"/>
        <w:jc w:val="both"/>
        <w:rPr>
          <w:sz w:val="24"/>
        </w:rPr>
      </w:pPr>
    </w:p>
    <w:p w:rsidR="00071E67" w:rsidRDefault="00071E67" w:rsidP="00071E67">
      <w:pPr>
        <w:spacing w:line="360" w:lineRule="auto"/>
        <w:ind w:firstLine="720"/>
        <w:jc w:val="both"/>
        <w:rPr>
          <w:rFonts w:ascii="Times New Roman" w:hAnsi="Times New Roman" w:cs="Times New Roman"/>
          <w:sz w:val="24"/>
          <w:szCs w:val="24"/>
        </w:rPr>
      </w:pPr>
    </w:p>
    <w:p w:rsidR="00071E67" w:rsidRDefault="00071E67" w:rsidP="00071E67">
      <w:pPr>
        <w:spacing w:line="360" w:lineRule="auto"/>
        <w:ind w:firstLine="720"/>
        <w:jc w:val="both"/>
        <w:rPr>
          <w:rFonts w:ascii="Times New Roman" w:hAnsi="Times New Roman" w:cs="Times New Roman"/>
          <w:sz w:val="24"/>
          <w:szCs w:val="24"/>
        </w:rPr>
      </w:pPr>
    </w:p>
    <w:p w:rsidR="00071E67" w:rsidRDefault="00071E67" w:rsidP="008A18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A184B" w:rsidRPr="008A184B" w:rsidRDefault="008A184B" w:rsidP="008A184B">
      <w:pPr>
        <w:spacing w:line="360" w:lineRule="auto"/>
        <w:jc w:val="both"/>
        <w:rPr>
          <w:rFonts w:ascii="Times New Roman" w:hAnsi="Times New Roman" w:cs="Times New Roman"/>
          <w:sz w:val="24"/>
          <w:szCs w:val="24"/>
        </w:rPr>
      </w:pPr>
    </w:p>
    <w:sectPr w:rsidR="008A184B" w:rsidRPr="008A18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612" w:rsidRDefault="00CF3612" w:rsidP="009A71D8">
      <w:pPr>
        <w:spacing w:after="0" w:line="240" w:lineRule="auto"/>
      </w:pPr>
      <w:r>
        <w:separator/>
      </w:r>
    </w:p>
  </w:endnote>
  <w:endnote w:type="continuationSeparator" w:id="0">
    <w:p w:rsidR="00CF3612" w:rsidRDefault="00CF3612" w:rsidP="009A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612" w:rsidRDefault="00CF3612" w:rsidP="009A71D8">
      <w:pPr>
        <w:spacing w:after="0" w:line="240" w:lineRule="auto"/>
      </w:pPr>
      <w:r>
        <w:separator/>
      </w:r>
    </w:p>
  </w:footnote>
  <w:footnote w:type="continuationSeparator" w:id="0">
    <w:p w:rsidR="00CF3612" w:rsidRDefault="00CF3612" w:rsidP="009A71D8">
      <w:pPr>
        <w:spacing w:after="0" w:line="240" w:lineRule="auto"/>
      </w:pPr>
      <w:r>
        <w:continuationSeparator/>
      </w:r>
    </w:p>
  </w:footnote>
  <w:footnote w:id="1">
    <w:p w:rsidR="009A71D8" w:rsidRDefault="009A71D8">
      <w:pPr>
        <w:pStyle w:val="FootnoteText"/>
      </w:pPr>
      <w:r>
        <w:rPr>
          <w:rStyle w:val="FootnoteReference"/>
        </w:rPr>
        <w:footnoteRef/>
      </w:r>
      <w:r>
        <w:t xml:space="preserve"> HH 48/2006 and cases cited therein</w:t>
      </w:r>
    </w:p>
  </w:footnote>
  <w:footnote w:id="2">
    <w:p w:rsidR="009A71D8" w:rsidRDefault="009A71D8">
      <w:pPr>
        <w:pStyle w:val="FootnoteText"/>
      </w:pPr>
      <w:r>
        <w:rPr>
          <w:rStyle w:val="FootnoteReference"/>
        </w:rPr>
        <w:footnoteRef/>
      </w:r>
      <w:r>
        <w:t xml:space="preserve"> 1988 (2) ZLR 385 (SC)</w:t>
      </w:r>
    </w:p>
  </w:footnote>
  <w:footnote w:id="3">
    <w:p w:rsidR="00B41DB7" w:rsidRDefault="00B41DB7">
      <w:pPr>
        <w:pStyle w:val="FootnoteText"/>
      </w:pPr>
      <w:r>
        <w:rPr>
          <w:rStyle w:val="FootnoteReference"/>
        </w:rPr>
        <w:footnoteRef/>
      </w:r>
      <w:r>
        <w:t xml:space="preserve"> HMT 77/19 </w:t>
      </w:r>
    </w:p>
  </w:footnote>
  <w:footnote w:id="4">
    <w:p w:rsidR="00CA690B" w:rsidRDefault="00CA690B">
      <w:pPr>
        <w:pStyle w:val="FootnoteText"/>
      </w:pPr>
      <w:r>
        <w:rPr>
          <w:rStyle w:val="FootnoteReference"/>
        </w:rPr>
        <w:footnoteRef/>
      </w:r>
      <w:r>
        <w:t xml:space="preserve"> HB 135/06 and cases cited therein</w:t>
      </w:r>
    </w:p>
  </w:footnote>
  <w:footnote w:id="5">
    <w:p w:rsidR="00720127" w:rsidRDefault="00720127">
      <w:pPr>
        <w:pStyle w:val="FootnoteText"/>
      </w:pPr>
      <w:r>
        <w:rPr>
          <w:rStyle w:val="FootnoteReference"/>
        </w:rPr>
        <w:footnoteRef/>
      </w:r>
      <w:r>
        <w:t xml:space="preserve"> S v Mpetha and others 1983 (4) SA 261 S v Mlambo 19944 (2) ZLR 410 (s) lovemore Dewa v S HH 206/</w:t>
      </w:r>
      <w:r w:rsidR="000826F9">
        <w:t xml:space="preserve">14. </w:t>
      </w:r>
      <w:r>
        <w:t xml:space="preserve">S v   </w:t>
      </w:r>
    </w:p>
    <w:p w:rsidR="00720127" w:rsidRDefault="00720127">
      <w:pPr>
        <w:pStyle w:val="FootnoteText"/>
      </w:pPr>
      <w:r>
        <w:t xml:space="preserve">  Mashonganyika HH 131/18 and Tendai Chigodora v State HH 348/19 State v Gore 1991 (1) ZLR 180 F-181E</w:t>
      </w:r>
    </w:p>
  </w:footnote>
  <w:footnote w:id="6">
    <w:p w:rsidR="00720127" w:rsidRDefault="00720127">
      <w:pPr>
        <w:pStyle w:val="FootnoteText"/>
      </w:pPr>
      <w:r>
        <w:rPr>
          <w:rStyle w:val="FootnoteReference"/>
        </w:rPr>
        <w:footnoteRef/>
      </w:r>
      <w:r>
        <w:t xml:space="preserve"> </w:t>
      </w:r>
      <w:r w:rsidR="00E13239">
        <w:t>1982 (2) ZLR 221 (4)</w:t>
      </w:r>
    </w:p>
  </w:footnote>
  <w:footnote w:id="7">
    <w:p w:rsidR="0051045B" w:rsidRDefault="0051045B">
      <w:pPr>
        <w:pStyle w:val="FootnoteText"/>
      </w:pPr>
      <w:r>
        <w:rPr>
          <w:rStyle w:val="FootnoteReference"/>
        </w:rPr>
        <w:footnoteRef/>
      </w:r>
      <w:r>
        <w:t xml:space="preserve"> 1996 (2) ZLR 190 (H) : 191H – 192 C per GILLESPIE J</w:t>
      </w:r>
    </w:p>
  </w:footnote>
  <w:footnote w:id="8">
    <w:p w:rsidR="00710692" w:rsidRDefault="00710692" w:rsidP="00710692">
      <w:pPr>
        <w:pStyle w:val="FootnoteText"/>
      </w:pPr>
      <w:r>
        <w:rPr>
          <w:rStyle w:val="FootnoteReference"/>
        </w:rPr>
        <w:footnoteRef/>
      </w:r>
      <w:r>
        <w:t xml:space="preserve"> 1981 ZLR 666 (HC) at 671 B-C </w:t>
      </w:r>
    </w:p>
  </w:footnote>
  <w:footnote w:id="9">
    <w:p w:rsidR="00710692" w:rsidRDefault="00710692" w:rsidP="00710692">
      <w:pPr>
        <w:pStyle w:val="FootnoteText"/>
      </w:pPr>
      <w:r>
        <w:rPr>
          <w:rStyle w:val="FootnoteReference"/>
        </w:rPr>
        <w:footnoteRef/>
      </w:r>
      <w:r>
        <w:t xml:space="preserve"> See also Lines v Herson (1951) 2 All ER 650:652D.</w:t>
      </w:r>
    </w:p>
  </w:footnote>
  <w:footnote w:id="10">
    <w:p w:rsidR="00710692" w:rsidRDefault="00710692" w:rsidP="00710692">
      <w:pPr>
        <w:pStyle w:val="FootnoteText"/>
      </w:pPr>
      <w:r>
        <w:rPr>
          <w:rStyle w:val="FootnoteReference"/>
        </w:rPr>
        <w:footnoteRef/>
      </w:r>
      <w:r>
        <w:t xml:space="preserve"> (1946) 2 ALL ER 552</w:t>
      </w:r>
    </w:p>
  </w:footnote>
  <w:footnote w:id="11">
    <w:p w:rsidR="00710692" w:rsidRDefault="00710692" w:rsidP="00710692">
      <w:pPr>
        <w:pStyle w:val="FootnoteText"/>
      </w:pPr>
      <w:r>
        <w:rPr>
          <w:rStyle w:val="FootnoteReference"/>
        </w:rPr>
        <w:footnoteRef/>
      </w:r>
      <w:r>
        <w:t xml:space="preserve"> 1956 R &amp; N 369 at 380 B</w:t>
      </w:r>
    </w:p>
  </w:footnote>
  <w:footnote w:id="12">
    <w:p w:rsidR="00710692" w:rsidRDefault="00710692" w:rsidP="00710692">
      <w:pPr>
        <w:pStyle w:val="FootnoteText"/>
      </w:pPr>
      <w:r>
        <w:rPr>
          <w:rStyle w:val="FootnoteReference"/>
        </w:rPr>
        <w:footnoteRef/>
      </w:r>
      <w:r>
        <w:t xml:space="preserve"> See AG v Pasipanodya 1976 (1) RLR 153</w:t>
      </w:r>
    </w:p>
    <w:p w:rsidR="00710692" w:rsidRDefault="00710692" w:rsidP="00710692">
      <w:pPr>
        <w:pStyle w:val="FootnoteText"/>
      </w:pPr>
      <w:r>
        <w:t xml:space="preserve">S v Vera 1976 (2) RLR 228 </w:t>
      </w:r>
    </w:p>
    <w:p w:rsidR="00710692" w:rsidRDefault="00710692" w:rsidP="00710692">
      <w:pPr>
        <w:pStyle w:val="FootnoteText"/>
      </w:pPr>
      <w:r>
        <w:t>S v Makuyana SC 33/85</w:t>
      </w:r>
    </w:p>
    <w:p w:rsidR="00710692" w:rsidRDefault="00710692" w:rsidP="00710692">
      <w:pPr>
        <w:pStyle w:val="FootnoteText"/>
      </w:pPr>
      <w:r>
        <w:t xml:space="preserve">S v Raiston 1982 (2) ZLR 221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021202"/>
      <w:docPartObj>
        <w:docPartGallery w:val="Page Numbers (Top of Page)"/>
        <w:docPartUnique/>
      </w:docPartObj>
    </w:sdtPr>
    <w:sdtEndPr>
      <w:rPr>
        <w:noProof/>
      </w:rPr>
    </w:sdtEndPr>
    <w:sdtContent>
      <w:p w:rsidR="00ED64E2" w:rsidRDefault="00ED64E2">
        <w:pPr>
          <w:pStyle w:val="Header"/>
          <w:jc w:val="right"/>
          <w:rPr>
            <w:noProof/>
          </w:rPr>
        </w:pPr>
        <w:r>
          <w:fldChar w:fldCharType="begin"/>
        </w:r>
        <w:r>
          <w:instrText xml:space="preserve"> PAGE   \* MERGEFORMAT </w:instrText>
        </w:r>
        <w:r>
          <w:fldChar w:fldCharType="separate"/>
        </w:r>
        <w:r w:rsidR="00937510">
          <w:rPr>
            <w:noProof/>
          </w:rPr>
          <w:t>1</w:t>
        </w:r>
        <w:r>
          <w:rPr>
            <w:noProof/>
          </w:rPr>
          <w:fldChar w:fldCharType="end"/>
        </w:r>
      </w:p>
      <w:p w:rsidR="00ED64E2" w:rsidRDefault="003F16FF">
        <w:pPr>
          <w:pStyle w:val="Header"/>
          <w:jc w:val="right"/>
          <w:rPr>
            <w:noProof/>
          </w:rPr>
        </w:pPr>
        <w:r>
          <w:rPr>
            <w:noProof/>
          </w:rPr>
          <w:t>HMT 61</w:t>
        </w:r>
        <w:r w:rsidR="00ED64E2">
          <w:rPr>
            <w:noProof/>
          </w:rPr>
          <w:t>-20</w:t>
        </w:r>
      </w:p>
      <w:p w:rsidR="008453E0" w:rsidRDefault="00ED64E2">
        <w:pPr>
          <w:pStyle w:val="Header"/>
          <w:jc w:val="right"/>
          <w:rPr>
            <w:noProof/>
          </w:rPr>
        </w:pPr>
        <w:r>
          <w:rPr>
            <w:noProof/>
          </w:rPr>
          <w:t>CA 16/20</w:t>
        </w:r>
      </w:p>
      <w:p w:rsidR="00ED64E2" w:rsidRDefault="008453E0">
        <w:pPr>
          <w:pStyle w:val="Header"/>
          <w:jc w:val="right"/>
        </w:pPr>
        <w:r>
          <w:rPr>
            <w:noProof/>
          </w:rPr>
          <w:t>REF CASE NO. PENH 175/6/20</w:t>
        </w:r>
      </w:p>
    </w:sdtContent>
  </w:sdt>
  <w:p w:rsidR="00ED64E2" w:rsidRDefault="00ED6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16C0E"/>
    <w:multiLevelType w:val="hybridMultilevel"/>
    <w:tmpl w:val="7506EBEA"/>
    <w:lvl w:ilvl="0" w:tplc="4DF28D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4B"/>
    <w:rsid w:val="000358FC"/>
    <w:rsid w:val="00071E67"/>
    <w:rsid w:val="000826F9"/>
    <w:rsid w:val="000829F2"/>
    <w:rsid w:val="000A77D8"/>
    <w:rsid w:val="000B6E6B"/>
    <w:rsid w:val="000B75F9"/>
    <w:rsid w:val="000E53D6"/>
    <w:rsid w:val="001813FB"/>
    <w:rsid w:val="00185583"/>
    <w:rsid w:val="001A50AF"/>
    <w:rsid w:val="00213EF6"/>
    <w:rsid w:val="002A18AE"/>
    <w:rsid w:val="002B18E5"/>
    <w:rsid w:val="00351BD2"/>
    <w:rsid w:val="00361B2C"/>
    <w:rsid w:val="003A0499"/>
    <w:rsid w:val="003A0FF9"/>
    <w:rsid w:val="003B4867"/>
    <w:rsid w:val="003F16FF"/>
    <w:rsid w:val="003F1F95"/>
    <w:rsid w:val="00444D37"/>
    <w:rsid w:val="00466BD6"/>
    <w:rsid w:val="00503EDA"/>
    <w:rsid w:val="0051045B"/>
    <w:rsid w:val="00672B4D"/>
    <w:rsid w:val="006E02CA"/>
    <w:rsid w:val="00710692"/>
    <w:rsid w:val="00720127"/>
    <w:rsid w:val="007D0439"/>
    <w:rsid w:val="007D3655"/>
    <w:rsid w:val="007F78B9"/>
    <w:rsid w:val="00800C6B"/>
    <w:rsid w:val="008453E0"/>
    <w:rsid w:val="00863E48"/>
    <w:rsid w:val="008A184B"/>
    <w:rsid w:val="0091674C"/>
    <w:rsid w:val="00925DB6"/>
    <w:rsid w:val="00937510"/>
    <w:rsid w:val="00944259"/>
    <w:rsid w:val="009A71D8"/>
    <w:rsid w:val="009C0333"/>
    <w:rsid w:val="00A12A37"/>
    <w:rsid w:val="00A450CF"/>
    <w:rsid w:val="00AA2476"/>
    <w:rsid w:val="00AB1567"/>
    <w:rsid w:val="00AF1663"/>
    <w:rsid w:val="00AF412F"/>
    <w:rsid w:val="00B41DB7"/>
    <w:rsid w:val="00BD1B31"/>
    <w:rsid w:val="00C06D33"/>
    <w:rsid w:val="00C23C96"/>
    <w:rsid w:val="00C57CB6"/>
    <w:rsid w:val="00CA690B"/>
    <w:rsid w:val="00CF3612"/>
    <w:rsid w:val="00CF5C09"/>
    <w:rsid w:val="00D42089"/>
    <w:rsid w:val="00D610C2"/>
    <w:rsid w:val="00D9597A"/>
    <w:rsid w:val="00E13239"/>
    <w:rsid w:val="00E14BA2"/>
    <w:rsid w:val="00E36F14"/>
    <w:rsid w:val="00EB6D7D"/>
    <w:rsid w:val="00ED40F7"/>
    <w:rsid w:val="00ED64E2"/>
    <w:rsid w:val="00F52FDD"/>
    <w:rsid w:val="00F61F07"/>
    <w:rsid w:val="00F80DE7"/>
    <w:rsid w:val="00FB44B8"/>
    <w:rsid w:val="00FE6D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FA95D-E6EB-43C9-8C4A-FAA9CDCB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59"/>
    <w:pPr>
      <w:ind w:left="720"/>
      <w:contextualSpacing/>
    </w:pPr>
  </w:style>
  <w:style w:type="paragraph" w:styleId="FootnoteText">
    <w:name w:val="footnote text"/>
    <w:basedOn w:val="Normal"/>
    <w:link w:val="FootnoteTextChar"/>
    <w:uiPriority w:val="99"/>
    <w:semiHidden/>
    <w:unhideWhenUsed/>
    <w:rsid w:val="009A71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1D8"/>
    <w:rPr>
      <w:sz w:val="20"/>
      <w:szCs w:val="20"/>
    </w:rPr>
  </w:style>
  <w:style w:type="character" w:styleId="FootnoteReference">
    <w:name w:val="footnote reference"/>
    <w:basedOn w:val="DefaultParagraphFont"/>
    <w:uiPriority w:val="99"/>
    <w:semiHidden/>
    <w:unhideWhenUsed/>
    <w:rsid w:val="009A71D8"/>
    <w:rPr>
      <w:vertAlign w:val="superscript"/>
    </w:rPr>
  </w:style>
  <w:style w:type="paragraph" w:styleId="Header">
    <w:name w:val="header"/>
    <w:basedOn w:val="Normal"/>
    <w:link w:val="HeaderChar"/>
    <w:uiPriority w:val="99"/>
    <w:unhideWhenUsed/>
    <w:rsid w:val="00ED6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E2"/>
  </w:style>
  <w:style w:type="paragraph" w:styleId="Footer">
    <w:name w:val="footer"/>
    <w:basedOn w:val="Normal"/>
    <w:link w:val="FooterChar"/>
    <w:uiPriority w:val="99"/>
    <w:unhideWhenUsed/>
    <w:rsid w:val="00ED64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E2"/>
  </w:style>
  <w:style w:type="paragraph" w:styleId="BalloonText">
    <w:name w:val="Balloon Text"/>
    <w:basedOn w:val="Normal"/>
    <w:link w:val="BalloonTextChar"/>
    <w:uiPriority w:val="99"/>
    <w:semiHidden/>
    <w:unhideWhenUsed/>
    <w:rsid w:val="00800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6C47-67E3-4A1A-AABB-23F7ADD49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2020-09-21T06:37:00Z</cp:lastPrinted>
  <dcterms:created xsi:type="dcterms:W3CDTF">2020-10-01T10:04:00Z</dcterms:created>
  <dcterms:modified xsi:type="dcterms:W3CDTF">2020-10-01T10:04:00Z</dcterms:modified>
</cp:coreProperties>
</file>