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556647" w:rsidRDefault="00BB60DB" w:rsidP="00556647">
      <w:pPr>
        <w:pStyle w:val="NoSpacing"/>
        <w:jc w:val="both"/>
        <w:rPr>
          <w:b/>
          <w:szCs w:val="24"/>
        </w:rPr>
      </w:pPr>
      <w:r w:rsidRPr="00556647">
        <w:rPr>
          <w:b/>
          <w:szCs w:val="24"/>
        </w:rPr>
        <w:t>CECILIA MOYO</w:t>
      </w:r>
    </w:p>
    <w:p w:rsidR="00BB60DB" w:rsidRPr="00556647" w:rsidRDefault="00BB60DB" w:rsidP="00556647">
      <w:pPr>
        <w:pStyle w:val="NoSpacing"/>
        <w:jc w:val="both"/>
        <w:rPr>
          <w:b/>
          <w:szCs w:val="24"/>
        </w:rPr>
      </w:pPr>
    </w:p>
    <w:p w:rsidR="00BB60DB" w:rsidRPr="00556647" w:rsidRDefault="00BB60DB" w:rsidP="00556647">
      <w:pPr>
        <w:pStyle w:val="NoSpacing"/>
        <w:jc w:val="both"/>
        <w:rPr>
          <w:b/>
          <w:szCs w:val="24"/>
        </w:rPr>
      </w:pPr>
      <w:r w:rsidRPr="00556647">
        <w:rPr>
          <w:b/>
          <w:szCs w:val="24"/>
        </w:rPr>
        <w:t>Versus</w:t>
      </w:r>
    </w:p>
    <w:p w:rsidR="00BB60DB" w:rsidRPr="00556647" w:rsidRDefault="00BB60DB" w:rsidP="00556647">
      <w:pPr>
        <w:pStyle w:val="NoSpacing"/>
        <w:jc w:val="both"/>
        <w:rPr>
          <w:b/>
          <w:szCs w:val="24"/>
        </w:rPr>
      </w:pPr>
    </w:p>
    <w:p w:rsidR="00BB60DB" w:rsidRPr="00556647" w:rsidRDefault="00BB60DB" w:rsidP="00556647">
      <w:pPr>
        <w:pStyle w:val="NoSpacing"/>
        <w:jc w:val="both"/>
        <w:rPr>
          <w:b/>
          <w:szCs w:val="24"/>
        </w:rPr>
      </w:pPr>
      <w:r w:rsidRPr="00556647">
        <w:rPr>
          <w:b/>
          <w:szCs w:val="24"/>
        </w:rPr>
        <w:t>MARKO DUBE</w:t>
      </w:r>
    </w:p>
    <w:p w:rsidR="00BB60DB" w:rsidRPr="00556647" w:rsidRDefault="00BB60DB" w:rsidP="00556647">
      <w:pPr>
        <w:pStyle w:val="NoSpacing"/>
        <w:jc w:val="both"/>
        <w:rPr>
          <w:b/>
          <w:szCs w:val="24"/>
        </w:rPr>
      </w:pPr>
      <w:r w:rsidRPr="00556647">
        <w:rPr>
          <w:b/>
          <w:szCs w:val="24"/>
        </w:rPr>
        <w:t>(Being Executor of Estate Late Greater Martin Dube)</w:t>
      </w:r>
    </w:p>
    <w:p w:rsidR="00BB60DB" w:rsidRPr="00556647" w:rsidRDefault="00BB60DB" w:rsidP="00556647">
      <w:pPr>
        <w:pStyle w:val="NoSpacing"/>
        <w:jc w:val="both"/>
        <w:rPr>
          <w:b/>
          <w:szCs w:val="24"/>
        </w:rPr>
      </w:pPr>
    </w:p>
    <w:p w:rsidR="00BB60DB" w:rsidRPr="00556647" w:rsidRDefault="00BB60DB" w:rsidP="00556647">
      <w:pPr>
        <w:pStyle w:val="NoSpacing"/>
        <w:jc w:val="both"/>
        <w:rPr>
          <w:b/>
          <w:szCs w:val="24"/>
        </w:rPr>
      </w:pPr>
      <w:r w:rsidRPr="00556647">
        <w:rPr>
          <w:b/>
          <w:szCs w:val="24"/>
        </w:rPr>
        <w:t>And</w:t>
      </w:r>
    </w:p>
    <w:p w:rsidR="00BB60DB" w:rsidRPr="00556647" w:rsidRDefault="00BB60DB" w:rsidP="00556647">
      <w:pPr>
        <w:pStyle w:val="NoSpacing"/>
        <w:jc w:val="both"/>
        <w:rPr>
          <w:b/>
          <w:szCs w:val="24"/>
        </w:rPr>
      </w:pPr>
    </w:p>
    <w:p w:rsidR="00BB60DB" w:rsidRPr="00556647" w:rsidRDefault="00BB60DB" w:rsidP="00556647">
      <w:pPr>
        <w:pStyle w:val="NoSpacing"/>
        <w:jc w:val="both"/>
        <w:rPr>
          <w:b/>
          <w:szCs w:val="24"/>
        </w:rPr>
      </w:pPr>
      <w:r w:rsidRPr="00556647">
        <w:rPr>
          <w:b/>
          <w:szCs w:val="24"/>
        </w:rPr>
        <w:t>MARY DUBE</w:t>
      </w:r>
    </w:p>
    <w:p w:rsidR="00BB60DB" w:rsidRPr="00556647" w:rsidRDefault="00BB60DB" w:rsidP="00556647">
      <w:pPr>
        <w:pStyle w:val="NoSpacing"/>
        <w:jc w:val="both"/>
        <w:rPr>
          <w:b/>
          <w:szCs w:val="24"/>
        </w:rPr>
      </w:pPr>
    </w:p>
    <w:p w:rsidR="00BB60DB" w:rsidRPr="00556647" w:rsidRDefault="00BB60DB" w:rsidP="00556647">
      <w:pPr>
        <w:pStyle w:val="NoSpacing"/>
        <w:jc w:val="both"/>
        <w:rPr>
          <w:b/>
          <w:szCs w:val="24"/>
        </w:rPr>
      </w:pPr>
      <w:r w:rsidRPr="00556647">
        <w:rPr>
          <w:b/>
          <w:szCs w:val="24"/>
        </w:rPr>
        <w:t>And</w:t>
      </w:r>
    </w:p>
    <w:p w:rsidR="00BB60DB" w:rsidRPr="00556647" w:rsidRDefault="00BB60DB" w:rsidP="00556647">
      <w:pPr>
        <w:pStyle w:val="NoSpacing"/>
        <w:jc w:val="both"/>
        <w:rPr>
          <w:b/>
          <w:szCs w:val="24"/>
        </w:rPr>
      </w:pPr>
    </w:p>
    <w:p w:rsidR="00BB60DB" w:rsidRPr="00556647" w:rsidRDefault="00BB60DB" w:rsidP="00556647">
      <w:pPr>
        <w:pStyle w:val="NoSpacing"/>
        <w:jc w:val="both"/>
        <w:rPr>
          <w:b/>
          <w:szCs w:val="24"/>
        </w:rPr>
      </w:pPr>
      <w:r w:rsidRPr="00556647">
        <w:rPr>
          <w:b/>
          <w:szCs w:val="24"/>
        </w:rPr>
        <w:t>DEPUTY MASTER OF HIGH COURT, BULAWAYO</w:t>
      </w:r>
    </w:p>
    <w:p w:rsidR="00BB60DB" w:rsidRPr="00556647" w:rsidRDefault="00BB60DB" w:rsidP="00556647">
      <w:pPr>
        <w:pStyle w:val="NoSpacing"/>
        <w:jc w:val="both"/>
        <w:rPr>
          <w:b/>
          <w:szCs w:val="24"/>
        </w:rPr>
      </w:pPr>
    </w:p>
    <w:p w:rsidR="00BB60DB" w:rsidRPr="00556647" w:rsidRDefault="00BB60DB" w:rsidP="00556647">
      <w:pPr>
        <w:pStyle w:val="NoSpacing"/>
        <w:jc w:val="both"/>
        <w:rPr>
          <w:szCs w:val="24"/>
        </w:rPr>
      </w:pPr>
      <w:r w:rsidRPr="00556647">
        <w:rPr>
          <w:szCs w:val="24"/>
        </w:rPr>
        <w:t>IN THE HIGH COURTOF ZIMBABWE</w:t>
      </w:r>
    </w:p>
    <w:p w:rsidR="00BB60DB" w:rsidRPr="00556647" w:rsidRDefault="00BB60DB" w:rsidP="00556647">
      <w:pPr>
        <w:pStyle w:val="NoSpacing"/>
        <w:jc w:val="both"/>
        <w:rPr>
          <w:szCs w:val="24"/>
        </w:rPr>
      </w:pPr>
      <w:r w:rsidRPr="00556647">
        <w:rPr>
          <w:szCs w:val="24"/>
        </w:rPr>
        <w:t>MABHIKWA J</w:t>
      </w:r>
    </w:p>
    <w:p w:rsidR="00BB60DB" w:rsidRPr="00556647" w:rsidRDefault="00BB60DB" w:rsidP="00556647">
      <w:pPr>
        <w:pStyle w:val="NoSpacing"/>
        <w:jc w:val="both"/>
        <w:rPr>
          <w:szCs w:val="24"/>
        </w:rPr>
      </w:pPr>
      <w:r w:rsidRPr="00556647">
        <w:rPr>
          <w:szCs w:val="24"/>
        </w:rPr>
        <w:t>BULAWAYO 6 FEBRUARY &amp; 2</w:t>
      </w:r>
      <w:r w:rsidR="007B556D">
        <w:rPr>
          <w:szCs w:val="24"/>
        </w:rPr>
        <w:t>1 MAY</w:t>
      </w:r>
      <w:r w:rsidRPr="00556647">
        <w:rPr>
          <w:szCs w:val="24"/>
        </w:rPr>
        <w:t xml:space="preserve"> 2020</w:t>
      </w:r>
    </w:p>
    <w:p w:rsidR="00BB60DB" w:rsidRPr="00556647" w:rsidRDefault="00BB60DB" w:rsidP="00556647">
      <w:pPr>
        <w:pStyle w:val="NoSpacing"/>
        <w:jc w:val="both"/>
        <w:rPr>
          <w:szCs w:val="24"/>
        </w:rPr>
      </w:pPr>
    </w:p>
    <w:p w:rsidR="00BB60DB" w:rsidRPr="00556647" w:rsidRDefault="00BB60DB" w:rsidP="00556647">
      <w:pPr>
        <w:pStyle w:val="NoSpacing"/>
        <w:jc w:val="both"/>
        <w:rPr>
          <w:b/>
          <w:szCs w:val="24"/>
        </w:rPr>
      </w:pPr>
      <w:r w:rsidRPr="00556647">
        <w:rPr>
          <w:b/>
          <w:szCs w:val="24"/>
        </w:rPr>
        <w:t>Unopposed Application</w:t>
      </w:r>
    </w:p>
    <w:p w:rsidR="00BB60DB" w:rsidRPr="00556647" w:rsidRDefault="00BB60DB" w:rsidP="00556647">
      <w:pPr>
        <w:jc w:val="both"/>
        <w:rPr>
          <w:szCs w:val="24"/>
        </w:rPr>
      </w:pPr>
      <w:r w:rsidRPr="00556647">
        <w:rPr>
          <w:szCs w:val="24"/>
        </w:rPr>
        <w:tab/>
      </w:r>
      <w:r w:rsidRPr="00556647">
        <w:rPr>
          <w:b/>
          <w:szCs w:val="24"/>
        </w:rPr>
        <w:t>MABHIKWA J:</w:t>
      </w:r>
      <w:r w:rsidRPr="00556647">
        <w:rPr>
          <w:b/>
          <w:szCs w:val="24"/>
        </w:rPr>
        <w:tab/>
      </w:r>
      <w:r w:rsidRPr="00556647">
        <w:rPr>
          <w:szCs w:val="24"/>
        </w:rPr>
        <w:t>This matter appears to have been placed in motion court more than once.  In short, it does not comply with Order 32 Rules 257, 258 and 259 of the High Court Rules, 1971.</w:t>
      </w:r>
      <w:r w:rsidRPr="00556647">
        <w:rPr>
          <w:szCs w:val="24"/>
        </w:rPr>
        <w:tab/>
      </w:r>
    </w:p>
    <w:p w:rsidR="00BB60DB" w:rsidRPr="00556647" w:rsidRDefault="00BB60DB" w:rsidP="00556647">
      <w:pPr>
        <w:jc w:val="both"/>
        <w:rPr>
          <w:szCs w:val="24"/>
        </w:rPr>
      </w:pPr>
      <w:r w:rsidRPr="00556647">
        <w:rPr>
          <w:szCs w:val="24"/>
        </w:rPr>
        <w:tab/>
        <w:t>Applicant being a self actor, judges have attempted to explain in simpler terms perhaps to no avail.</w:t>
      </w:r>
      <w:r w:rsidR="00141DD8">
        <w:rPr>
          <w:szCs w:val="24"/>
        </w:rPr>
        <w:t xml:space="preserve">  </w:t>
      </w:r>
      <w:r w:rsidRPr="00556647">
        <w:rPr>
          <w:szCs w:val="24"/>
        </w:rPr>
        <w:t>Each time a matter is removed from the roll, the party bringing the matter or application</w:t>
      </w:r>
      <w:r w:rsidR="00346639">
        <w:rPr>
          <w:szCs w:val="24"/>
        </w:rPr>
        <w:t>, a</w:t>
      </w:r>
      <w:r w:rsidRPr="00556647">
        <w:rPr>
          <w:szCs w:val="24"/>
        </w:rPr>
        <w:t xml:space="preserve">s in this case, is in effect being granted indulgence and time to remedy whatever defect there is before </w:t>
      </w:r>
      <w:r w:rsidR="00346639">
        <w:rPr>
          <w:szCs w:val="24"/>
        </w:rPr>
        <w:t xml:space="preserve">setting </w:t>
      </w:r>
      <w:r w:rsidR="00AB4124">
        <w:rPr>
          <w:szCs w:val="24"/>
        </w:rPr>
        <w:t xml:space="preserve">it </w:t>
      </w:r>
      <w:r w:rsidR="00346639">
        <w:rPr>
          <w:szCs w:val="24"/>
        </w:rPr>
        <w:t xml:space="preserve">down </w:t>
      </w:r>
      <w:r w:rsidRPr="00556647">
        <w:rPr>
          <w:szCs w:val="24"/>
        </w:rPr>
        <w:t>again in motion court.</w:t>
      </w:r>
    </w:p>
    <w:p w:rsidR="00BB60DB" w:rsidRPr="00556647" w:rsidRDefault="00BB60DB" w:rsidP="00556647">
      <w:pPr>
        <w:jc w:val="both"/>
        <w:rPr>
          <w:szCs w:val="24"/>
        </w:rPr>
      </w:pPr>
      <w:r w:rsidRPr="00556647">
        <w:rPr>
          <w:szCs w:val="24"/>
        </w:rPr>
        <w:tab/>
        <w:t>In this case, the matter was removed from the roll b</w:t>
      </w:r>
      <w:r w:rsidR="00346639">
        <w:rPr>
          <w:szCs w:val="24"/>
        </w:rPr>
        <w:t>y</w:t>
      </w:r>
      <w:r w:rsidR="00556647" w:rsidRPr="00556647">
        <w:rPr>
          <w:szCs w:val="24"/>
        </w:rPr>
        <w:t xml:space="preserve"> my sister judge Justice M</w:t>
      </w:r>
      <w:r w:rsidR="00556647" w:rsidRPr="00141DD8">
        <w:rPr>
          <w:sz w:val="20"/>
          <w:szCs w:val="20"/>
        </w:rPr>
        <w:t>OYO</w:t>
      </w:r>
      <w:r w:rsidRPr="00141DD8">
        <w:rPr>
          <w:sz w:val="20"/>
          <w:szCs w:val="20"/>
        </w:rPr>
        <w:t xml:space="preserve"> </w:t>
      </w:r>
      <w:r w:rsidRPr="00556647">
        <w:rPr>
          <w:szCs w:val="24"/>
        </w:rPr>
        <w:t>on 4 May 2019 and on 28 December 2019.  Applicant was advised that:</w:t>
      </w:r>
    </w:p>
    <w:p w:rsidR="00BB60DB" w:rsidRPr="00556647" w:rsidRDefault="00BB60DB" w:rsidP="00556647">
      <w:pPr>
        <w:pStyle w:val="ListParagraph"/>
        <w:numPr>
          <w:ilvl w:val="0"/>
          <w:numId w:val="1"/>
        </w:numPr>
        <w:jc w:val="both"/>
        <w:rPr>
          <w:szCs w:val="24"/>
        </w:rPr>
      </w:pPr>
      <w:r w:rsidRPr="00556647">
        <w:rPr>
          <w:szCs w:val="24"/>
        </w:rPr>
        <w:t>Her application did not comply with Order 32 Rule 257</w:t>
      </w:r>
      <w:r w:rsidR="0086509E" w:rsidRPr="00556647">
        <w:rPr>
          <w:szCs w:val="24"/>
        </w:rPr>
        <w:t>.</w:t>
      </w:r>
    </w:p>
    <w:p w:rsidR="0086509E" w:rsidRPr="00556647" w:rsidRDefault="0086509E" w:rsidP="00556647">
      <w:pPr>
        <w:pStyle w:val="ListParagraph"/>
        <w:numPr>
          <w:ilvl w:val="0"/>
          <w:numId w:val="1"/>
        </w:numPr>
        <w:jc w:val="both"/>
        <w:rPr>
          <w:szCs w:val="24"/>
        </w:rPr>
      </w:pPr>
      <w:r w:rsidRPr="00556647">
        <w:rPr>
          <w:szCs w:val="24"/>
        </w:rPr>
        <w:t>T</w:t>
      </w:r>
      <w:r w:rsidR="00346639">
        <w:rPr>
          <w:szCs w:val="24"/>
        </w:rPr>
        <w:t>h</w:t>
      </w:r>
      <w:r w:rsidRPr="00556647">
        <w:rPr>
          <w:szCs w:val="24"/>
        </w:rPr>
        <w:t>ere had been no application for condonation, yet the Estate, being the subject matter of the application had been finalised some 13 years ago in 2006.</w:t>
      </w:r>
    </w:p>
    <w:p w:rsidR="0086509E" w:rsidRPr="00556647" w:rsidRDefault="0086509E" w:rsidP="00556647">
      <w:pPr>
        <w:ind w:firstLine="720"/>
        <w:jc w:val="both"/>
        <w:rPr>
          <w:szCs w:val="24"/>
        </w:rPr>
      </w:pPr>
      <w:r w:rsidRPr="00556647">
        <w:rPr>
          <w:szCs w:val="24"/>
        </w:rPr>
        <w:lastRenderedPageBreak/>
        <w:t>This in effect was explaining to her that the application also did not comply with Order 32 Rule 259 of the same rules of court.</w:t>
      </w:r>
      <w:r w:rsidR="00346639">
        <w:rPr>
          <w:szCs w:val="24"/>
        </w:rPr>
        <w:t xml:space="preserve">  </w:t>
      </w:r>
      <w:r w:rsidRPr="00556647">
        <w:rPr>
          <w:szCs w:val="24"/>
        </w:rPr>
        <w:t xml:space="preserve">On </w:t>
      </w:r>
      <w:r w:rsidR="00346639">
        <w:rPr>
          <w:szCs w:val="24"/>
        </w:rPr>
        <w:t xml:space="preserve">6 February </w:t>
      </w:r>
      <w:r w:rsidRPr="00556647">
        <w:rPr>
          <w:szCs w:val="24"/>
        </w:rPr>
        <w:t>2020, this application came up again in motion court.  This court noted the following:</w:t>
      </w:r>
    </w:p>
    <w:p w:rsidR="0086509E" w:rsidRPr="00556647" w:rsidRDefault="0086509E" w:rsidP="00141DD8">
      <w:pPr>
        <w:pStyle w:val="ListParagraph"/>
        <w:numPr>
          <w:ilvl w:val="0"/>
          <w:numId w:val="2"/>
        </w:numPr>
        <w:ind w:left="1440" w:hanging="720"/>
        <w:jc w:val="both"/>
        <w:rPr>
          <w:szCs w:val="24"/>
        </w:rPr>
      </w:pPr>
      <w:r w:rsidRPr="00556647">
        <w:rPr>
          <w:szCs w:val="24"/>
        </w:rPr>
        <w:t>That the queries by Justice M</w:t>
      </w:r>
      <w:r w:rsidR="00556647" w:rsidRPr="00141DD8">
        <w:rPr>
          <w:sz w:val="20"/>
          <w:szCs w:val="20"/>
        </w:rPr>
        <w:t>OYO</w:t>
      </w:r>
      <w:r w:rsidRPr="00556647">
        <w:rPr>
          <w:szCs w:val="24"/>
        </w:rPr>
        <w:t xml:space="preserve"> had not been remedied.</w:t>
      </w:r>
    </w:p>
    <w:p w:rsidR="0086509E" w:rsidRPr="00556647" w:rsidRDefault="0086509E" w:rsidP="00141DD8">
      <w:pPr>
        <w:pStyle w:val="ListParagraph"/>
        <w:numPr>
          <w:ilvl w:val="0"/>
          <w:numId w:val="2"/>
        </w:numPr>
        <w:ind w:left="1440" w:hanging="720"/>
        <w:jc w:val="both"/>
        <w:rPr>
          <w:szCs w:val="24"/>
        </w:rPr>
      </w:pPr>
      <w:r w:rsidRPr="00556647">
        <w:rPr>
          <w:szCs w:val="24"/>
        </w:rPr>
        <w:t>The court drew the applicant’s attention to the contents of the very detailed Master’s report filed of record.</w:t>
      </w:r>
    </w:p>
    <w:p w:rsidR="0086509E" w:rsidRPr="00556647" w:rsidRDefault="0086509E" w:rsidP="00141DD8">
      <w:pPr>
        <w:pStyle w:val="ListParagraph"/>
        <w:numPr>
          <w:ilvl w:val="0"/>
          <w:numId w:val="2"/>
        </w:numPr>
        <w:ind w:left="1440" w:hanging="720"/>
        <w:jc w:val="both"/>
        <w:rPr>
          <w:szCs w:val="24"/>
        </w:rPr>
      </w:pPr>
      <w:r w:rsidRPr="00556647">
        <w:rPr>
          <w:szCs w:val="24"/>
        </w:rPr>
        <w:t>This court noted and pointed out that the application itself was a long confused application that does not state clearly and concisely what it is all about (Rule 257).</w:t>
      </w:r>
    </w:p>
    <w:p w:rsidR="0086509E" w:rsidRPr="00556647" w:rsidRDefault="0086509E" w:rsidP="00141DD8">
      <w:pPr>
        <w:pStyle w:val="ListParagraph"/>
        <w:numPr>
          <w:ilvl w:val="0"/>
          <w:numId w:val="2"/>
        </w:numPr>
        <w:ind w:left="1440" w:hanging="720"/>
        <w:jc w:val="both"/>
        <w:rPr>
          <w:szCs w:val="24"/>
        </w:rPr>
      </w:pPr>
      <w:r w:rsidRPr="00556647">
        <w:rPr>
          <w:szCs w:val="24"/>
        </w:rPr>
        <w:t>This court pointed out also that the application does not show at all where and how the Additional Assistant Master is alleged to have erred or acted contr</w:t>
      </w:r>
      <w:r w:rsidR="00556647" w:rsidRPr="00556647">
        <w:rPr>
          <w:szCs w:val="24"/>
        </w:rPr>
        <w:t>a</w:t>
      </w:r>
      <w:r w:rsidRPr="00556647">
        <w:rPr>
          <w:szCs w:val="24"/>
        </w:rPr>
        <w:t>ry to procedure.</w:t>
      </w:r>
    </w:p>
    <w:p w:rsidR="0086509E" w:rsidRPr="00556647" w:rsidRDefault="0086509E" w:rsidP="00141DD8">
      <w:pPr>
        <w:pStyle w:val="ListParagraph"/>
        <w:numPr>
          <w:ilvl w:val="0"/>
          <w:numId w:val="2"/>
        </w:numPr>
        <w:ind w:left="1440" w:hanging="720"/>
        <w:jc w:val="both"/>
        <w:rPr>
          <w:szCs w:val="24"/>
        </w:rPr>
      </w:pPr>
      <w:r w:rsidRPr="00556647">
        <w:rPr>
          <w:szCs w:val="24"/>
        </w:rPr>
        <w:t xml:space="preserve">The Additional Assistant </w:t>
      </w:r>
      <w:r w:rsidR="00556647" w:rsidRPr="00556647">
        <w:rPr>
          <w:szCs w:val="24"/>
        </w:rPr>
        <w:t>Master</w:t>
      </w:r>
      <w:r w:rsidRPr="00556647">
        <w:rPr>
          <w:szCs w:val="24"/>
        </w:rPr>
        <w:t xml:space="preserve"> was himself not cited and served.</w:t>
      </w:r>
    </w:p>
    <w:p w:rsidR="0086509E" w:rsidRPr="00556647" w:rsidRDefault="0086509E" w:rsidP="00556647">
      <w:pPr>
        <w:ind w:firstLine="720"/>
        <w:jc w:val="both"/>
        <w:rPr>
          <w:szCs w:val="24"/>
        </w:rPr>
      </w:pPr>
      <w:r w:rsidRPr="00556647">
        <w:rPr>
          <w:szCs w:val="24"/>
        </w:rPr>
        <w:t>It should be noted that whilst it is acknowledged that on 2 January 2019, applicant obtained an order from this court wherein an application filed by Mary Dube (2</w:t>
      </w:r>
      <w:r w:rsidRPr="00556647">
        <w:rPr>
          <w:szCs w:val="24"/>
          <w:vertAlign w:val="superscript"/>
        </w:rPr>
        <w:t>nd</w:t>
      </w:r>
      <w:r w:rsidRPr="00556647">
        <w:rPr>
          <w:szCs w:val="24"/>
        </w:rPr>
        <w:t xml:space="preserve"> respondent herein) under HC 565/18 was dismissed for want of prosecution, this does not mean that applicant’s application </w:t>
      </w:r>
      <w:r w:rsidRPr="00556647">
        <w:rPr>
          <w:i/>
          <w:szCs w:val="24"/>
        </w:rPr>
        <w:t>in c</w:t>
      </w:r>
      <w:r w:rsidR="00556647" w:rsidRPr="00556647">
        <w:rPr>
          <w:i/>
          <w:szCs w:val="24"/>
        </w:rPr>
        <w:t>a</w:t>
      </w:r>
      <w:r w:rsidRPr="00556647">
        <w:rPr>
          <w:i/>
          <w:szCs w:val="24"/>
        </w:rPr>
        <w:t>su</w:t>
      </w:r>
      <w:r w:rsidRPr="00556647">
        <w:rPr>
          <w:szCs w:val="24"/>
        </w:rPr>
        <w:t xml:space="preserve"> should </w:t>
      </w:r>
      <w:r w:rsidR="00556647" w:rsidRPr="00556647">
        <w:rPr>
          <w:szCs w:val="24"/>
        </w:rPr>
        <w:t>now succeed even if it be defective.</w:t>
      </w:r>
    </w:p>
    <w:p w:rsidR="00556647" w:rsidRPr="00556647" w:rsidRDefault="00556647" w:rsidP="00556647">
      <w:pPr>
        <w:ind w:firstLine="720"/>
        <w:jc w:val="both"/>
        <w:rPr>
          <w:szCs w:val="24"/>
        </w:rPr>
      </w:pPr>
      <w:r w:rsidRPr="00556647">
        <w:rPr>
          <w:szCs w:val="24"/>
        </w:rPr>
        <w:t xml:space="preserve">The </w:t>
      </w:r>
      <w:r w:rsidR="00346639">
        <w:rPr>
          <w:szCs w:val="24"/>
        </w:rPr>
        <w:t xml:space="preserve">“affidavit </w:t>
      </w:r>
      <w:r w:rsidRPr="00556647">
        <w:rPr>
          <w:szCs w:val="24"/>
        </w:rPr>
        <w:t>of service</w:t>
      </w:r>
      <w:r w:rsidR="00346639">
        <w:rPr>
          <w:szCs w:val="24"/>
        </w:rPr>
        <w:t>”</w:t>
      </w:r>
      <w:r w:rsidRPr="00556647">
        <w:rPr>
          <w:szCs w:val="24"/>
        </w:rPr>
        <w:t xml:space="preserve"> at page 38 of the application referred to by applicant in her letter under reply was done on 27</w:t>
      </w:r>
      <w:r w:rsidRPr="00556647">
        <w:rPr>
          <w:szCs w:val="24"/>
          <w:vertAlign w:val="superscript"/>
        </w:rPr>
        <w:t>th</w:t>
      </w:r>
      <w:r w:rsidRPr="00556647">
        <w:rPr>
          <w:szCs w:val="24"/>
        </w:rPr>
        <w:t>, 28</w:t>
      </w:r>
      <w:r w:rsidRPr="00556647">
        <w:rPr>
          <w:szCs w:val="24"/>
          <w:vertAlign w:val="superscript"/>
        </w:rPr>
        <w:t>th</w:t>
      </w:r>
      <w:r w:rsidRPr="00556647">
        <w:rPr>
          <w:szCs w:val="24"/>
        </w:rPr>
        <w:t xml:space="preserve"> and 30</w:t>
      </w:r>
      <w:r w:rsidRPr="00556647">
        <w:rPr>
          <w:szCs w:val="24"/>
          <w:vertAlign w:val="superscript"/>
        </w:rPr>
        <w:t>th</w:t>
      </w:r>
      <w:r w:rsidRPr="00556647">
        <w:rPr>
          <w:szCs w:val="24"/>
        </w:rPr>
        <w:t xml:space="preserve"> November 2017 respectively.  It cannot continue to be used after all these other steps and after all these removals from the roll.  A matter removed from the roll, is out of the court system.  If it is resuscitated, then the other parties should be re</w:t>
      </w:r>
      <w:r w:rsidR="00346639">
        <w:rPr>
          <w:szCs w:val="24"/>
        </w:rPr>
        <w:t>-</w:t>
      </w:r>
      <w:r w:rsidRPr="00556647">
        <w:rPr>
          <w:szCs w:val="24"/>
        </w:rPr>
        <w:t>served.</w:t>
      </w:r>
    </w:p>
    <w:p w:rsidR="00556647" w:rsidRDefault="00556647" w:rsidP="00556647">
      <w:pPr>
        <w:ind w:firstLine="720"/>
        <w:jc w:val="both"/>
        <w:rPr>
          <w:szCs w:val="24"/>
        </w:rPr>
      </w:pPr>
      <w:r w:rsidRPr="00556647">
        <w:rPr>
          <w:szCs w:val="24"/>
        </w:rPr>
        <w:t>The court order at page 5 of the application does not state that applicant is granted condonation or condonation to do what.</w:t>
      </w:r>
      <w:r w:rsidR="00346639">
        <w:rPr>
          <w:szCs w:val="24"/>
        </w:rPr>
        <w:t xml:space="preserve">  As it stands the remedy sought would be incompetent.</w:t>
      </w:r>
    </w:p>
    <w:p w:rsidR="00346639" w:rsidRPr="00556647" w:rsidRDefault="00346639" w:rsidP="00346639">
      <w:pPr>
        <w:jc w:val="both"/>
        <w:rPr>
          <w:szCs w:val="24"/>
        </w:rPr>
      </w:pPr>
    </w:p>
    <w:sectPr w:rsidR="00346639" w:rsidRPr="00556647"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B30" w:rsidRDefault="00FE5B30" w:rsidP="00BB60DB">
      <w:pPr>
        <w:spacing w:before="0" w:after="0" w:line="240" w:lineRule="auto"/>
      </w:pPr>
      <w:r>
        <w:separator/>
      </w:r>
    </w:p>
  </w:endnote>
  <w:endnote w:type="continuationSeparator" w:id="1">
    <w:p w:rsidR="00FE5B30" w:rsidRDefault="00FE5B30" w:rsidP="00BB60D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B30" w:rsidRDefault="00FE5B30" w:rsidP="00BB60DB">
      <w:pPr>
        <w:spacing w:before="0" w:after="0" w:line="240" w:lineRule="auto"/>
      </w:pPr>
      <w:r>
        <w:separator/>
      </w:r>
    </w:p>
  </w:footnote>
  <w:footnote w:type="continuationSeparator" w:id="1">
    <w:p w:rsidR="00FE5B30" w:rsidRDefault="00FE5B30" w:rsidP="00BB60D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9993"/>
      <w:docPartObj>
        <w:docPartGallery w:val="Page Numbers (Top of Page)"/>
        <w:docPartUnique/>
      </w:docPartObj>
    </w:sdtPr>
    <w:sdtContent>
      <w:p w:rsidR="00556647" w:rsidRDefault="003A5714">
        <w:pPr>
          <w:pStyle w:val="Header"/>
          <w:jc w:val="right"/>
        </w:pPr>
        <w:fldSimple w:instr=" PAGE   \* MERGEFORMAT ">
          <w:r w:rsidR="007B556D">
            <w:rPr>
              <w:noProof/>
            </w:rPr>
            <w:t>1</w:t>
          </w:r>
        </w:fldSimple>
      </w:p>
      <w:p w:rsidR="00556647" w:rsidRDefault="00556647" w:rsidP="00556647">
        <w:pPr>
          <w:pStyle w:val="NoSpacing"/>
          <w:ind w:left="7920"/>
        </w:pPr>
        <w:r>
          <w:t xml:space="preserve">       HB 57/20</w:t>
        </w:r>
      </w:p>
      <w:p w:rsidR="00556647" w:rsidRDefault="00556647" w:rsidP="00556647">
        <w:pPr>
          <w:pStyle w:val="NoSpacing"/>
          <w:ind w:left="7920"/>
        </w:pPr>
        <w:r>
          <w:t xml:space="preserve">   HC 3121/17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942"/>
    <w:multiLevelType w:val="hybridMultilevel"/>
    <w:tmpl w:val="90D6F382"/>
    <w:lvl w:ilvl="0" w:tplc="5F00D8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CFF7B8A"/>
    <w:multiLevelType w:val="hybridMultilevel"/>
    <w:tmpl w:val="6E0ACCB4"/>
    <w:lvl w:ilvl="0" w:tplc="642EC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B60DB"/>
    <w:rsid w:val="00121FB1"/>
    <w:rsid w:val="00141DD8"/>
    <w:rsid w:val="001833FE"/>
    <w:rsid w:val="001D126B"/>
    <w:rsid w:val="002C7F8A"/>
    <w:rsid w:val="00346639"/>
    <w:rsid w:val="003A3365"/>
    <w:rsid w:val="003A5714"/>
    <w:rsid w:val="003E5BAA"/>
    <w:rsid w:val="0047431B"/>
    <w:rsid w:val="00477B02"/>
    <w:rsid w:val="004F3C46"/>
    <w:rsid w:val="0054317D"/>
    <w:rsid w:val="00556647"/>
    <w:rsid w:val="0068662E"/>
    <w:rsid w:val="006A03C9"/>
    <w:rsid w:val="00701C30"/>
    <w:rsid w:val="007B49A6"/>
    <w:rsid w:val="007B556D"/>
    <w:rsid w:val="007D0B26"/>
    <w:rsid w:val="007D2790"/>
    <w:rsid w:val="0086509E"/>
    <w:rsid w:val="008A7672"/>
    <w:rsid w:val="008C3209"/>
    <w:rsid w:val="00983CE0"/>
    <w:rsid w:val="009E5C1A"/>
    <w:rsid w:val="00A50BC8"/>
    <w:rsid w:val="00AB4124"/>
    <w:rsid w:val="00B57614"/>
    <w:rsid w:val="00BB60DB"/>
    <w:rsid w:val="00C61900"/>
    <w:rsid w:val="00D20B4C"/>
    <w:rsid w:val="00E10C27"/>
    <w:rsid w:val="00FE5B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BB60D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B60DB"/>
    <w:rPr>
      <w:rFonts w:ascii="Times New Roman" w:hAnsi="Times New Roman"/>
      <w:sz w:val="24"/>
    </w:rPr>
  </w:style>
  <w:style w:type="paragraph" w:styleId="Footer">
    <w:name w:val="footer"/>
    <w:basedOn w:val="Normal"/>
    <w:link w:val="FooterChar"/>
    <w:uiPriority w:val="99"/>
    <w:semiHidden/>
    <w:unhideWhenUsed/>
    <w:rsid w:val="00BB60DB"/>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B60DB"/>
    <w:rPr>
      <w:rFonts w:ascii="Times New Roman" w:hAnsi="Times New Roman"/>
      <w:sz w:val="24"/>
    </w:rPr>
  </w:style>
  <w:style w:type="paragraph" w:styleId="ListParagraph">
    <w:name w:val="List Paragraph"/>
    <w:basedOn w:val="Normal"/>
    <w:uiPriority w:val="34"/>
    <w:qFormat/>
    <w:rsid w:val="00BB60D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8</cp:revision>
  <cp:lastPrinted>2020-05-18T07:37:00Z</cp:lastPrinted>
  <dcterms:created xsi:type="dcterms:W3CDTF">2020-03-24T07:30:00Z</dcterms:created>
  <dcterms:modified xsi:type="dcterms:W3CDTF">2020-05-18T07:38:00Z</dcterms:modified>
</cp:coreProperties>
</file>