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8B" w:rsidRDefault="000814E1">
      <w:pPr>
        <w:spacing w:before="80" w:line="360" w:lineRule="auto"/>
        <w:ind w:left="100" w:right="31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23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MAY, 2023</w:t>
      </w:r>
    </w:p>
    <w:p w:rsidR="00DD1E8B" w:rsidRDefault="000814E1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24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AUGUST,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0814E1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the 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:rsidR="00DD1E8B" w:rsidRDefault="00DD1E8B">
      <w:pPr>
        <w:pStyle w:val="BodyText"/>
        <w:rPr>
          <w:rFonts w:ascii="Tahoma"/>
          <w:sz w:val="28"/>
        </w:rPr>
      </w:pPr>
    </w:p>
    <w:p w:rsidR="00DD1E8B" w:rsidRDefault="000814E1">
      <w:pPr>
        <w:spacing w:before="24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CATHERINE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KATSANDE</w:t>
      </w:r>
    </w:p>
    <w:p w:rsidR="00DD1E8B" w:rsidRDefault="00DD1E8B">
      <w:pPr>
        <w:pStyle w:val="BodyText"/>
        <w:spacing w:before="2"/>
        <w:rPr>
          <w:rFonts w:ascii="Tahoma"/>
          <w:b/>
          <w:sz w:val="24"/>
        </w:rPr>
      </w:pPr>
    </w:p>
    <w:p w:rsidR="00DD1E8B" w:rsidRDefault="000814E1">
      <w:pPr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:rsidR="00DD1E8B" w:rsidRDefault="00DD1E8B">
      <w:pPr>
        <w:pStyle w:val="BodyText"/>
        <w:spacing w:before="11"/>
        <w:rPr>
          <w:rFonts w:ascii="Tahoma"/>
          <w:sz w:val="23"/>
        </w:rPr>
      </w:pPr>
    </w:p>
    <w:p w:rsidR="00DD1E8B" w:rsidRDefault="000814E1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PETROZIM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LINE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(PVT)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LTD</w:t>
      </w: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30"/>
        </w:rPr>
      </w:pPr>
    </w:p>
    <w:p w:rsidR="00DD1E8B" w:rsidRDefault="000814E1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Honourable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:rsidR="00DD1E8B" w:rsidRDefault="00DD1E8B">
      <w:pPr>
        <w:pStyle w:val="BodyText"/>
        <w:spacing w:before="8"/>
        <w:rPr>
          <w:rFonts w:ascii="Tahoma"/>
          <w:b/>
          <w:sz w:val="39"/>
        </w:rPr>
      </w:pPr>
    </w:p>
    <w:p w:rsidR="00DD1E8B" w:rsidRDefault="000814E1">
      <w:pPr>
        <w:tabs>
          <w:tab w:val="left" w:pos="1993"/>
          <w:tab w:val="left" w:pos="2025"/>
        </w:tabs>
        <w:spacing w:line="360" w:lineRule="auto"/>
        <w:ind w:left="100" w:right="625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</w:r>
      <w:r>
        <w:rPr>
          <w:rFonts w:ascii="Tahoma"/>
          <w:sz w:val="24"/>
        </w:rPr>
        <w:tab/>
        <w:t>: Advocate T. Mpofu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P.</w:t>
      </w:r>
      <w:r>
        <w:rPr>
          <w:rFonts w:ascii="Tahoma"/>
          <w:spacing w:val="2"/>
          <w:sz w:val="24"/>
        </w:rPr>
        <w:t xml:space="preserve"> </w:t>
      </w:r>
      <w:r>
        <w:rPr>
          <w:rFonts w:ascii="Tahoma"/>
          <w:sz w:val="24"/>
        </w:rPr>
        <w:t>Dube</w:t>
      </w:r>
    </w:p>
    <w:p w:rsidR="00DD1E8B" w:rsidRDefault="00DD1E8B">
      <w:pPr>
        <w:pStyle w:val="BodyText"/>
        <w:rPr>
          <w:rFonts w:ascii="Tahoma"/>
          <w:sz w:val="36"/>
        </w:rPr>
      </w:pPr>
    </w:p>
    <w:p w:rsidR="00DD1E8B" w:rsidRDefault="000814E1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:rsidR="00DD1E8B" w:rsidRDefault="000814E1">
      <w:pPr>
        <w:spacing w:before="87" w:line="360" w:lineRule="auto"/>
        <w:ind w:left="100" w:right="82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LC/H/240/23</w:t>
      </w:r>
      <w:r>
        <w:rPr>
          <w:rFonts w:ascii="Tahoma"/>
          <w:b/>
          <w:spacing w:val="-69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LC/H/863/22</w:t>
      </w: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spacing w:before="4"/>
        <w:rPr>
          <w:rFonts w:ascii="Tahoma"/>
          <w:b/>
          <w:sz w:val="31"/>
        </w:rPr>
      </w:pPr>
    </w:p>
    <w:p w:rsidR="00DD1E8B" w:rsidRDefault="000814E1">
      <w:pPr>
        <w:ind w:left="976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Applicant</w:t>
      </w: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DD1E8B">
      <w:pPr>
        <w:pStyle w:val="BodyText"/>
        <w:rPr>
          <w:rFonts w:ascii="Tahoma"/>
          <w:b/>
          <w:sz w:val="28"/>
        </w:rPr>
      </w:pPr>
    </w:p>
    <w:p w:rsidR="00DD1E8B" w:rsidRDefault="000814E1">
      <w:pPr>
        <w:spacing w:before="194"/>
        <w:ind w:left="931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Respondent</w:t>
      </w:r>
    </w:p>
    <w:p w:rsidR="00DD1E8B" w:rsidRDefault="00DD1E8B">
      <w:pPr>
        <w:rPr>
          <w:rFonts w:ascii="Tahoma"/>
          <w:sz w:val="24"/>
        </w:rPr>
        <w:sectPr w:rsidR="00DD1E8B">
          <w:footerReference w:type="default" r:id="rId7"/>
          <w:type w:val="continuous"/>
          <w:pgSz w:w="12240" w:h="15840"/>
          <w:pgMar w:top="1360" w:right="1320" w:bottom="1200" w:left="1340" w:header="720" w:footer="1004" w:gutter="0"/>
          <w:pgNumType w:start="1"/>
          <w:cols w:num="2" w:space="720" w:equalWidth="0">
            <w:col w:w="4806" w:space="974"/>
            <w:col w:w="3800"/>
          </w:cols>
        </w:sectPr>
      </w:pPr>
    </w:p>
    <w:p w:rsidR="00DD1E8B" w:rsidRDefault="00DD1E8B">
      <w:pPr>
        <w:pStyle w:val="BodyText"/>
        <w:rPr>
          <w:rFonts w:ascii="Tahoma"/>
          <w:b/>
          <w:sz w:val="20"/>
        </w:rPr>
      </w:pPr>
    </w:p>
    <w:p w:rsidR="00DD1E8B" w:rsidRDefault="00DD1E8B">
      <w:pPr>
        <w:pStyle w:val="BodyText"/>
        <w:rPr>
          <w:rFonts w:ascii="Tahoma"/>
          <w:b/>
          <w:sz w:val="20"/>
        </w:rPr>
      </w:pPr>
    </w:p>
    <w:p w:rsidR="00DD1E8B" w:rsidRDefault="00DD1E8B">
      <w:pPr>
        <w:pStyle w:val="BodyText"/>
        <w:rPr>
          <w:rFonts w:ascii="Tahoma"/>
          <w:b/>
          <w:sz w:val="20"/>
        </w:rPr>
      </w:pPr>
    </w:p>
    <w:p w:rsidR="00DD1E8B" w:rsidRDefault="00DD1E8B">
      <w:pPr>
        <w:pStyle w:val="BodyText"/>
        <w:spacing w:before="8"/>
        <w:rPr>
          <w:rFonts w:ascii="Tahoma"/>
          <w:b/>
          <w:sz w:val="20"/>
        </w:rPr>
      </w:pPr>
    </w:p>
    <w:p w:rsidR="00DD1E8B" w:rsidRDefault="000814E1">
      <w:pPr>
        <w:pStyle w:val="BodyText"/>
        <w:spacing w:before="56" w:line="256" w:lineRule="auto"/>
        <w:ind w:left="100" w:right="770"/>
      </w:pPr>
      <w:r>
        <w:t>This is an application for condonation and also for leave to appeal this court’s judgement number</w:t>
      </w:r>
      <w:r>
        <w:rPr>
          <w:spacing w:val="-47"/>
        </w:rPr>
        <w:t xml:space="preserve"> </w:t>
      </w:r>
      <w:r>
        <w:t>LC/H/250/19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Supreme</w:t>
      </w:r>
      <w:r>
        <w:rPr>
          <w:spacing w:val="-2"/>
        </w:rPr>
        <w:t xml:space="preserve"> </w:t>
      </w:r>
      <w:r>
        <w:t>Court.</w:t>
      </w:r>
    </w:p>
    <w:p w:rsidR="00DD1E8B" w:rsidRDefault="000814E1">
      <w:pPr>
        <w:pStyle w:val="BodyText"/>
        <w:spacing w:before="164" w:line="259" w:lineRule="auto"/>
        <w:ind w:left="100" w:right="127"/>
      </w:pPr>
      <w:r>
        <w:t>When the matter was heard the respondent raised a preliminary point and it was that the application</w:t>
      </w:r>
      <w:r>
        <w:rPr>
          <w:spacing w:val="1"/>
        </w:rPr>
        <w:t xml:space="preserve"> </w:t>
      </w:r>
      <w:r>
        <w:t>being a composite one, w</w:t>
      </w:r>
      <w:r>
        <w:t>as not in terms of the Labour Act [chapter 28:01] (the Act) and neither was it in</w:t>
      </w:r>
      <w:r>
        <w:rPr>
          <w:spacing w:val="-47"/>
        </w:rPr>
        <w:t xml:space="preserve"> </w:t>
      </w:r>
      <w:r>
        <w:t>terms of the Labour Court Rules, 2017. The Labour Court being a creature of statute could only exercise</w:t>
      </w:r>
      <w:r>
        <w:rPr>
          <w:spacing w:val="1"/>
        </w:rPr>
        <w:t xml:space="preserve"> </w:t>
      </w:r>
      <w:r>
        <w:t xml:space="preserve">powers that are derived from the enabling statute and or regulations. </w:t>
      </w:r>
      <w:r>
        <w:t>It was argued that this application</w:t>
      </w:r>
      <w:r>
        <w:rPr>
          <w:spacing w:val="-47"/>
        </w:rPr>
        <w:t xml:space="preserve"> </w:t>
      </w:r>
      <w:r>
        <w:t>was irregular and defective because it was not in terms of the Act and neither was it in terms of the</w:t>
      </w:r>
      <w:r>
        <w:rPr>
          <w:spacing w:val="1"/>
        </w:rPr>
        <w:t xml:space="preserve"> </w:t>
      </w:r>
      <w:r>
        <w:t>rules. It was argued that the application must be struck off with costs. In response, advocate Mpofu</w:t>
      </w:r>
      <w:r>
        <w:rPr>
          <w:spacing w:val="1"/>
        </w:rPr>
        <w:t xml:space="preserve"> </w:t>
      </w:r>
      <w:r>
        <w:t>argued that since</w:t>
      </w:r>
      <w:r>
        <w:t xml:space="preserve"> the parties had consented to the order to reinstate, this implied that there was a case</w:t>
      </w:r>
      <w:r>
        <w:rPr>
          <w:spacing w:val="1"/>
        </w:rPr>
        <w:t xml:space="preserve"> </w:t>
      </w:r>
      <w:r>
        <w:t>to reinstate and the respondent should be estopped from raising the point that there is no proper</w:t>
      </w:r>
      <w:r>
        <w:rPr>
          <w:spacing w:val="1"/>
        </w:rPr>
        <w:t xml:space="preserve"> </w:t>
      </w:r>
      <w:r>
        <w:t>application before the court.</w:t>
      </w:r>
      <w:r>
        <w:rPr>
          <w:spacing w:val="1"/>
        </w:rPr>
        <w:t xml:space="preserve"> </w:t>
      </w:r>
      <w:r>
        <w:t>Secondly,</w:t>
      </w:r>
      <w:r>
        <w:rPr>
          <w:spacing w:val="3"/>
        </w:rPr>
        <w:t xml:space="preserve"> </w:t>
      </w:r>
      <w:r>
        <w:t>he submitted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positio</w:t>
      </w:r>
      <w:r>
        <w:t>n</w:t>
      </w:r>
      <w:r>
        <w:rPr>
          <w:spacing w:val="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Labour</w:t>
      </w:r>
      <w:r>
        <w:rPr>
          <w:spacing w:val="3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creature of statute speaks to the court’s substantive powers and not its tactical approaches to litigation.</w:t>
      </w:r>
      <w:r>
        <w:rPr>
          <w:spacing w:val="1"/>
        </w:rPr>
        <w:t xml:space="preserve"> </w:t>
      </w:r>
      <w:r>
        <w:t>It was</w:t>
      </w:r>
      <w:r>
        <w:rPr>
          <w:spacing w:val="-2"/>
        </w:rPr>
        <w:t xml:space="preserve"> </w:t>
      </w:r>
      <w:r>
        <w:t>argued 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 Court has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hear</w:t>
      </w:r>
      <w:r>
        <w:rPr>
          <w:spacing w:val="1"/>
        </w:rPr>
        <w:t xml:space="preserve"> </w:t>
      </w:r>
      <w:r>
        <w:t>applications for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</w:t>
      </w:r>
    </w:p>
    <w:p w:rsidR="00DD1E8B" w:rsidRDefault="00DD1E8B">
      <w:pPr>
        <w:spacing w:line="259" w:lineRule="auto"/>
        <w:sectPr w:rsidR="00DD1E8B">
          <w:type w:val="continuous"/>
          <w:pgSz w:w="12240" w:h="15840"/>
          <w:pgMar w:top="1360" w:right="1320" w:bottom="1200" w:left="1340" w:header="720" w:footer="720" w:gutter="0"/>
          <w:cols w:space="720"/>
        </w:sectPr>
      </w:pPr>
    </w:p>
    <w:p w:rsidR="00DD1E8B" w:rsidRDefault="000814E1">
      <w:pPr>
        <w:pStyle w:val="BodyText"/>
        <w:spacing w:before="39" w:line="259" w:lineRule="auto"/>
        <w:ind w:left="100" w:right="135"/>
      </w:pPr>
      <w:r>
        <w:lastRenderedPageBreak/>
        <w:t>applications for leave to appeal. The court has these powers in terms of its enabling Act and in deciding</w:t>
      </w:r>
      <w:r>
        <w:rPr>
          <w:spacing w:val="1"/>
        </w:rPr>
        <w:t xml:space="preserve"> </w:t>
      </w:r>
      <w:r>
        <w:t>to hear the cases together, it is merely tactical and does not require a rule or other authority to be able</w:t>
      </w:r>
      <w:r>
        <w:rPr>
          <w:spacing w:val="1"/>
        </w:rPr>
        <w:t xml:space="preserve"> </w:t>
      </w:r>
      <w:r>
        <w:t>to deal with combined applications. He arg</w:t>
      </w:r>
      <w:r>
        <w:t>ued that the Supreme Court had already decided in the cases</w:t>
      </w:r>
      <w:r>
        <w:rPr>
          <w:spacing w:val="1"/>
        </w:rPr>
        <w:t xml:space="preserve"> </w:t>
      </w:r>
      <w:r>
        <w:t xml:space="preserve">of </w:t>
      </w:r>
      <w:r>
        <w:rPr>
          <w:b/>
        </w:rPr>
        <w:t xml:space="preserve">Reed v Gardner SC 70/19N </w:t>
      </w:r>
      <w:r>
        <w:t xml:space="preserve">t P.11 and </w:t>
      </w:r>
      <w:r>
        <w:rPr>
          <w:b/>
        </w:rPr>
        <w:t xml:space="preserve">Mangwiro v Zac SC 94/19 and Zac v Mangwiro SC 11/22 </w:t>
      </w:r>
      <w:r>
        <w:t>where</w:t>
      </w:r>
      <w:r>
        <w:rPr>
          <w:spacing w:val="-47"/>
        </w:rPr>
        <w:t xml:space="preserve"> </w:t>
      </w:r>
      <w:r>
        <w:t>similar issues were raised that the court can hear composite applications. It was submitted that th</w:t>
      </w:r>
      <w:r>
        <w:t>e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being overly</w:t>
      </w:r>
      <w:r>
        <w:rPr>
          <w:spacing w:val="2"/>
        </w:rPr>
        <w:t xml:space="preserve"> </w:t>
      </w:r>
      <w:r>
        <w:t>fastidious</w:t>
      </w:r>
      <w:r>
        <w:rPr>
          <w:spacing w:val="2"/>
        </w:rPr>
        <w:t xml:space="preserve"> </w:t>
      </w:r>
      <w:r>
        <w:t>in its approach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technicalities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matters.</w:t>
      </w:r>
    </w:p>
    <w:p w:rsidR="00DD1E8B" w:rsidRDefault="000814E1">
      <w:pPr>
        <w:pStyle w:val="BodyText"/>
        <w:spacing w:before="159" w:line="259" w:lineRule="auto"/>
        <w:ind w:left="100" w:right="141"/>
      </w:pPr>
      <w:r>
        <w:t>The respondent denied that the fact that they had consented to the reinstatement of the matter did not</w:t>
      </w:r>
      <w:r>
        <w:rPr>
          <w:spacing w:val="-47"/>
        </w:rPr>
        <w:t xml:space="preserve"> </w:t>
      </w:r>
      <w:r>
        <w:t>in anyway mean that they were not</w:t>
      </w:r>
      <w:r>
        <w:t xml:space="preserve"> going to challenge the application when it was eventually placed</w:t>
      </w:r>
      <w:r>
        <w:rPr>
          <w:spacing w:val="1"/>
        </w:rPr>
        <w:t xml:space="preserve"> </w:t>
      </w:r>
      <w:r>
        <w:t>before the court. It consented to the matter being reinstated. The respondent remained free to</w:t>
      </w:r>
      <w:r>
        <w:rPr>
          <w:spacing w:val="1"/>
        </w:rPr>
        <w:t xml:space="preserve"> </w:t>
      </w:r>
      <w:r>
        <w:t xml:space="preserve">challenge the application. The respondent further argues that the case of </w:t>
      </w:r>
      <w:r>
        <w:rPr>
          <w:b/>
        </w:rPr>
        <w:t xml:space="preserve">Zac v Mangwiro </w:t>
      </w:r>
      <w:r>
        <w:t>is</w:t>
      </w:r>
      <w:r>
        <w:rPr>
          <w:spacing w:val="1"/>
        </w:rPr>
        <w:t xml:space="preserve"> </w:t>
      </w:r>
      <w:r>
        <w:t>dis</w:t>
      </w:r>
      <w:r>
        <w:t>tinguishable as it was talking to the Supreme Court’s powers to regulate its own process. The Labour</w:t>
      </w:r>
      <w:r>
        <w:rPr>
          <w:spacing w:val="1"/>
        </w:rPr>
        <w:t xml:space="preserve"> </w:t>
      </w:r>
      <w:r>
        <w:t xml:space="preserve">Court on the other hand has no powers to regulate its own processes. He also referred to </w:t>
      </w:r>
      <w:r>
        <w:rPr>
          <w:b/>
        </w:rPr>
        <w:t>Pomurema</w:t>
      </w:r>
      <w:r>
        <w:rPr>
          <w:b/>
          <w:spacing w:val="1"/>
        </w:rPr>
        <w:t xml:space="preserve"> </w:t>
      </w:r>
      <w:r>
        <w:rPr>
          <w:b/>
        </w:rPr>
        <w:t xml:space="preserve">and anor v telone SC 86/2014 </w:t>
      </w:r>
      <w:r>
        <w:t>and stated that all the case</w:t>
      </w:r>
      <w:r>
        <w:t>s are dealing with application before the</w:t>
      </w:r>
      <w:r>
        <w:rPr>
          <w:spacing w:val="1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Court.</w:t>
      </w:r>
    </w:p>
    <w:p w:rsidR="00DD1E8B" w:rsidRDefault="000814E1">
      <w:pPr>
        <w:pStyle w:val="BodyText"/>
        <w:spacing w:before="159" w:line="259" w:lineRule="auto"/>
        <w:ind w:left="100" w:right="132"/>
      </w:pPr>
      <w:r>
        <w:t>It was not disputed by the applicant that the Act and the rules do not provide for composite applications</w:t>
      </w:r>
      <w:r>
        <w:rPr>
          <w:spacing w:val="-47"/>
        </w:rPr>
        <w:t xml:space="preserve"> </w:t>
      </w:r>
      <w:r>
        <w:t>but it was argued that the Act and the Rules need only to give the authority to deal with the particular</w:t>
      </w:r>
      <w:r>
        <w:rPr>
          <w:spacing w:val="1"/>
        </w:rPr>
        <w:t xml:space="preserve"> </w:t>
      </w:r>
      <w:r>
        <w:t>applications which was the case in casu. The fact that the authorized applications can be heard together</w:t>
      </w:r>
      <w:r>
        <w:rPr>
          <w:spacing w:val="-47"/>
        </w:rPr>
        <w:t xml:space="preserve"> </w:t>
      </w:r>
      <w:r>
        <w:t>was not an issue that went to the Court’s auth</w:t>
      </w:r>
      <w:r>
        <w:t>ority but was merely a tactical issue which a Court can</w:t>
      </w:r>
      <w:r>
        <w:rPr>
          <w:spacing w:val="1"/>
        </w:rPr>
        <w:t xml:space="preserve"> </w:t>
      </w:r>
      <w:r>
        <w:t>adopt for its</w:t>
      </w:r>
      <w:r>
        <w:rPr>
          <w:spacing w:val="-2"/>
        </w:rPr>
        <w:t xml:space="preserve"> </w:t>
      </w:r>
      <w:r>
        <w:t>convenience.</w:t>
      </w:r>
    </w:p>
    <w:p w:rsidR="00DD1E8B" w:rsidRDefault="000814E1">
      <w:pPr>
        <w:pStyle w:val="BodyText"/>
        <w:spacing w:before="158" w:line="259" w:lineRule="auto"/>
        <w:ind w:left="100" w:right="132"/>
      </w:pPr>
      <w:r>
        <w:t>I agree with Mr. Mpofu that the issue of combining two applications does not speak to the court’s</w:t>
      </w:r>
      <w:r>
        <w:rPr>
          <w:spacing w:val="1"/>
        </w:rPr>
        <w:t xml:space="preserve"> </w:t>
      </w:r>
      <w:r>
        <w:t>authority. One will need to be satisfied that the Court has the authority t</w:t>
      </w:r>
      <w:r>
        <w:t>o deal with the applications in</w:t>
      </w:r>
      <w:r>
        <w:rPr>
          <w:spacing w:val="1"/>
        </w:rPr>
        <w:t xml:space="preserve"> </w:t>
      </w:r>
      <w:r>
        <w:t>terms of the Act. If the Court has the authority, how it may decide to deal with the applications is really</w:t>
      </w:r>
      <w:r>
        <w:rPr>
          <w:spacing w:val="1"/>
        </w:rPr>
        <w:t xml:space="preserve"> </w:t>
      </w:r>
      <w:r>
        <w:t>up to the Court, and the litigants. The Court will not be doing something that it is not authorized to do</w:t>
      </w:r>
      <w:r>
        <w:rPr>
          <w:spacing w:val="1"/>
        </w:rPr>
        <w:t xml:space="preserve"> </w:t>
      </w:r>
      <w:r>
        <w:t>but hearin</w:t>
      </w:r>
      <w:r>
        <w:t>g the authorized applications in a manner and way that is convenient and will secure an</w:t>
      </w:r>
      <w:r>
        <w:rPr>
          <w:spacing w:val="1"/>
        </w:rPr>
        <w:t xml:space="preserve"> </w:t>
      </w:r>
      <w:r>
        <w:t>effective and also the expeditious resolution of disputes in line with section 2A (f) of the Act. The</w:t>
      </w:r>
      <w:r>
        <w:rPr>
          <w:spacing w:val="1"/>
        </w:rPr>
        <w:t xml:space="preserve"> </w:t>
      </w:r>
      <w:r>
        <w:t>Supreme Court can regulate its own processes. The Labour Court, is</w:t>
      </w:r>
      <w:r>
        <w:t xml:space="preserve"> in terms of the above provision of</w:t>
      </w:r>
      <w:r>
        <w:rPr>
          <w:spacing w:val="1"/>
        </w:rPr>
        <w:t xml:space="preserve"> </w:t>
      </w:r>
      <w:r>
        <w:t>the Act, also empowered to regulate its own processes in a manner that will best achieve the effective</w:t>
      </w:r>
      <w:r>
        <w:rPr>
          <w:spacing w:val="1"/>
        </w:rPr>
        <w:t xml:space="preserve"> </w:t>
      </w:r>
      <w:r>
        <w:t>and expeditious resolution of disputes. The Court is also empowered in terms of its rules, to authorize or</w:t>
      </w:r>
      <w:r>
        <w:rPr>
          <w:spacing w:val="-47"/>
        </w:rPr>
        <w:t xml:space="preserve"> </w:t>
      </w:r>
      <w:r>
        <w:t xml:space="preserve">condone a </w:t>
      </w:r>
      <w:r>
        <w:t>departure from any of its rules where the Court is satisfied that the departure is required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fairness.</w:t>
      </w:r>
      <w:r>
        <w:rPr>
          <w:spacing w:val="2"/>
        </w:rPr>
        <w:t xml:space="preserve"> </w:t>
      </w:r>
      <w:r>
        <w:t>The Court</w:t>
      </w:r>
      <w:r>
        <w:rPr>
          <w:spacing w:val="1"/>
        </w:rPr>
        <w:t xml:space="preserve"> </w:t>
      </w:r>
      <w:r>
        <w:t>can also</w:t>
      </w:r>
      <w:r>
        <w:rPr>
          <w:spacing w:val="1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in respect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not expressly provided for in its rules as may appear to</w:t>
      </w:r>
      <w:r>
        <w:t xml:space="preserve"> the Judge to be just, expedient and equitable see</w:t>
      </w:r>
      <w:r>
        <w:rPr>
          <w:spacing w:val="-47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32.</w:t>
      </w:r>
    </w:p>
    <w:p w:rsidR="00DD1E8B" w:rsidRDefault="000814E1">
      <w:pPr>
        <w:pStyle w:val="BodyText"/>
        <w:spacing w:before="160" w:line="259" w:lineRule="auto"/>
        <w:ind w:left="100" w:right="283"/>
      </w:pPr>
      <w:r>
        <w:t>It is my considered view therefore that the Court is authorized to regulate its own processes. The</w:t>
      </w:r>
      <w:r>
        <w:rPr>
          <w:spacing w:val="1"/>
        </w:rPr>
        <w:t xml:space="preserve"> </w:t>
      </w:r>
      <w:r>
        <w:t>distinction that the learned representative of the respondent is seeking to rely on is really non</w:t>
      </w:r>
      <w:r>
        <w:t>existent.</w:t>
      </w:r>
      <w:r>
        <w:rPr>
          <w:spacing w:val="-47"/>
        </w:rPr>
        <w:t xml:space="preserve"> </w:t>
      </w:r>
      <w:r>
        <w:t xml:space="preserve">The Labour Court can regulate its processes and in terms of its own rules. The authority of </w:t>
      </w:r>
      <w:r>
        <w:rPr>
          <w:b/>
        </w:rPr>
        <w:t>Zac and</w:t>
      </w:r>
      <w:r>
        <w:rPr>
          <w:b/>
          <w:spacing w:val="1"/>
        </w:rPr>
        <w:t xml:space="preserve"> </w:t>
      </w:r>
      <w:r>
        <w:rPr>
          <w:b/>
        </w:rPr>
        <w:t>Mangwiro</w:t>
      </w:r>
      <w:r>
        <w:rPr>
          <w:b/>
          <w:spacing w:val="-2"/>
        </w:rPr>
        <w:t xml:space="preserve"> </w:t>
      </w:r>
      <w:r>
        <w:rPr>
          <w:b/>
        </w:rPr>
        <w:t>(supra)</w:t>
      </w:r>
      <w:r>
        <w:rPr>
          <w:b/>
          <w:spacing w:val="1"/>
        </w:rPr>
        <w:t xml:space="preserve"> </w:t>
      </w:r>
      <w:r>
        <w:t>is fully binding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Court.</w:t>
      </w:r>
    </w:p>
    <w:p w:rsidR="00DD1E8B" w:rsidRDefault="000814E1">
      <w:pPr>
        <w:pStyle w:val="BodyText"/>
        <w:spacing w:before="157" w:line="259" w:lineRule="auto"/>
        <w:ind w:left="100" w:right="106"/>
      </w:pPr>
      <w:r>
        <w:t>I however do not accept Mr. Mpofu’s argument that estoppel arises in the circumstance of this case. The</w:t>
      </w:r>
      <w:r>
        <w:rPr>
          <w:spacing w:val="-47"/>
        </w:rPr>
        <w:t xml:space="preserve"> </w:t>
      </w:r>
      <w:r>
        <w:t>respondent agreed to have the matter reinstated. This was not to agree with the applicant’s position in</w:t>
      </w:r>
      <w:r>
        <w:rPr>
          <w:spacing w:val="1"/>
        </w:rPr>
        <w:t xml:space="preserve"> </w:t>
      </w:r>
      <w:r>
        <w:t>the issues that would be raised by the applicant</w:t>
      </w:r>
      <w:r>
        <w:t xml:space="preserve"> after the matter is reinstated. For this reason, the</w:t>
      </w:r>
      <w:r>
        <w:rPr>
          <w:spacing w:val="1"/>
        </w:rPr>
        <w:t xml:space="preserve"> </w:t>
      </w:r>
      <w:r>
        <w:t>argument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favour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Court.</w:t>
      </w:r>
    </w:p>
    <w:p w:rsidR="00DD1E8B" w:rsidRDefault="00DD1E8B">
      <w:pPr>
        <w:spacing w:line="259" w:lineRule="auto"/>
        <w:sectPr w:rsidR="00DD1E8B">
          <w:pgSz w:w="12240" w:h="15840"/>
          <w:pgMar w:top="1400" w:right="1320" w:bottom="1200" w:left="1340" w:header="0" w:footer="1004" w:gutter="0"/>
          <w:cols w:space="720"/>
        </w:sectPr>
      </w:pPr>
    </w:p>
    <w:p w:rsidR="00DD1E8B" w:rsidRDefault="000814E1">
      <w:pPr>
        <w:pStyle w:val="BodyText"/>
        <w:spacing w:before="39" w:line="259" w:lineRule="auto"/>
        <w:ind w:left="100" w:right="309"/>
      </w:pPr>
      <w:r>
        <w:lastRenderedPageBreak/>
        <w:t xml:space="preserve">On the authority of </w:t>
      </w:r>
      <w:r>
        <w:rPr>
          <w:b/>
        </w:rPr>
        <w:t xml:space="preserve">Zac v Mangwiro (supra) </w:t>
      </w:r>
      <w:r>
        <w:t>the application is found to be properly before the Court in</w:t>
      </w:r>
      <w:r>
        <w:rPr>
          <w:spacing w:val="-47"/>
        </w:rPr>
        <w:t xml:space="preserve"> </w:t>
      </w:r>
      <w:r>
        <w:t>its current</w:t>
      </w:r>
      <w:r>
        <w:rPr>
          <w:spacing w:val="-2"/>
        </w:rPr>
        <w:t xml:space="preserve"> </w:t>
      </w:r>
      <w:r>
        <w:t>form.</w:t>
      </w:r>
    </w:p>
    <w:p w:rsidR="00DD1E8B" w:rsidRDefault="000814E1">
      <w:pPr>
        <w:pStyle w:val="BodyText"/>
        <w:spacing w:before="160" w:line="259" w:lineRule="auto"/>
        <w:ind w:left="100" w:right="121"/>
      </w:pPr>
      <w:r>
        <w:rPr>
          <w:u w:val="single"/>
        </w:rPr>
        <w:t>Whether or not the applicant should be condoned for failure to file the application within the prescribed</w:t>
      </w:r>
      <w:r>
        <w:rPr>
          <w:spacing w:val="-47"/>
        </w:rPr>
        <w:t xml:space="preserve"> </w:t>
      </w:r>
      <w:r>
        <w:rPr>
          <w:u w:val="single"/>
        </w:rPr>
        <w:t>time</w:t>
      </w:r>
      <w:r>
        <w:rPr>
          <w:spacing w:val="-2"/>
          <w:u w:val="single"/>
        </w:rPr>
        <w:t xml:space="preserve"> </w:t>
      </w:r>
      <w:r>
        <w:rPr>
          <w:u w:val="single"/>
        </w:rPr>
        <w:t>limits.</w:t>
      </w:r>
    </w:p>
    <w:p w:rsidR="00DD1E8B" w:rsidRDefault="00DD1E8B">
      <w:pPr>
        <w:pStyle w:val="BodyText"/>
        <w:spacing w:before="5"/>
        <w:rPr>
          <w:sz w:val="8"/>
        </w:rPr>
      </w:pPr>
    </w:p>
    <w:p w:rsidR="00DD1E8B" w:rsidRDefault="000814E1">
      <w:pPr>
        <w:spacing w:before="56"/>
        <w:ind w:left="100"/>
        <w:rPr>
          <w:b/>
        </w:rPr>
      </w:pPr>
      <w:r>
        <w:t>The</w:t>
      </w:r>
      <w:r>
        <w:rPr>
          <w:spacing w:val="-1"/>
        </w:rPr>
        <w:t xml:space="preserve"> </w:t>
      </w:r>
      <w:r>
        <w:t>requirements 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condonations</w:t>
      </w:r>
      <w:r>
        <w:rPr>
          <w:spacing w:val="-3"/>
        </w:rPr>
        <w:t xml:space="preserve"> </w:t>
      </w:r>
      <w:r>
        <w:t>are,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Forestry</w:t>
      </w:r>
      <w:r>
        <w:rPr>
          <w:b/>
          <w:spacing w:val="-2"/>
        </w:rPr>
        <w:t xml:space="preserve"> </w:t>
      </w:r>
      <w:r>
        <w:rPr>
          <w:b/>
        </w:rPr>
        <w:t>Commission v Moyo</w:t>
      </w:r>
      <w:r>
        <w:rPr>
          <w:b/>
          <w:spacing w:val="-3"/>
        </w:rPr>
        <w:t xml:space="preserve"> </w:t>
      </w:r>
      <w:r>
        <w:rPr>
          <w:b/>
        </w:rPr>
        <w:t>1997</w:t>
      </w:r>
    </w:p>
    <w:p w:rsidR="00DD1E8B" w:rsidRDefault="000814E1">
      <w:pPr>
        <w:pStyle w:val="ListParagraph"/>
        <w:numPr>
          <w:ilvl w:val="0"/>
          <w:numId w:val="2"/>
        </w:numPr>
        <w:tabs>
          <w:tab w:val="left" w:pos="401"/>
        </w:tabs>
        <w:ind w:hanging="301"/>
      </w:pPr>
      <w:r>
        <w:rPr>
          <w:b/>
        </w:rPr>
        <w:t>ZLR</w:t>
      </w:r>
      <w:r>
        <w:rPr>
          <w:b/>
          <w:spacing w:val="-3"/>
        </w:rPr>
        <w:t xml:space="preserve"> </w:t>
      </w:r>
      <w:r>
        <w:rPr>
          <w:b/>
        </w:rPr>
        <w:t>254</w:t>
      </w:r>
      <w:r>
        <w:rPr>
          <w:b/>
          <w:spacing w:val="-3"/>
        </w:rPr>
        <w:t xml:space="preserve"> </w:t>
      </w:r>
      <w:r>
        <w:rPr>
          <w:b/>
        </w:rPr>
        <w:t xml:space="preserve">(S). </w:t>
      </w:r>
      <w:r>
        <w:t>These</w:t>
      </w:r>
      <w:r>
        <w:rPr>
          <w:spacing w:val="-1"/>
        </w:rPr>
        <w:t xml:space="preserve"> </w:t>
      </w:r>
      <w:r>
        <w:t>are,</w:t>
      </w:r>
    </w:p>
    <w:p w:rsidR="00DD1E8B" w:rsidRDefault="000814E1">
      <w:pPr>
        <w:pStyle w:val="ListParagraph"/>
        <w:numPr>
          <w:ilvl w:val="1"/>
          <w:numId w:val="2"/>
        </w:numPr>
        <w:tabs>
          <w:tab w:val="left" w:pos="821"/>
        </w:tabs>
        <w:spacing w:before="183"/>
        <w:ind w:hanging="361"/>
      </w:pPr>
      <w:r>
        <w:t>The</w:t>
      </w:r>
      <w:r>
        <w:rPr>
          <w:spacing w:val="-1"/>
        </w:rPr>
        <w:t xml:space="preserve"> </w:t>
      </w:r>
      <w:r>
        <w:t>delay involved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inordinate.,</w:t>
      </w:r>
    </w:p>
    <w:p w:rsidR="00DD1E8B" w:rsidRDefault="000814E1">
      <w:pPr>
        <w:pStyle w:val="ListParagraph"/>
        <w:numPr>
          <w:ilvl w:val="1"/>
          <w:numId w:val="2"/>
        </w:numPr>
        <w:tabs>
          <w:tab w:val="left" w:pos="821"/>
        </w:tabs>
        <w:spacing w:before="19"/>
        <w:ind w:hanging="361"/>
      </w:pPr>
      <w:r>
        <w:t>That there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reasonable</w:t>
      </w:r>
      <w:r>
        <w:rPr>
          <w:spacing w:val="-2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delay</w:t>
      </w:r>
    </w:p>
    <w:p w:rsidR="00DD1E8B" w:rsidRDefault="000814E1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hanging="361"/>
      </w:pPr>
      <w:r>
        <w:t>That</w:t>
      </w:r>
      <w:r>
        <w:rPr>
          <w:spacing w:val="-2"/>
        </w:rPr>
        <w:t xml:space="preserve"> </w:t>
      </w:r>
      <w:r>
        <w:t>there are good</w:t>
      </w:r>
      <w:r>
        <w:rPr>
          <w:spacing w:val="-2"/>
        </w:rPr>
        <w:t xml:space="preserve"> </w:t>
      </w:r>
      <w:r>
        <w:t>prospects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 should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be granted</w:t>
      </w:r>
    </w:p>
    <w:p w:rsidR="00DD1E8B" w:rsidRDefault="000814E1">
      <w:pPr>
        <w:pStyle w:val="ListParagraph"/>
        <w:numPr>
          <w:ilvl w:val="1"/>
          <w:numId w:val="2"/>
        </w:numPr>
        <w:tabs>
          <w:tab w:val="left" w:pos="821"/>
        </w:tabs>
        <w:ind w:hanging="361"/>
      </w:pPr>
      <w:r>
        <w:t>The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prejudice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granted</w:t>
      </w:r>
    </w:p>
    <w:p w:rsidR="00DD1E8B" w:rsidRDefault="000814E1">
      <w:pPr>
        <w:pStyle w:val="BodyText"/>
        <w:spacing w:before="180" w:line="259" w:lineRule="auto"/>
        <w:ind w:left="100" w:right="385"/>
      </w:pPr>
      <w:r>
        <w:t>The reasons tende</w:t>
      </w:r>
      <w:r>
        <w:t>red for the delay is that applicant’s legal practitioners of choice made a mistake, he</w:t>
      </w:r>
      <w:r>
        <w:rPr>
          <w:spacing w:val="-47"/>
        </w:rPr>
        <w:t xml:space="preserve"> </w:t>
      </w:r>
      <w:r>
        <w:t>made an oversight and was not alive to all the relevant issues. It is the applicant’s legal practitioner’s</w:t>
      </w:r>
      <w:r>
        <w:rPr>
          <w:spacing w:val="1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mistakes 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tendered as reasons for</w:t>
      </w:r>
      <w:r>
        <w:rPr>
          <w:spacing w:val="-3"/>
        </w:rPr>
        <w:t xml:space="preserve"> </w:t>
      </w:r>
      <w:r>
        <w:t>the delay.</w:t>
      </w:r>
    </w:p>
    <w:p w:rsidR="00DD1E8B" w:rsidRDefault="000814E1">
      <w:pPr>
        <w:pStyle w:val="BodyText"/>
        <w:spacing w:before="160" w:line="259" w:lineRule="auto"/>
        <w:ind w:left="100" w:right="340"/>
        <w:rPr>
          <w:b/>
        </w:rPr>
      </w:pPr>
      <w:r>
        <w:t>The position has become settled in our jurisdiction that litigants cannot lightly escape the conduct of</w:t>
      </w:r>
      <w:r>
        <w:rPr>
          <w:spacing w:val="1"/>
        </w:rPr>
        <w:t xml:space="preserve"> </w:t>
      </w:r>
      <w:r>
        <w:t>their legal practitioners who are their agents is such matters if the legal practitioner exhibits tardiness</w:t>
      </w:r>
      <w:r>
        <w:rPr>
          <w:spacing w:val="-47"/>
        </w:rPr>
        <w:t xml:space="preserve"> </w:t>
      </w:r>
      <w:r>
        <w:t xml:space="preserve">and lack of due diligence in the </w:t>
      </w:r>
      <w:r>
        <w:t xml:space="preserve">pursuit of client’s affairs. The Court stated this in the case of </w:t>
      </w:r>
      <w:r>
        <w:rPr>
          <w:b/>
        </w:rPr>
        <w:t>State v</w:t>
      </w:r>
      <w:r>
        <w:rPr>
          <w:b/>
          <w:spacing w:val="1"/>
        </w:rPr>
        <w:t xml:space="preserve"> </w:t>
      </w:r>
      <w:r>
        <w:rPr>
          <w:b/>
        </w:rPr>
        <w:t xml:space="preserve">Ncube SC 58/92 </w:t>
      </w:r>
      <w:r>
        <w:t xml:space="preserve">that such tardiness will no doubt be visited on the client. See also </w:t>
      </w:r>
      <w:r>
        <w:rPr>
          <w:b/>
        </w:rPr>
        <w:t>Mohadi &amp; Others v</w:t>
      </w:r>
      <w:r>
        <w:rPr>
          <w:b/>
          <w:spacing w:val="-47"/>
        </w:rPr>
        <w:t xml:space="preserve"> </w:t>
      </w:r>
      <w:r>
        <w:rPr>
          <w:b/>
        </w:rPr>
        <w:t>Lunga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</w:rPr>
        <w:t>Others HB</w:t>
      </w:r>
      <w:r>
        <w:rPr>
          <w:b/>
          <w:spacing w:val="-2"/>
        </w:rPr>
        <w:t xml:space="preserve"> </w:t>
      </w:r>
      <w:r>
        <w:rPr>
          <w:b/>
        </w:rPr>
        <w:t>112/14</w:t>
      </w:r>
    </w:p>
    <w:p w:rsidR="00DD1E8B" w:rsidRDefault="000814E1">
      <w:pPr>
        <w:pStyle w:val="BodyText"/>
        <w:spacing w:before="160" w:line="256" w:lineRule="auto"/>
        <w:ind w:left="100" w:right="249"/>
      </w:pPr>
      <w:r>
        <w:t>I am of the view that tardiness on the part of the Legal Practitioner cannot be regarded as a reasonable</w:t>
      </w:r>
      <w:r>
        <w:rPr>
          <w:spacing w:val="-47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delay.</w:t>
      </w:r>
    </w:p>
    <w:p w:rsidR="00DD1E8B" w:rsidRDefault="000814E1">
      <w:pPr>
        <w:pStyle w:val="BodyText"/>
        <w:spacing w:before="165"/>
        <w:ind w:left="100"/>
      </w:pPr>
      <w:r>
        <w:rPr>
          <w:u w:val="single"/>
        </w:rPr>
        <w:t>Whether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not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applicant</w:t>
      </w:r>
      <w:r>
        <w:rPr>
          <w:spacing w:val="-1"/>
          <w:u w:val="single"/>
        </w:rPr>
        <w:t xml:space="preserve"> </w:t>
      </w:r>
      <w:r>
        <w:rPr>
          <w:u w:val="single"/>
        </w:rPr>
        <w:t>has good</w:t>
      </w:r>
      <w:r>
        <w:rPr>
          <w:spacing w:val="-1"/>
          <w:u w:val="single"/>
        </w:rPr>
        <w:t xml:space="preserve"> </w:t>
      </w:r>
      <w:r>
        <w:rPr>
          <w:u w:val="single"/>
        </w:rPr>
        <w:t>prospects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success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merits</w:t>
      </w:r>
      <w:r>
        <w:rPr>
          <w:spacing w:val="-1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4"/>
          <w:u w:val="single"/>
        </w:rPr>
        <w:t xml:space="preserve"> </w:t>
      </w:r>
      <w:r>
        <w:rPr>
          <w:u w:val="single"/>
        </w:rPr>
        <w:t>she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condoned.</w:t>
      </w:r>
    </w:p>
    <w:p w:rsidR="00DD1E8B" w:rsidRDefault="00DD1E8B">
      <w:pPr>
        <w:pStyle w:val="BodyText"/>
        <w:spacing w:before="2"/>
        <w:rPr>
          <w:sz w:val="10"/>
        </w:rPr>
      </w:pPr>
    </w:p>
    <w:p w:rsidR="00DD1E8B" w:rsidRDefault="000814E1">
      <w:pPr>
        <w:pStyle w:val="BodyText"/>
        <w:spacing w:before="56" w:line="259" w:lineRule="auto"/>
        <w:ind w:left="100" w:right="307"/>
        <w:rPr>
          <w:b/>
        </w:rPr>
      </w:pPr>
      <w:r>
        <w:t xml:space="preserve">The applicant’s prospects </w:t>
      </w:r>
      <w:r>
        <w:t>of success are in my opinion slim. It is accepted that it is an important</w:t>
      </w:r>
      <w:r>
        <w:rPr>
          <w:spacing w:val="1"/>
        </w:rPr>
        <w:t xml:space="preserve"> </w:t>
      </w:r>
      <w:r>
        <w:t>consideration in applications to amend pleadings that real issue will be placed before the Court. This is</w:t>
      </w:r>
      <w:r>
        <w:rPr>
          <w:spacing w:val="-47"/>
        </w:rPr>
        <w:t xml:space="preserve"> </w:t>
      </w:r>
      <w:r>
        <w:t>however not the only consideration as the Court must also consider prejudice</w:t>
      </w:r>
      <w:r>
        <w:t xml:space="preserve"> to the other party. See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 xml:space="preserve">of </w:t>
      </w:r>
      <w:r>
        <w:rPr>
          <w:b/>
        </w:rPr>
        <w:t>Midlands State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Galaxy</w:t>
      </w:r>
      <w:r>
        <w:rPr>
          <w:b/>
          <w:spacing w:val="-2"/>
        </w:rPr>
        <w:t xml:space="preserve"> </w:t>
      </w:r>
      <w:r>
        <w:rPr>
          <w:b/>
        </w:rPr>
        <w:t>Engineering</w:t>
      </w:r>
      <w:r>
        <w:rPr>
          <w:b/>
          <w:spacing w:val="-3"/>
        </w:rPr>
        <w:t xml:space="preserve"> </w:t>
      </w:r>
      <w:r>
        <w:rPr>
          <w:b/>
        </w:rPr>
        <w:t>HH</w:t>
      </w:r>
      <w:r>
        <w:rPr>
          <w:b/>
          <w:spacing w:val="-2"/>
        </w:rPr>
        <w:t xml:space="preserve"> </w:t>
      </w:r>
      <w:r>
        <w:rPr>
          <w:b/>
        </w:rPr>
        <w:t>425/18.</w:t>
      </w:r>
    </w:p>
    <w:p w:rsidR="00DD1E8B" w:rsidRDefault="000814E1">
      <w:pPr>
        <w:pStyle w:val="BodyText"/>
        <w:spacing w:before="160" w:line="259" w:lineRule="auto"/>
        <w:ind w:left="100" w:right="296"/>
      </w:pPr>
      <w:r>
        <w:t>The Court’s view is that the respondent will be prejudiced if it were to grant the proposed or intended</w:t>
      </w:r>
      <w:r>
        <w:rPr>
          <w:spacing w:val="1"/>
        </w:rPr>
        <w:t xml:space="preserve"> </w:t>
      </w:r>
      <w:r>
        <w:t>amendments. The amendments would have the effect of totally changing the issues that had originally</w:t>
      </w:r>
      <w:r>
        <w:rPr>
          <w:spacing w:val="-47"/>
        </w:rPr>
        <w:t xml:space="preserve"> </w:t>
      </w:r>
      <w:r>
        <w:t>been placed before the Court. New issues were being sought to be introduced which had not been</w:t>
      </w:r>
      <w:r>
        <w:rPr>
          <w:spacing w:val="1"/>
        </w:rPr>
        <w:t xml:space="preserve"> </w:t>
      </w:r>
      <w:r>
        <w:t>placed before</w:t>
      </w:r>
      <w:r>
        <w:rPr>
          <w:spacing w:val="-2"/>
        </w:rPr>
        <w:t xml:space="preserve"> </w:t>
      </w:r>
      <w:r>
        <w:t>the Court.</w:t>
      </w:r>
    </w:p>
    <w:p w:rsidR="00DD1E8B" w:rsidRDefault="000814E1">
      <w:pPr>
        <w:pStyle w:val="BodyText"/>
        <w:spacing w:before="161" w:line="256" w:lineRule="auto"/>
        <w:ind w:left="100" w:right="141"/>
      </w:pPr>
      <w:r>
        <w:t>The fact that the Court can call for</w:t>
      </w:r>
      <w:r>
        <w:t xml:space="preserve"> the hearing of new evidence under S. 90 A</w:t>
      </w:r>
      <w:r>
        <w:rPr>
          <w:spacing w:val="1"/>
        </w:rPr>
        <w:t xml:space="preserve"> </w:t>
      </w:r>
      <w:r>
        <w:t>of the Act cannot be the</w:t>
      </w:r>
      <w:r>
        <w:rPr>
          <w:spacing w:val="-47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allowing</w:t>
      </w:r>
      <w:r>
        <w:rPr>
          <w:spacing w:val="-1"/>
        </w:rPr>
        <w:t xml:space="preserve"> </w:t>
      </w:r>
      <w:r>
        <w:t>amendments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in new</w:t>
      </w:r>
      <w:r>
        <w:rPr>
          <w:spacing w:val="-3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</w:t>
      </w:r>
    </w:p>
    <w:p w:rsidR="00DD1E8B" w:rsidRDefault="000814E1">
      <w:pPr>
        <w:pStyle w:val="BodyText"/>
        <w:spacing w:before="164" w:line="259" w:lineRule="auto"/>
        <w:ind w:left="100" w:right="155"/>
      </w:pPr>
      <w:r>
        <w:t>Mr Mpofu argued that the fact that a mistake was made cannot prevent the Court from doing justice</w:t>
      </w:r>
      <w:r>
        <w:rPr>
          <w:spacing w:val="1"/>
        </w:rPr>
        <w:t xml:space="preserve"> </w:t>
      </w:r>
      <w:r>
        <w:t>between the parties. Justice should not only be viewed from the applicant’s position. Justice must be</w:t>
      </w:r>
      <w:r>
        <w:rPr>
          <w:spacing w:val="1"/>
        </w:rPr>
        <w:t xml:space="preserve"> </w:t>
      </w:r>
      <w:r>
        <w:t>done between the parties, both parties. It is not</w:t>
      </w:r>
      <w:r>
        <w:rPr>
          <w:spacing w:val="1"/>
        </w:rPr>
        <w:t xml:space="preserve"> </w:t>
      </w:r>
      <w:r>
        <w:t>just and fair to allow the applicant who has made a</w:t>
      </w:r>
      <w:r>
        <w:rPr>
          <w:spacing w:val="1"/>
        </w:rPr>
        <w:t xml:space="preserve"> </w:t>
      </w:r>
      <w:r>
        <w:t>mistake in laying out its case, to gain the advanta</w:t>
      </w:r>
      <w:r>
        <w:t>ge of recasting its claims and introduce totally new</w:t>
      </w:r>
      <w:r>
        <w:rPr>
          <w:spacing w:val="1"/>
        </w:rPr>
        <w:t xml:space="preserve"> </w:t>
      </w:r>
      <w:r>
        <w:t>issues. It is not for the Court to suggest the new grounds and state how many should be introduced. The</w:t>
      </w:r>
      <w:r>
        <w:rPr>
          <w:spacing w:val="-47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only assess</w:t>
      </w:r>
      <w:r>
        <w:rPr>
          <w:spacing w:val="-2"/>
        </w:rPr>
        <w:t xml:space="preserve"> </w:t>
      </w:r>
      <w:r>
        <w:t>the case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basis</w:t>
      </w:r>
      <w:r>
        <w:rPr>
          <w:spacing w:val="-3"/>
        </w:rPr>
        <w:t xml:space="preserve"> </w:t>
      </w:r>
      <w:r>
        <w:t>of what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placed before</w:t>
      </w:r>
      <w:r>
        <w:rPr>
          <w:spacing w:val="-1"/>
        </w:rPr>
        <w:t xml:space="preserve"> </w:t>
      </w:r>
      <w:r>
        <w:t>it.</w:t>
      </w:r>
    </w:p>
    <w:p w:rsidR="00DD1E8B" w:rsidRDefault="00DD1E8B">
      <w:pPr>
        <w:spacing w:line="259" w:lineRule="auto"/>
        <w:sectPr w:rsidR="00DD1E8B">
          <w:pgSz w:w="12240" w:h="15840"/>
          <w:pgMar w:top="1400" w:right="1320" w:bottom="1200" w:left="1340" w:header="0" w:footer="1004" w:gutter="0"/>
          <w:cols w:space="720"/>
        </w:sectPr>
      </w:pPr>
    </w:p>
    <w:p w:rsidR="00DD1E8B" w:rsidRDefault="000814E1">
      <w:pPr>
        <w:spacing w:before="39" w:line="259" w:lineRule="auto"/>
        <w:ind w:left="100" w:right="205"/>
      </w:pPr>
      <w:bookmarkStart w:id="0" w:name="_GoBack"/>
      <w:bookmarkEnd w:id="0"/>
      <w:r>
        <w:lastRenderedPageBreak/>
        <w:t>The Courts have stated that where there is an unsatisfactory explanation for the delay, so much greater</w:t>
      </w:r>
      <w:r>
        <w:rPr>
          <w:spacing w:val="-47"/>
        </w:rPr>
        <w:t xml:space="preserve"> </w:t>
      </w:r>
      <w:r>
        <w:t xml:space="preserve">must be the prospects of success on appeal. See </w:t>
      </w:r>
      <w:r>
        <w:rPr>
          <w:b/>
        </w:rPr>
        <w:t>Kuszakan Dabrowski et Uxor v Steel N.O 1966 RLR 60</w:t>
      </w:r>
      <w:r>
        <w:rPr>
          <w:b/>
          <w:spacing w:val="1"/>
        </w:rPr>
        <w:t xml:space="preserve"> </w:t>
      </w:r>
      <w:r>
        <w:rPr>
          <w:b/>
        </w:rPr>
        <w:t xml:space="preserve">(AD). </w:t>
      </w:r>
      <w:r>
        <w:t xml:space="preserve">This position was reiterated in the case of </w:t>
      </w:r>
      <w:r>
        <w:rPr>
          <w:b/>
        </w:rPr>
        <w:t>Ngi</w:t>
      </w:r>
      <w:r>
        <w:rPr>
          <w:b/>
        </w:rPr>
        <w:t xml:space="preserve">razi v Saurosi &amp; anor HB 84/16 </w:t>
      </w:r>
      <w:r>
        <w:t>where it was stated</w:t>
      </w:r>
      <w:r>
        <w:rPr>
          <w:spacing w:val="1"/>
        </w:rPr>
        <w:t xml:space="preserve"> </w:t>
      </w:r>
      <w:r>
        <w:t>that;</w:t>
      </w:r>
    </w:p>
    <w:p w:rsidR="00DD1E8B" w:rsidRDefault="000814E1">
      <w:pPr>
        <w:spacing w:before="160" w:line="259" w:lineRule="auto"/>
        <w:ind w:left="820" w:right="132"/>
        <w:jc w:val="both"/>
        <w:rPr>
          <w:i/>
        </w:rPr>
      </w:pPr>
      <w:r>
        <w:rPr>
          <w:i/>
        </w:rPr>
        <w:t>“it is settled in this jurisdiction that where an explanation for the delay is unsatisfactory then the</w:t>
      </w:r>
      <w:r>
        <w:rPr>
          <w:i/>
          <w:spacing w:val="1"/>
        </w:rPr>
        <w:t xml:space="preserve"> </w:t>
      </w:r>
      <w:r>
        <w:rPr>
          <w:i/>
        </w:rPr>
        <w:t xml:space="preserve">prospects of success on appeal must be </w:t>
      </w:r>
      <w:r>
        <w:rPr>
          <w:i/>
          <w:u w:val="single"/>
        </w:rPr>
        <w:t>really great</w:t>
      </w:r>
      <w:r>
        <w:rPr>
          <w:i/>
        </w:rPr>
        <w:t xml:space="preserve"> before the Court can exercise its discretion</w:t>
      </w:r>
      <w:r>
        <w:rPr>
          <w:i/>
        </w:rPr>
        <w:t xml:space="preserve"> to</w:t>
      </w:r>
      <w:r>
        <w:rPr>
          <w:i/>
          <w:spacing w:val="-47"/>
        </w:rPr>
        <w:t xml:space="preserve"> </w:t>
      </w:r>
      <w:r>
        <w:rPr>
          <w:i/>
        </w:rPr>
        <w:t>condone</w:t>
      </w:r>
      <w:r>
        <w:rPr>
          <w:i/>
          <w:spacing w:val="-1"/>
        </w:rPr>
        <w:t xml:space="preserve"> </w:t>
      </w:r>
      <w:r>
        <w:rPr>
          <w:i/>
        </w:rPr>
        <w:t>the non-compliance”</w:t>
      </w:r>
    </w:p>
    <w:p w:rsidR="00DD1E8B" w:rsidRDefault="000814E1">
      <w:pPr>
        <w:pStyle w:val="BodyText"/>
        <w:spacing w:before="160" w:line="256" w:lineRule="auto"/>
        <w:ind w:left="100" w:right="898"/>
      </w:pPr>
      <w:r>
        <w:t>The explanation for the delay is unsatisfactory and the respondent does not enjoy “really great”</w:t>
      </w:r>
      <w:r>
        <w:rPr>
          <w:spacing w:val="-47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 success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merits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case.</w:t>
      </w:r>
    </w:p>
    <w:p w:rsidR="00DD1E8B" w:rsidRDefault="000814E1">
      <w:pPr>
        <w:pStyle w:val="BodyText"/>
        <w:spacing w:before="164" w:line="259" w:lineRule="auto"/>
        <w:ind w:left="100" w:right="138"/>
      </w:pPr>
      <w:r>
        <w:t>The applicant’s founding affidavit has failed to canvass other important considerations like the degree of</w:t>
      </w:r>
      <w:r>
        <w:rPr>
          <w:spacing w:val="-47"/>
        </w:rPr>
        <w:t xml:space="preserve"> </w:t>
      </w:r>
      <w:r>
        <w:t>non-compliance, the importance of the case and the avoidance of unnecessary delays in the</w:t>
      </w:r>
      <w:r>
        <w:rPr>
          <w:spacing w:val="1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 justice.</w:t>
      </w:r>
    </w:p>
    <w:p w:rsidR="00DD1E8B" w:rsidRDefault="000814E1">
      <w:pPr>
        <w:pStyle w:val="BodyText"/>
        <w:spacing w:before="160" w:line="259" w:lineRule="auto"/>
        <w:ind w:left="100" w:right="173"/>
      </w:pPr>
      <w:r>
        <w:t>In the result, the applicant has</w:t>
      </w:r>
      <w:r>
        <w:t xml:space="preserve"> failed to make a good case for the condonation. The application for</w:t>
      </w:r>
      <w:r>
        <w:rPr>
          <w:spacing w:val="1"/>
        </w:rPr>
        <w:t xml:space="preserve"> </w:t>
      </w:r>
      <w:r>
        <w:t>condonation must therefore fail. Having found thus, it becomes unnecessary to consider the application</w:t>
      </w:r>
      <w:r>
        <w:rPr>
          <w:spacing w:val="-47"/>
        </w:rPr>
        <w:t xml:space="preserve"> </w:t>
      </w:r>
      <w:r>
        <w:t xml:space="preserve">for leave to appeal which becomes improperly before the Court for having been filed </w:t>
      </w:r>
      <w:r>
        <w:t>out of time. The</w:t>
      </w:r>
      <w:r>
        <w:rPr>
          <w:spacing w:val="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has not been condoned.</w:t>
      </w:r>
    </w:p>
    <w:p w:rsidR="00DD1E8B" w:rsidRDefault="000814E1">
      <w:pPr>
        <w:spacing w:before="158"/>
        <w:ind w:left="100"/>
        <w:rPr>
          <w:b/>
        </w:rPr>
      </w:pPr>
      <w:r>
        <w:rPr>
          <w:b/>
          <w:u w:val="single"/>
        </w:rPr>
        <w:t>Order:</w:t>
      </w:r>
    </w:p>
    <w:p w:rsidR="00DD1E8B" w:rsidRDefault="00DD1E8B">
      <w:pPr>
        <w:pStyle w:val="BodyText"/>
        <w:spacing w:before="4"/>
        <w:rPr>
          <w:b/>
          <w:sz w:val="10"/>
        </w:rPr>
      </w:pPr>
    </w:p>
    <w:p w:rsidR="00DD1E8B" w:rsidRDefault="000814E1">
      <w:pPr>
        <w:pStyle w:val="ListParagraph"/>
        <w:numPr>
          <w:ilvl w:val="0"/>
          <w:numId w:val="1"/>
        </w:numPr>
        <w:tabs>
          <w:tab w:val="left" w:pos="821"/>
        </w:tabs>
        <w:spacing w:before="56"/>
        <w:ind w:hanging="361"/>
      </w:pPr>
      <w:r>
        <w:t>The 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hereby dismissed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scale.</w:t>
      </w:r>
    </w:p>
    <w:p w:rsidR="00DD1E8B" w:rsidRDefault="000814E1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right="1011"/>
      </w:pPr>
      <w:r>
        <w:t>The application for leave to appeal being improperly before the Court be and is hereby</w:t>
      </w:r>
      <w:r>
        <w:rPr>
          <w:spacing w:val="-47"/>
        </w:rPr>
        <w:t xml:space="preserve"> </w:t>
      </w:r>
      <w:r>
        <w:t>dismissed.</w:t>
      </w:r>
    </w:p>
    <w:p w:rsidR="00DD1E8B" w:rsidRDefault="00DD1E8B">
      <w:pPr>
        <w:pStyle w:val="BodyText"/>
      </w:pPr>
    </w:p>
    <w:p w:rsidR="00DD1E8B" w:rsidRDefault="00DD1E8B">
      <w:pPr>
        <w:pStyle w:val="BodyText"/>
      </w:pPr>
    </w:p>
    <w:p w:rsidR="00DD1E8B" w:rsidRDefault="00DD1E8B">
      <w:pPr>
        <w:pStyle w:val="BodyText"/>
      </w:pPr>
    </w:p>
    <w:p w:rsidR="00DD1E8B" w:rsidRDefault="00DD1E8B">
      <w:pPr>
        <w:pStyle w:val="BodyText"/>
      </w:pPr>
    </w:p>
    <w:p w:rsidR="00DD1E8B" w:rsidRDefault="00DD1E8B">
      <w:pPr>
        <w:pStyle w:val="BodyText"/>
      </w:pPr>
    </w:p>
    <w:p w:rsidR="00DD1E8B" w:rsidRDefault="00DD1E8B">
      <w:pPr>
        <w:pStyle w:val="BodyText"/>
      </w:pPr>
    </w:p>
    <w:p w:rsidR="00DD1E8B" w:rsidRDefault="00DD1E8B">
      <w:pPr>
        <w:pStyle w:val="BodyText"/>
        <w:spacing w:before="9"/>
        <w:rPr>
          <w:sz w:val="28"/>
        </w:rPr>
      </w:pPr>
    </w:p>
    <w:p w:rsidR="00DD1E8B" w:rsidRDefault="000814E1">
      <w:pPr>
        <w:spacing w:before="1"/>
        <w:ind w:left="100"/>
        <w:rPr>
          <w:b/>
          <w:i/>
        </w:rPr>
      </w:pPr>
      <w:r>
        <w:rPr>
          <w:b/>
          <w:i/>
          <w:u w:val="single"/>
        </w:rPr>
        <w:t>Judge</w:t>
      </w:r>
    </w:p>
    <w:sectPr w:rsidR="00DD1E8B">
      <w:pgSz w:w="12240" w:h="15840"/>
      <w:pgMar w:top="1400" w:right="1320" w:bottom="1200" w:left="134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E1" w:rsidRDefault="000814E1">
      <w:r>
        <w:separator/>
      </w:r>
    </w:p>
  </w:endnote>
  <w:endnote w:type="continuationSeparator" w:id="0">
    <w:p w:rsidR="000814E1" w:rsidRDefault="0008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8B" w:rsidRDefault="000814E1">
    <w:pPr>
      <w:pStyle w:val="BodyText"/>
      <w:spacing w:line="14" w:lineRule="auto"/>
      <w:rPr>
        <w:sz w:val="20"/>
      </w:rPr>
    </w:pPr>
    <w:r>
      <w:pict>
        <v:rect id="_x0000_s2050" style="position:absolute;margin-left:70.6pt;margin-top:727.8pt;width:470.95pt;height:.5pt;z-index:-1579264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7.9pt;margin-top:730.4pt;width:53.3pt;height:13.05pt;z-index:-15792128;mso-position-horizontal-relative:page;mso-position-vertical-relative:page" filled="f" stroked="f">
          <v:textbox inset="0,0,0,0">
            <w:txbxContent>
              <w:p w:rsidR="00DD1E8B" w:rsidRDefault="000814E1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3F60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E1" w:rsidRDefault="000814E1">
      <w:r>
        <w:separator/>
      </w:r>
    </w:p>
  </w:footnote>
  <w:footnote w:type="continuationSeparator" w:id="0">
    <w:p w:rsidR="000814E1" w:rsidRDefault="0008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78F7"/>
    <w:multiLevelType w:val="hybridMultilevel"/>
    <w:tmpl w:val="F1F6F956"/>
    <w:lvl w:ilvl="0" w:tplc="DE96D23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BACEA8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4E6878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256C19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B9928FC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A0A636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60EBA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BC0F7B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3DADB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2D206A"/>
    <w:multiLevelType w:val="hybridMultilevel"/>
    <w:tmpl w:val="95987FE4"/>
    <w:lvl w:ilvl="0" w:tplc="C09E19CE">
      <w:start w:val="1"/>
      <w:numFmt w:val="decimal"/>
      <w:lvlText w:val="(%1)"/>
      <w:lvlJc w:val="left"/>
      <w:pPr>
        <w:ind w:left="400" w:hanging="30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9025C8">
      <w:start w:val="1"/>
      <w:numFmt w:val="lowerLetter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F730813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7054D6EA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7BEC6A0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AECD356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472CE81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D26AC54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B003AF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1E8B"/>
    <w:rsid w:val="000814E1"/>
    <w:rsid w:val="002E3F60"/>
    <w:rsid w:val="00D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20E3619-C74E-4058-BEC0-688E777E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 account</cp:lastModifiedBy>
  <cp:revision>2</cp:revision>
  <dcterms:created xsi:type="dcterms:W3CDTF">2023-09-19T06:57:00Z</dcterms:created>
  <dcterms:modified xsi:type="dcterms:W3CDTF">2023-09-19T07:22:00Z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