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64F" w:rsidRPr="00F9159F" w:rsidRDefault="00B2764F" w:rsidP="00177693">
      <w:pPr>
        <w:pStyle w:val="NoSpacing"/>
        <w:rPr>
          <w:b/>
        </w:rPr>
      </w:pPr>
      <w:r w:rsidRPr="00F9159F">
        <w:rPr>
          <w:b/>
        </w:rPr>
        <w:t xml:space="preserve">CANDY MOYO </w:t>
      </w:r>
    </w:p>
    <w:p w:rsidR="00B2764F" w:rsidRDefault="00B2764F" w:rsidP="00B2764F">
      <w:pPr>
        <w:pStyle w:val="NoSpacing"/>
        <w:jc w:val="both"/>
        <w:rPr>
          <w:b/>
          <w:szCs w:val="24"/>
        </w:rPr>
      </w:pPr>
    </w:p>
    <w:p w:rsidR="00B2764F" w:rsidRDefault="00B2764F" w:rsidP="00B2764F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And </w:t>
      </w:r>
    </w:p>
    <w:p w:rsidR="00B2764F" w:rsidRDefault="00B2764F" w:rsidP="00B2764F">
      <w:pPr>
        <w:pStyle w:val="NoSpacing"/>
        <w:jc w:val="both"/>
        <w:rPr>
          <w:b/>
          <w:szCs w:val="24"/>
        </w:rPr>
      </w:pPr>
    </w:p>
    <w:p w:rsidR="00B2764F" w:rsidRDefault="00B2764F" w:rsidP="00B2764F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BUSANI NDLOVU </w:t>
      </w:r>
    </w:p>
    <w:p w:rsidR="00AF72D4" w:rsidRDefault="00AF72D4" w:rsidP="00B2764F">
      <w:pPr>
        <w:pStyle w:val="NoSpacing"/>
        <w:jc w:val="both"/>
        <w:rPr>
          <w:b/>
          <w:szCs w:val="24"/>
        </w:rPr>
      </w:pPr>
    </w:p>
    <w:p w:rsidR="00AF72D4" w:rsidRDefault="00AF72D4" w:rsidP="00B2764F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And </w:t>
      </w:r>
    </w:p>
    <w:p w:rsidR="00AF72D4" w:rsidRDefault="00AF72D4" w:rsidP="00B2764F">
      <w:pPr>
        <w:pStyle w:val="NoSpacing"/>
        <w:jc w:val="both"/>
        <w:rPr>
          <w:b/>
          <w:szCs w:val="24"/>
        </w:rPr>
      </w:pPr>
    </w:p>
    <w:p w:rsidR="00AF72D4" w:rsidRPr="00D10188" w:rsidRDefault="00AF72D4" w:rsidP="00B2764F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PRINCE MOYO</w:t>
      </w:r>
    </w:p>
    <w:p w:rsidR="00B2764F" w:rsidRPr="00D10188" w:rsidRDefault="00B2764F" w:rsidP="00B2764F">
      <w:pPr>
        <w:pStyle w:val="NoSpacing"/>
        <w:jc w:val="both"/>
        <w:rPr>
          <w:b/>
          <w:szCs w:val="24"/>
        </w:rPr>
      </w:pPr>
    </w:p>
    <w:p w:rsidR="00B2764F" w:rsidRPr="00D10188" w:rsidRDefault="00B2764F" w:rsidP="00B2764F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Versus</w:t>
      </w:r>
    </w:p>
    <w:p w:rsidR="00B2764F" w:rsidRPr="00D10188" w:rsidRDefault="00B2764F" w:rsidP="00B2764F">
      <w:pPr>
        <w:pStyle w:val="NoSpacing"/>
        <w:jc w:val="both"/>
        <w:rPr>
          <w:b/>
          <w:szCs w:val="24"/>
        </w:rPr>
      </w:pPr>
    </w:p>
    <w:p w:rsidR="00B2764F" w:rsidRPr="00D10188" w:rsidRDefault="00B2764F" w:rsidP="00B2764F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THE STATE</w:t>
      </w:r>
    </w:p>
    <w:p w:rsidR="00B2764F" w:rsidRPr="00D10188" w:rsidRDefault="00B2764F" w:rsidP="00B2764F">
      <w:pPr>
        <w:pStyle w:val="NoSpacing"/>
        <w:jc w:val="both"/>
        <w:rPr>
          <w:b/>
          <w:szCs w:val="24"/>
        </w:rPr>
      </w:pPr>
    </w:p>
    <w:p w:rsidR="00B2764F" w:rsidRPr="00D10188" w:rsidRDefault="00B2764F" w:rsidP="00B2764F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:rsidR="00B2764F" w:rsidRPr="00D10188" w:rsidRDefault="00AF72D4" w:rsidP="00B2764F">
      <w:pPr>
        <w:pStyle w:val="NoSpacing"/>
        <w:jc w:val="both"/>
        <w:rPr>
          <w:szCs w:val="24"/>
        </w:rPr>
      </w:pPr>
      <w:r>
        <w:rPr>
          <w:szCs w:val="24"/>
        </w:rPr>
        <w:t>DUBE-BANDA</w:t>
      </w:r>
      <w:r w:rsidR="00B2764F" w:rsidRPr="00D10188">
        <w:rPr>
          <w:szCs w:val="24"/>
        </w:rPr>
        <w:t xml:space="preserve"> J</w:t>
      </w:r>
    </w:p>
    <w:p w:rsidR="00B2764F" w:rsidRPr="00D10188" w:rsidRDefault="00AF72D4" w:rsidP="00B2764F">
      <w:pPr>
        <w:pStyle w:val="NoSpacing"/>
        <w:jc w:val="both"/>
        <w:rPr>
          <w:szCs w:val="24"/>
        </w:rPr>
      </w:pPr>
      <w:r>
        <w:rPr>
          <w:szCs w:val="24"/>
        </w:rPr>
        <w:t>BULAWAYO 19 OCTOBER 2022 &amp; 3 NOVEMBER 2022</w:t>
      </w:r>
    </w:p>
    <w:p w:rsidR="00B2764F" w:rsidRPr="00D10188" w:rsidRDefault="00B2764F" w:rsidP="00B2764F">
      <w:pPr>
        <w:pStyle w:val="NoSpacing"/>
        <w:jc w:val="both"/>
        <w:rPr>
          <w:szCs w:val="24"/>
        </w:rPr>
      </w:pPr>
    </w:p>
    <w:p w:rsidR="00B2764F" w:rsidRPr="00D10188" w:rsidRDefault="00B2764F" w:rsidP="00B2764F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App</w:t>
      </w:r>
      <w:r w:rsidR="00AF72D4">
        <w:rPr>
          <w:b/>
          <w:szCs w:val="24"/>
        </w:rPr>
        <w:t xml:space="preserve">lication for bail pending trial </w:t>
      </w:r>
    </w:p>
    <w:p w:rsidR="00B2764F" w:rsidRPr="00D10188" w:rsidRDefault="00B2764F" w:rsidP="00B2764F">
      <w:pPr>
        <w:pStyle w:val="NoSpacing"/>
        <w:jc w:val="both"/>
        <w:rPr>
          <w:szCs w:val="24"/>
        </w:rPr>
      </w:pPr>
    </w:p>
    <w:p w:rsidR="00B2764F" w:rsidRPr="00D10188" w:rsidRDefault="00F13FC5" w:rsidP="00B2764F">
      <w:pPr>
        <w:pStyle w:val="NoSpacing"/>
        <w:jc w:val="both"/>
        <w:rPr>
          <w:szCs w:val="24"/>
        </w:rPr>
      </w:pPr>
      <w:r>
        <w:rPr>
          <w:i/>
          <w:szCs w:val="24"/>
        </w:rPr>
        <w:t xml:space="preserve">A. </w:t>
      </w:r>
      <w:proofErr w:type="spellStart"/>
      <w:r>
        <w:rPr>
          <w:i/>
          <w:szCs w:val="24"/>
        </w:rPr>
        <w:t>Ndlovu</w:t>
      </w:r>
      <w:proofErr w:type="spellEnd"/>
      <w:r>
        <w:rPr>
          <w:i/>
          <w:szCs w:val="24"/>
        </w:rPr>
        <w:t xml:space="preserve">, </w:t>
      </w:r>
      <w:r w:rsidR="00B2764F" w:rsidRPr="00D10188">
        <w:rPr>
          <w:szCs w:val="24"/>
        </w:rPr>
        <w:t>for the applicant</w:t>
      </w:r>
    </w:p>
    <w:p w:rsidR="00B2764F" w:rsidRPr="00D10188" w:rsidRDefault="00F13FC5" w:rsidP="00B2764F">
      <w:pPr>
        <w:pStyle w:val="NoSpacing"/>
        <w:jc w:val="both"/>
        <w:rPr>
          <w:szCs w:val="24"/>
        </w:rPr>
      </w:pPr>
      <w:r>
        <w:rPr>
          <w:i/>
          <w:szCs w:val="24"/>
        </w:rPr>
        <w:t xml:space="preserve">N. </w:t>
      </w:r>
      <w:proofErr w:type="spellStart"/>
      <w:r>
        <w:rPr>
          <w:i/>
          <w:szCs w:val="24"/>
        </w:rPr>
        <w:t>Katurura</w:t>
      </w:r>
      <w:proofErr w:type="spellEnd"/>
      <w:r>
        <w:rPr>
          <w:i/>
          <w:szCs w:val="24"/>
        </w:rPr>
        <w:t>,</w:t>
      </w:r>
      <w:r w:rsidR="00B2764F" w:rsidRPr="00D10188">
        <w:rPr>
          <w:szCs w:val="24"/>
        </w:rPr>
        <w:t xml:space="preserve"> for the respondent</w:t>
      </w:r>
    </w:p>
    <w:p w:rsidR="00F525FA" w:rsidRPr="00F525FA" w:rsidRDefault="00F13FC5" w:rsidP="00F525FA">
      <w:pPr>
        <w:rPr>
          <w:b/>
          <w:szCs w:val="24"/>
        </w:rPr>
      </w:pPr>
      <w:r w:rsidRPr="00F13FC5">
        <w:rPr>
          <w:b/>
          <w:szCs w:val="24"/>
        </w:rPr>
        <w:t xml:space="preserve">DUBE-BANDA J: </w:t>
      </w:r>
    </w:p>
    <w:p w:rsidR="00D52E30" w:rsidRPr="00A878D9" w:rsidRDefault="00F525FA" w:rsidP="00F525FA">
      <w:pPr>
        <w:pStyle w:val="Default"/>
        <w:numPr>
          <w:ilvl w:val="0"/>
          <w:numId w:val="1"/>
        </w:numPr>
        <w:spacing w:line="360" w:lineRule="auto"/>
        <w:jc w:val="both"/>
      </w:pPr>
      <w:r w:rsidRPr="00A878D9">
        <w:t xml:space="preserve">This is an application for bail pending trial. The applicants are being </w:t>
      </w:r>
      <w:r w:rsidR="00C02791" w:rsidRPr="00A878D9">
        <w:t>charged</w:t>
      </w:r>
      <w:r w:rsidR="00F9159F">
        <w:t xml:space="preserve"> with</w:t>
      </w:r>
      <w:r w:rsidR="00C02791" w:rsidRPr="00A878D9">
        <w:t xml:space="preserve"> two</w:t>
      </w:r>
      <w:r w:rsidRPr="00A878D9">
        <w:t xml:space="preserve"> counts of robbery as def</w:t>
      </w:r>
      <w:r w:rsidR="00880604" w:rsidRPr="00A878D9">
        <w:t xml:space="preserve">ined in section 126 </w:t>
      </w:r>
      <w:r w:rsidRPr="00A878D9">
        <w:t>(1) of the Criminal Law [Codification and Refor</w:t>
      </w:r>
      <w:r w:rsidR="00C02791" w:rsidRPr="00A878D9">
        <w:t>m] Act [Chapter 9:23]</w:t>
      </w:r>
      <w:r w:rsidR="000D52A2" w:rsidRPr="00A878D9">
        <w:t xml:space="preserve"> (Criminal Code)</w:t>
      </w:r>
      <w:r w:rsidR="00C02791" w:rsidRPr="00A878D9">
        <w:t xml:space="preserve">, and </w:t>
      </w:r>
      <w:r w:rsidR="000D52A2" w:rsidRPr="00A878D9">
        <w:t>one count of unlawful entry into premises as defined in section 131 of the Criminal Code</w:t>
      </w:r>
      <w:r w:rsidR="00D52E30" w:rsidRPr="00A878D9">
        <w:t>, and one count of theft as defined in section 113(1</w:t>
      </w:r>
      <w:r w:rsidR="00A8639E" w:rsidRPr="00A878D9">
        <w:t>) (</w:t>
      </w:r>
      <w:r w:rsidR="00D52E30" w:rsidRPr="00A878D9">
        <w:t xml:space="preserve">a) of the Criminal Code. </w:t>
      </w:r>
    </w:p>
    <w:p w:rsidR="00D52E30" w:rsidRDefault="00D52E30" w:rsidP="00F233FE">
      <w:pPr>
        <w:pStyle w:val="Default"/>
        <w:spacing w:line="360" w:lineRule="auto"/>
        <w:ind w:left="720"/>
        <w:jc w:val="both"/>
        <w:rPr>
          <w:sz w:val="23"/>
          <w:szCs w:val="23"/>
        </w:rPr>
      </w:pPr>
    </w:p>
    <w:p w:rsidR="00F525FA" w:rsidRPr="00A878D9" w:rsidRDefault="008954B5" w:rsidP="000B2029">
      <w:pPr>
        <w:pStyle w:val="Default"/>
        <w:numPr>
          <w:ilvl w:val="0"/>
          <w:numId w:val="1"/>
        </w:numPr>
        <w:spacing w:line="360" w:lineRule="auto"/>
        <w:jc w:val="both"/>
      </w:pPr>
      <w:r>
        <w:t>In count one</w:t>
      </w:r>
      <w:r w:rsidR="00C653D6">
        <w:t xml:space="preserve"> it is </w:t>
      </w:r>
      <w:r w:rsidR="00880604" w:rsidRPr="00A878D9">
        <w:t xml:space="preserve">alleged that </w:t>
      </w:r>
      <w:r w:rsidR="00A8639E">
        <w:t>on</w:t>
      </w:r>
      <w:r w:rsidR="00BC4384" w:rsidRPr="00A878D9">
        <w:t xml:space="preserve"> 11 September </w:t>
      </w:r>
      <w:r w:rsidR="00024419" w:rsidRPr="00A878D9">
        <w:t>2022 the applicant</w:t>
      </w:r>
      <w:r w:rsidR="00D56301">
        <w:t>s in the company of some accomplices</w:t>
      </w:r>
      <w:r w:rsidR="00024419" w:rsidRPr="00A878D9">
        <w:t xml:space="preserve"> still at large attacked a security </w:t>
      </w:r>
      <w:r w:rsidR="00D70564" w:rsidRPr="00A878D9">
        <w:t xml:space="preserve">guard at Empire 16 gold mine, Filabusi with stones and forcibly took 400 kilograms of loaded gold carbons. </w:t>
      </w:r>
      <w:r>
        <w:t>In count four</w:t>
      </w:r>
      <w:r w:rsidR="001B7438">
        <w:t xml:space="preserve"> it is</w:t>
      </w:r>
      <w:r w:rsidR="00F233FE" w:rsidRPr="00A878D9">
        <w:t xml:space="preserve"> alleged that on 1 September 2022 the applicants and other four </w:t>
      </w:r>
      <w:r w:rsidR="000E1A18">
        <w:t>accomplices</w:t>
      </w:r>
      <w:r w:rsidR="00D25390" w:rsidRPr="00A878D9">
        <w:t xml:space="preserve"> still</w:t>
      </w:r>
      <w:r w:rsidR="000E1A18">
        <w:t xml:space="preserve"> at large armed with a </w:t>
      </w:r>
      <w:r w:rsidR="00D25390" w:rsidRPr="00A878D9">
        <w:t xml:space="preserve">pistol robbed </w:t>
      </w:r>
      <w:r w:rsidR="005539F1" w:rsidRPr="00A878D9">
        <w:t xml:space="preserve">complainant of 100 kilograms of gold loaded carbon. </w:t>
      </w:r>
    </w:p>
    <w:p w:rsidR="000B2029" w:rsidRPr="00A878D9" w:rsidRDefault="000B2029" w:rsidP="000B2029">
      <w:pPr>
        <w:pStyle w:val="ListParagraph"/>
        <w:spacing w:after="0" w:afterAutospacing="0"/>
        <w:rPr>
          <w:szCs w:val="24"/>
        </w:rPr>
      </w:pPr>
    </w:p>
    <w:p w:rsidR="006A1FFB" w:rsidRPr="0073164C" w:rsidRDefault="008954B5" w:rsidP="00F15800">
      <w:pPr>
        <w:pStyle w:val="Default"/>
        <w:numPr>
          <w:ilvl w:val="0"/>
          <w:numId w:val="1"/>
        </w:numPr>
        <w:spacing w:line="360" w:lineRule="auto"/>
        <w:jc w:val="both"/>
      </w:pPr>
      <w:r>
        <w:lastRenderedPageBreak/>
        <w:t>In count two</w:t>
      </w:r>
      <w:r w:rsidR="000E1A18">
        <w:t xml:space="preserve"> it is</w:t>
      </w:r>
      <w:r w:rsidR="0051238A" w:rsidRPr="00A878D9">
        <w:t xml:space="preserve"> alleged that </w:t>
      </w:r>
      <w:r w:rsidR="00A85A35">
        <w:t xml:space="preserve">on </w:t>
      </w:r>
      <w:r w:rsidR="0051238A" w:rsidRPr="00A878D9">
        <w:t xml:space="preserve">23 August 2022 </w:t>
      </w:r>
      <w:r w:rsidR="00992B21" w:rsidRPr="00A878D9">
        <w:t xml:space="preserve">at Cowslip 37 Gold Mine </w:t>
      </w:r>
      <w:r w:rsidR="00087F27" w:rsidRPr="00A878D9">
        <w:t xml:space="preserve">Empire Filabusi, </w:t>
      </w:r>
      <w:r w:rsidR="00B0272F" w:rsidRPr="00A878D9">
        <w:t>the applicants in the company of o</w:t>
      </w:r>
      <w:r w:rsidR="000E1A18">
        <w:t>ther accomplices</w:t>
      </w:r>
      <w:r w:rsidR="00B0272F" w:rsidRPr="00A878D9">
        <w:t xml:space="preserve"> still at large </w:t>
      </w:r>
      <w:r w:rsidR="00EF6B8A">
        <w:t xml:space="preserve">unlawfully, intentionally and without authority </w:t>
      </w:r>
      <w:r w:rsidR="00087F27" w:rsidRPr="00A878D9">
        <w:t>entered the carbon room</w:t>
      </w:r>
      <w:r w:rsidR="008C1B98">
        <w:t>. In count three</w:t>
      </w:r>
      <w:r w:rsidR="00A85A35">
        <w:t xml:space="preserve"> it is</w:t>
      </w:r>
      <w:r w:rsidR="009550B2">
        <w:t xml:space="preserve"> alleged that on </w:t>
      </w:r>
      <w:r w:rsidR="000F1390" w:rsidRPr="00A878D9">
        <w:t xml:space="preserve">23 August 2022 at Cowslip </w:t>
      </w:r>
      <w:r w:rsidR="004E5861" w:rsidRPr="00A878D9">
        <w:t xml:space="preserve">37 Gold Mine Empire Filabusi the applicants in the company of other </w:t>
      </w:r>
      <w:r w:rsidR="001D43FF">
        <w:t>accom</w:t>
      </w:r>
      <w:r w:rsidR="004A2850">
        <w:t>p</w:t>
      </w:r>
      <w:r w:rsidR="001D43FF">
        <w:t>lices</w:t>
      </w:r>
      <w:r w:rsidR="00F064C9">
        <w:t xml:space="preserve"> still at large </w:t>
      </w:r>
      <w:r w:rsidR="00AA0BCE" w:rsidRPr="00AA0BCE">
        <w:rPr>
          <w:sz w:val="23"/>
          <w:szCs w:val="23"/>
        </w:rPr>
        <w:t>stole 200 k</w:t>
      </w:r>
      <w:r w:rsidR="00F064C9">
        <w:rPr>
          <w:sz w:val="23"/>
          <w:szCs w:val="23"/>
        </w:rPr>
        <w:t xml:space="preserve">ilograms of loaded gold carbons. </w:t>
      </w:r>
      <w:r w:rsidR="00AA0BCE" w:rsidRPr="00AA0BCE">
        <w:rPr>
          <w:sz w:val="23"/>
          <w:szCs w:val="23"/>
        </w:rPr>
        <w:t xml:space="preserve"> </w:t>
      </w:r>
    </w:p>
    <w:p w:rsidR="0073164C" w:rsidRDefault="0073164C" w:rsidP="00F15800">
      <w:pPr>
        <w:pStyle w:val="ListParagraph"/>
        <w:spacing w:after="0" w:afterAutospacing="0"/>
      </w:pPr>
    </w:p>
    <w:p w:rsidR="007E659A" w:rsidRDefault="0073164C" w:rsidP="00614655">
      <w:pPr>
        <w:pStyle w:val="Default"/>
        <w:numPr>
          <w:ilvl w:val="0"/>
          <w:numId w:val="1"/>
        </w:numPr>
        <w:spacing w:line="360" w:lineRule="auto"/>
        <w:jc w:val="both"/>
      </w:pPr>
      <w:r>
        <w:t>In support of the</w:t>
      </w:r>
      <w:r w:rsidR="00963124">
        <w:t>ir</w:t>
      </w:r>
      <w:r>
        <w:t xml:space="preserve"> bail application the </w:t>
      </w:r>
      <w:r w:rsidR="00963124">
        <w:t>app</w:t>
      </w:r>
      <w:r w:rsidR="00241A86">
        <w:t xml:space="preserve">licants filed a bail statement and affidavits. </w:t>
      </w:r>
      <w:r w:rsidR="00963124">
        <w:t xml:space="preserve">It is averred that they did not commit the </w:t>
      </w:r>
      <w:r w:rsidR="00E510CC">
        <w:t xml:space="preserve">crimes </w:t>
      </w:r>
      <w:r w:rsidR="00963124">
        <w:t xml:space="preserve">alleged by the State. </w:t>
      </w:r>
      <w:r w:rsidR="00E510CC">
        <w:t>They aver that they are nei</w:t>
      </w:r>
      <w:r w:rsidR="000B2306">
        <w:t>ghbours with the complainants hence the issue o</w:t>
      </w:r>
      <w:r w:rsidR="00DA2D9C">
        <w:t>f identification does not arise as they are well known to</w:t>
      </w:r>
      <w:r w:rsidR="008C467D">
        <w:t xml:space="preserve"> </w:t>
      </w:r>
      <w:r w:rsidR="00D71D33">
        <w:t>the complainants. They also attribute their arrest to some</w:t>
      </w:r>
      <w:r w:rsidR="00DA2D9C">
        <w:t xml:space="preserve"> conspiracy between the </w:t>
      </w:r>
      <w:r w:rsidR="008C467D">
        <w:t>complainants and a third part</w:t>
      </w:r>
      <w:r w:rsidR="00D14220">
        <w:t>y</w:t>
      </w:r>
      <w:r w:rsidR="008C467D">
        <w:t xml:space="preserve"> who is alleged to be having an </w:t>
      </w:r>
      <w:r w:rsidR="00235458">
        <w:t>adulterous relationship</w:t>
      </w:r>
      <w:r w:rsidR="008C467D">
        <w:t xml:space="preserve"> with the estranged wife of the </w:t>
      </w:r>
      <w:r w:rsidR="007443BC">
        <w:t xml:space="preserve">first applicant. </w:t>
      </w:r>
      <w:r w:rsidR="008C467D">
        <w:t xml:space="preserve"> </w:t>
      </w:r>
      <w:r w:rsidR="007443BC">
        <w:t xml:space="preserve">The </w:t>
      </w:r>
      <w:r w:rsidR="00AA32E6">
        <w:t xml:space="preserve">police are also alleged to be part of a wider </w:t>
      </w:r>
      <w:r w:rsidR="007443BC">
        <w:t xml:space="preserve">conspiracy </w:t>
      </w:r>
      <w:r w:rsidR="00AA32E6">
        <w:t xml:space="preserve">to implicate the applicants in the commission of these crimes. </w:t>
      </w:r>
    </w:p>
    <w:p w:rsidR="007E659A" w:rsidRDefault="007E659A" w:rsidP="00614655">
      <w:pPr>
        <w:pStyle w:val="ListParagraph"/>
        <w:spacing w:after="0" w:afterAutospacing="0"/>
      </w:pPr>
    </w:p>
    <w:p w:rsidR="0073164C" w:rsidRDefault="007E659A" w:rsidP="00D6760A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The applicants </w:t>
      </w:r>
      <w:r w:rsidR="00867C6A">
        <w:t xml:space="preserve">contend that the </w:t>
      </w:r>
      <w:r w:rsidR="001B586A">
        <w:t xml:space="preserve">State has no strong </w:t>
      </w:r>
      <w:r w:rsidR="001B586A" w:rsidRPr="001B586A">
        <w:rPr>
          <w:i/>
        </w:rPr>
        <w:t>prima facie</w:t>
      </w:r>
      <w:r w:rsidR="001B586A">
        <w:t xml:space="preserve"> case against them and if released on bail they will not abscond. </w:t>
      </w:r>
      <w:r w:rsidR="00B533E4">
        <w:t xml:space="preserve">It is contended further that </w:t>
      </w:r>
      <w:r w:rsidR="00867C6A">
        <w:t xml:space="preserve">seriousness of the offences is not a ground to refuse to release them on bail pending trial. </w:t>
      </w:r>
      <w:r w:rsidR="00D873F4">
        <w:t xml:space="preserve">It is argued that the applicants cannot be denied bail on the basis that the </w:t>
      </w:r>
      <w:r w:rsidR="003C06EF">
        <w:t xml:space="preserve">police have not accounted for the </w:t>
      </w:r>
      <w:r w:rsidR="003E416F">
        <w:t xml:space="preserve">other </w:t>
      </w:r>
      <w:r w:rsidR="003C06EF">
        <w:t xml:space="preserve">accomplices. </w:t>
      </w:r>
      <w:r w:rsidR="006F5855">
        <w:t xml:space="preserve">It is argued further that there is no basis to hold that if admitted to bail the applicants will commit further offences. </w:t>
      </w:r>
      <w:r w:rsidR="00B47864">
        <w:t>It is submitted that if released on bail they will not abscond</w:t>
      </w:r>
      <w:r w:rsidR="00D441BB">
        <w:t xml:space="preserve">. </w:t>
      </w:r>
      <w:r w:rsidR="000C1E1E">
        <w:t xml:space="preserve">It was argued that the applicants are good candidates to be released on bail pending trial. </w:t>
      </w:r>
    </w:p>
    <w:p w:rsidR="00241A86" w:rsidRDefault="00241A86" w:rsidP="00D6760A">
      <w:pPr>
        <w:pStyle w:val="ListParagraph"/>
        <w:spacing w:after="0" w:afterAutospacing="0"/>
      </w:pPr>
    </w:p>
    <w:p w:rsidR="00241A86" w:rsidRDefault="00C40EDB" w:rsidP="00D6760A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The bail application is opposed. It is contended that the applicants are a flight </w:t>
      </w:r>
      <w:r w:rsidR="00DB78B3">
        <w:t>r</w:t>
      </w:r>
      <w:r w:rsidR="003E416F">
        <w:t xml:space="preserve">isk, and </w:t>
      </w:r>
      <w:r w:rsidR="00B11A15">
        <w:t xml:space="preserve">that </w:t>
      </w:r>
      <w:r w:rsidR="003E416F">
        <w:t>they are</w:t>
      </w:r>
      <w:r w:rsidR="00DB78B3">
        <w:t xml:space="preserve"> likely to interfere with witnesses since they are neighbours. </w:t>
      </w:r>
      <w:r w:rsidR="00926471">
        <w:t xml:space="preserve">The investigating officer testified and his evidence is that the </w:t>
      </w:r>
      <w:r w:rsidR="000B3413">
        <w:t xml:space="preserve">police </w:t>
      </w:r>
      <w:r w:rsidR="00926471">
        <w:t xml:space="preserve">investigations led to the arrest of the applicants. </w:t>
      </w:r>
      <w:r w:rsidR="00586CB9">
        <w:t>Numerous raids were made at a mine they were believed to be stayi</w:t>
      </w:r>
      <w:r w:rsidR="00B11A15">
        <w:t>ng</w:t>
      </w:r>
      <w:r w:rsidR="00DE5B36">
        <w:t xml:space="preserve"> but with no success since they</w:t>
      </w:r>
      <w:r w:rsidR="00586CB9">
        <w:t xml:space="preserve"> had fled to different places. </w:t>
      </w:r>
      <w:r w:rsidR="002D041F">
        <w:t xml:space="preserve">Information kept </w:t>
      </w:r>
      <w:r w:rsidR="002D041F">
        <w:lastRenderedPageBreak/>
        <w:t>coming about their whereabouts at certain mining locations at Esigodini</w:t>
      </w:r>
      <w:r w:rsidR="00DE5B36">
        <w:t>, Filabusi and Zvishavane and r</w:t>
      </w:r>
      <w:r w:rsidR="009A2688">
        <w:t>aids were conducted</w:t>
      </w:r>
      <w:r w:rsidR="00495AD2">
        <w:t xml:space="preserve"> at </w:t>
      </w:r>
      <w:r w:rsidR="007A4FE9">
        <w:t xml:space="preserve">these </w:t>
      </w:r>
      <w:r w:rsidR="00495AD2">
        <w:t xml:space="preserve">mining locations without any success. </w:t>
      </w:r>
      <w:r w:rsidR="0075186F">
        <w:t>Until information was received that the first applicant was in Pumula South, Bulaw</w:t>
      </w:r>
      <w:r w:rsidR="003B4598">
        <w:t xml:space="preserve">ayo and he was then </w:t>
      </w:r>
      <w:r w:rsidR="00315E65">
        <w:t xml:space="preserve">raided and </w:t>
      </w:r>
      <w:r w:rsidR="003B4598">
        <w:t xml:space="preserve">arrested. </w:t>
      </w:r>
      <w:r w:rsidR="001A53A9">
        <w:t xml:space="preserve">Investigations further revelled that the second applicant was </w:t>
      </w:r>
      <w:r w:rsidR="00D77D93">
        <w:t xml:space="preserve">at a certain mine at Filabusi, raids were carried </w:t>
      </w:r>
      <w:r w:rsidR="00CB60C2">
        <w:t xml:space="preserve">out </w:t>
      </w:r>
      <w:r w:rsidR="00D77D93">
        <w:t xml:space="preserve">thereat. When the police attempted to arrest him </w:t>
      </w:r>
      <w:r w:rsidR="0042334A">
        <w:t xml:space="preserve">he fled, three warning shots were fired in an attempt to arrest him. He managed to escape. </w:t>
      </w:r>
      <w:r w:rsidR="00224333">
        <w:t xml:space="preserve">The following day a raid was carried out </w:t>
      </w:r>
      <w:r w:rsidR="00CC72AC">
        <w:t xml:space="preserve">at night </w:t>
      </w:r>
      <w:r w:rsidR="00224333">
        <w:t>where he was believed to be hiding.</w:t>
      </w:r>
      <w:r w:rsidR="00CC72AC">
        <w:t xml:space="preserve"> He was finally arrested with the assistance of the community. </w:t>
      </w:r>
      <w:r w:rsidR="00347A8C">
        <w:t>The third applicant was pursued where he was hiding</w:t>
      </w:r>
      <w:r w:rsidR="00EA37F5">
        <w:t xml:space="preserve"> at the certain village in Shangani</w:t>
      </w:r>
      <w:r w:rsidR="00347A8C">
        <w:t xml:space="preserve">, </w:t>
      </w:r>
      <w:r w:rsidR="00EA37F5">
        <w:t xml:space="preserve">he managed to escape. He </w:t>
      </w:r>
      <w:r w:rsidR="007F6C27">
        <w:t>was finally arrested</w:t>
      </w:r>
      <w:r w:rsidR="00EA37F5">
        <w:t xml:space="preserve"> </w:t>
      </w:r>
      <w:r w:rsidR="00936B74">
        <w:t xml:space="preserve">at </w:t>
      </w:r>
      <w:r w:rsidR="00A5644D">
        <w:t xml:space="preserve">night at a </w:t>
      </w:r>
      <w:r w:rsidR="00F012C7">
        <w:t xml:space="preserve">certain </w:t>
      </w:r>
      <w:r w:rsidR="00A5644D">
        <w:t xml:space="preserve">mine in Filabusi. </w:t>
      </w:r>
      <w:r w:rsidR="00936B74">
        <w:t xml:space="preserve"> </w:t>
      </w:r>
      <w:r w:rsidR="00224333">
        <w:t xml:space="preserve"> </w:t>
      </w:r>
    </w:p>
    <w:p w:rsidR="004F502A" w:rsidRDefault="004F502A" w:rsidP="004F502A">
      <w:pPr>
        <w:pStyle w:val="Default"/>
        <w:spacing w:line="360" w:lineRule="auto"/>
        <w:jc w:val="both"/>
      </w:pPr>
    </w:p>
    <w:p w:rsidR="00036B63" w:rsidRDefault="004F502A" w:rsidP="003E416F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The </w:t>
      </w:r>
      <w:r w:rsidR="003E416F">
        <w:t>offic</w:t>
      </w:r>
      <w:r>
        <w:t xml:space="preserve">er testified that the investigations showed that the </w:t>
      </w:r>
      <w:r w:rsidR="006E19E6">
        <w:t xml:space="preserve">applicants and their accomplices who are still at large were in possession of a fire-arm. </w:t>
      </w:r>
      <w:r w:rsidR="00354F80">
        <w:t xml:space="preserve">It is believed </w:t>
      </w:r>
      <w:r w:rsidR="004D593D">
        <w:t>that the firearm is</w:t>
      </w:r>
      <w:r w:rsidR="00354F80">
        <w:t xml:space="preserve"> in </w:t>
      </w:r>
      <w:r w:rsidR="004D593D">
        <w:t xml:space="preserve">the </w:t>
      </w:r>
      <w:r w:rsidR="00354F80">
        <w:t xml:space="preserve">possession of one </w:t>
      </w:r>
      <w:r w:rsidR="004D593D">
        <w:t xml:space="preserve">accomplice called </w:t>
      </w:r>
      <w:r w:rsidR="00354F80">
        <w:t xml:space="preserve">Mangena who is still at large. The officer testified that it was very difficult to account </w:t>
      </w:r>
      <w:r w:rsidR="00CC51A9">
        <w:t xml:space="preserve">for these three applicants as they kept escaping to avoid arrest. </w:t>
      </w:r>
      <w:r w:rsidR="00D8713B">
        <w:t xml:space="preserve">The firearm they used in the commission of the offence is still to be recovered. </w:t>
      </w:r>
      <w:r w:rsidR="005421FE">
        <w:t>If the applicants are released on bail they will simply join their</w:t>
      </w:r>
      <w:r w:rsidR="00D8713B">
        <w:t xml:space="preserve"> accomplices </w:t>
      </w:r>
      <w:r w:rsidR="005421FE">
        <w:t xml:space="preserve">who </w:t>
      </w:r>
      <w:r w:rsidR="00D8713B">
        <w:t>are still at large</w:t>
      </w:r>
      <w:r w:rsidR="005421FE">
        <w:t xml:space="preserve"> and commit further offences. </w:t>
      </w:r>
      <w:r w:rsidR="002227B2">
        <w:t xml:space="preserve">The applicants are neighbours of the complainants and if released on bail they will interfere with </w:t>
      </w:r>
      <w:r w:rsidR="00C640D4">
        <w:t xml:space="preserve">witnesses and police </w:t>
      </w:r>
      <w:r w:rsidR="002227B2">
        <w:t>investigation</w:t>
      </w:r>
      <w:r w:rsidR="00C640D4">
        <w:t xml:space="preserve">s. </w:t>
      </w:r>
      <w:r w:rsidR="002227B2">
        <w:t xml:space="preserve"> </w:t>
      </w:r>
      <w:r w:rsidR="00D8713B">
        <w:t xml:space="preserve"> </w:t>
      </w:r>
      <w:r w:rsidR="000C1E1E">
        <w:t>State counsel argued that it was</w:t>
      </w:r>
      <w:r w:rsidR="0085529A">
        <w:t xml:space="preserve"> not in the interests of the proper administration of justice to release the applicants on bail pending trial. </w:t>
      </w:r>
    </w:p>
    <w:p w:rsidR="00F471E8" w:rsidRPr="00F471E8" w:rsidRDefault="00F471E8" w:rsidP="00F471E8">
      <w:pPr>
        <w:pStyle w:val="ListParagraph"/>
        <w:spacing w:after="0" w:afterAutospacing="0"/>
        <w:jc w:val="both"/>
        <w:rPr>
          <w:szCs w:val="24"/>
        </w:rPr>
      </w:pPr>
    </w:p>
    <w:p w:rsidR="00464A1F" w:rsidRDefault="00464A1F" w:rsidP="00966E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jc w:val="both"/>
        <w:rPr>
          <w:rFonts w:cs="Times New Roman"/>
          <w:szCs w:val="24"/>
        </w:rPr>
      </w:pPr>
      <w:r w:rsidRPr="00EB4CB2">
        <w:rPr>
          <w:rFonts w:cs="Times New Roman"/>
          <w:szCs w:val="24"/>
        </w:rPr>
        <w:t xml:space="preserve">It is important to highlight that </w:t>
      </w:r>
      <w:r w:rsidR="00732D7A">
        <w:rPr>
          <w:rFonts w:cs="Times New Roman"/>
          <w:szCs w:val="24"/>
        </w:rPr>
        <w:t>in count four</w:t>
      </w:r>
      <w:r w:rsidR="00C202B7">
        <w:rPr>
          <w:rFonts w:cs="Times New Roman"/>
          <w:szCs w:val="24"/>
        </w:rPr>
        <w:t xml:space="preserve"> the </w:t>
      </w:r>
      <w:r w:rsidRPr="00EB4CB2">
        <w:rPr>
          <w:rFonts w:cs="Times New Roman"/>
          <w:szCs w:val="24"/>
        </w:rPr>
        <w:t>applicant</w:t>
      </w:r>
      <w:r>
        <w:rPr>
          <w:rFonts w:cs="Times New Roman"/>
          <w:szCs w:val="24"/>
        </w:rPr>
        <w:t>s</w:t>
      </w:r>
      <w:r w:rsidR="00C202B7">
        <w:rPr>
          <w:rFonts w:cs="Times New Roman"/>
          <w:szCs w:val="24"/>
        </w:rPr>
        <w:t xml:space="preserve"> facing are</w:t>
      </w:r>
      <w:r w:rsidRPr="00EB4CB2">
        <w:rPr>
          <w:rFonts w:cs="Times New Roman"/>
          <w:szCs w:val="24"/>
        </w:rPr>
        <w:t xml:space="preserve"> crime referred to in Part 1 of Schedule 3 of the Criminal Procedure and Evidence Act [Chapter 9:07], being robbery, involving the use by the accused or any co-perpetrators or participants of a firearm. In terms of section</w:t>
      </w:r>
      <w:r w:rsidRPr="00EB4CB2">
        <w:rPr>
          <w:rFonts w:cs="Times New Roman"/>
          <w:color w:val="000000"/>
          <w:szCs w:val="24"/>
        </w:rPr>
        <w:t xml:space="preserve"> 117(6) of the Criminal Procedure and Evidence Act [Chapter 9:07] the applicant</w:t>
      </w:r>
      <w:r>
        <w:rPr>
          <w:rFonts w:cs="Times New Roman"/>
          <w:color w:val="000000"/>
          <w:szCs w:val="24"/>
        </w:rPr>
        <w:t>s</w:t>
      </w:r>
      <w:r w:rsidRPr="00EB4CB2">
        <w:rPr>
          <w:rFonts w:cs="Times New Roman"/>
          <w:color w:val="000000"/>
          <w:szCs w:val="24"/>
        </w:rPr>
        <w:t xml:space="preserve"> shall be det</w:t>
      </w:r>
      <w:r>
        <w:rPr>
          <w:rFonts w:cs="Times New Roman"/>
          <w:color w:val="000000"/>
          <w:szCs w:val="24"/>
        </w:rPr>
        <w:t xml:space="preserve">ained in custody until </w:t>
      </w:r>
      <w:r w:rsidR="00A45EFD">
        <w:rPr>
          <w:rFonts w:cs="Times New Roman"/>
          <w:color w:val="000000"/>
          <w:szCs w:val="24"/>
        </w:rPr>
        <w:t>there are</w:t>
      </w:r>
      <w:r w:rsidRPr="00EB4CB2">
        <w:rPr>
          <w:rFonts w:cs="Times New Roman"/>
          <w:color w:val="000000"/>
          <w:szCs w:val="24"/>
        </w:rPr>
        <w:t xml:space="preserve"> dealt with in accordance with the law</w:t>
      </w:r>
      <w:r w:rsidR="00A45EFD">
        <w:rPr>
          <w:rFonts w:cs="Times New Roman"/>
          <w:color w:val="000000"/>
          <w:szCs w:val="24"/>
        </w:rPr>
        <w:t>, unless they</w:t>
      </w:r>
      <w:r w:rsidRPr="00EB4CB2">
        <w:rPr>
          <w:rFonts w:cs="Times New Roman"/>
          <w:color w:val="000000"/>
          <w:szCs w:val="24"/>
        </w:rPr>
        <w:t xml:space="preserve"> adduces evidence which satisfies the court that exceptional circumstances exist which in the intere</w:t>
      </w:r>
      <w:r w:rsidR="00A45EFD">
        <w:rPr>
          <w:rFonts w:cs="Times New Roman"/>
          <w:color w:val="000000"/>
          <w:szCs w:val="24"/>
        </w:rPr>
        <w:t>sts of justice permit their</w:t>
      </w:r>
      <w:r w:rsidRPr="00EB4CB2">
        <w:rPr>
          <w:rFonts w:cs="Times New Roman"/>
          <w:color w:val="000000"/>
          <w:szCs w:val="24"/>
        </w:rPr>
        <w:t xml:space="preserve"> release. </w:t>
      </w:r>
      <w:r w:rsidRPr="00EB4CB2">
        <w:rPr>
          <w:rFonts w:cs="Times New Roman"/>
          <w:szCs w:val="24"/>
        </w:rPr>
        <w:t xml:space="preserve"> It then follows that the bar for granting bail in the crime of robbery involving the use of </w:t>
      </w:r>
      <w:r w:rsidRPr="00EB4CB2">
        <w:rPr>
          <w:rFonts w:cs="Times New Roman"/>
          <w:szCs w:val="24"/>
        </w:rPr>
        <w:lastRenderedPageBreak/>
        <w:t>a firearm is lifted higher by the legislature</w:t>
      </w:r>
      <w:r w:rsidR="00A45EFD">
        <w:rPr>
          <w:rFonts w:cs="Times New Roman"/>
          <w:szCs w:val="24"/>
        </w:rPr>
        <w:t>. This is what the applicant have</w:t>
      </w:r>
      <w:r w:rsidRPr="00EB4CB2">
        <w:rPr>
          <w:rFonts w:cs="Times New Roman"/>
          <w:szCs w:val="24"/>
        </w:rPr>
        <w:t xml:space="preserve"> to contend with. </w:t>
      </w:r>
    </w:p>
    <w:p w:rsidR="00C202B7" w:rsidRPr="00C202B7" w:rsidRDefault="00C202B7" w:rsidP="00966E0D">
      <w:pPr>
        <w:pStyle w:val="ListParagraph"/>
        <w:spacing w:before="0" w:beforeAutospacing="0"/>
        <w:rPr>
          <w:rFonts w:cs="Times New Roman"/>
          <w:szCs w:val="24"/>
        </w:rPr>
      </w:pPr>
    </w:p>
    <w:p w:rsidR="00A37ED5" w:rsidRDefault="00BD4AA7" w:rsidP="00C6205E">
      <w:pPr>
        <w:pStyle w:val="Default"/>
        <w:numPr>
          <w:ilvl w:val="0"/>
          <w:numId w:val="1"/>
        </w:numPr>
        <w:spacing w:line="360" w:lineRule="auto"/>
        <w:jc w:val="both"/>
      </w:pPr>
      <w:r>
        <w:t xml:space="preserve">The evidence and the facts of this case show that the applicants were arrested after a long run with the police. </w:t>
      </w:r>
      <w:r w:rsidR="00D66DE4">
        <w:t xml:space="preserve">Count two and count three were allegedly </w:t>
      </w:r>
      <w:r w:rsidR="00E94FFA">
        <w:t>committed on</w:t>
      </w:r>
      <w:r w:rsidR="00D66DE4">
        <w:t xml:space="preserve"> 23</w:t>
      </w:r>
      <w:r w:rsidR="00E94FFA" w:rsidRPr="00E94FFA">
        <w:rPr>
          <w:vertAlign w:val="superscript"/>
        </w:rPr>
        <w:t>rd</w:t>
      </w:r>
      <w:r w:rsidR="00D66DE4">
        <w:t xml:space="preserve"> August 2022, </w:t>
      </w:r>
      <w:r w:rsidR="00E94FFA">
        <w:t>count four</w:t>
      </w:r>
      <w:r w:rsidR="00E96DAB">
        <w:t xml:space="preserve"> was allegedly committed on the 1</w:t>
      </w:r>
      <w:r w:rsidR="00E96DAB" w:rsidRPr="00E96DAB">
        <w:rPr>
          <w:vertAlign w:val="superscript"/>
        </w:rPr>
        <w:t>st</w:t>
      </w:r>
      <w:r w:rsidR="00E96DAB">
        <w:t xml:space="preserve"> September 2022, while count one was allegedly committed on the </w:t>
      </w:r>
      <w:r w:rsidR="00E94FFA">
        <w:t>11</w:t>
      </w:r>
      <w:r w:rsidR="00E94FFA" w:rsidRPr="00E94FFA">
        <w:rPr>
          <w:vertAlign w:val="superscript"/>
        </w:rPr>
        <w:t>th</w:t>
      </w:r>
      <w:r w:rsidR="00E94FFA">
        <w:t xml:space="preserve"> September 2022. </w:t>
      </w:r>
      <w:r w:rsidR="007E2BF1">
        <w:t>The</w:t>
      </w:r>
      <w:r w:rsidR="007F0EF3">
        <w:t xml:space="preserve"> arrest of the first applicant was on the 29 September 2022</w:t>
      </w:r>
      <w:r w:rsidR="005E002B">
        <w:t xml:space="preserve">. I accept that </w:t>
      </w:r>
      <w:r w:rsidR="007E2BF1">
        <w:t xml:space="preserve">after committing counts </w:t>
      </w:r>
      <w:r w:rsidR="00C6205E">
        <w:t xml:space="preserve">two and three </w:t>
      </w:r>
      <w:r w:rsidR="005E002B">
        <w:t xml:space="preserve">the applicants were on the run and during that period allegedly committing other serious crimes, </w:t>
      </w:r>
      <w:r w:rsidR="00966E0D">
        <w:t xml:space="preserve">i.e. counts one and four. </w:t>
      </w:r>
      <w:r w:rsidR="006C7212">
        <w:t xml:space="preserve">This conduct is indicative of the fact that given a slight opportunity the applicants will </w:t>
      </w:r>
      <w:r w:rsidR="001B755C">
        <w:t xml:space="preserve">abscond. </w:t>
      </w:r>
    </w:p>
    <w:p w:rsidR="00A37ED5" w:rsidRDefault="00A37ED5" w:rsidP="00C6205E">
      <w:pPr>
        <w:pStyle w:val="ListParagraph"/>
        <w:spacing w:after="0" w:afterAutospacing="0"/>
      </w:pPr>
    </w:p>
    <w:p w:rsidR="00BD4AA7" w:rsidRPr="00AA6D99" w:rsidRDefault="00BA47F3" w:rsidP="00C6205E">
      <w:pPr>
        <w:pStyle w:val="Default"/>
        <w:numPr>
          <w:ilvl w:val="0"/>
          <w:numId w:val="1"/>
        </w:numPr>
        <w:spacing w:line="360" w:lineRule="auto"/>
        <w:jc w:val="both"/>
      </w:pPr>
      <w:r w:rsidRPr="00AA6D99">
        <w:t xml:space="preserve">There are certainly many features in the evidence and facts put up by the State that make out the basis of a strong </w:t>
      </w:r>
      <w:r w:rsidRPr="00AA6D99">
        <w:rPr>
          <w:i/>
          <w:iCs/>
        </w:rPr>
        <w:t xml:space="preserve">prima facie </w:t>
      </w:r>
      <w:r w:rsidRPr="00AA6D99">
        <w:t xml:space="preserve">case against the applicants. </w:t>
      </w:r>
      <w:r w:rsidR="00AA6D99">
        <w:t xml:space="preserve">It is contended that </w:t>
      </w:r>
      <w:r w:rsidR="0091022B">
        <w:t xml:space="preserve">at the scene of the crimes </w:t>
      </w:r>
      <w:r w:rsidR="00AA6D99">
        <w:t>the</w:t>
      </w:r>
      <w:r w:rsidR="00AA6D99" w:rsidRPr="00AA6D99">
        <w:t xml:space="preserve"> applicants were identified by the complainants as perpetrators of the</w:t>
      </w:r>
      <w:r w:rsidR="0091022B">
        <w:t>se</w:t>
      </w:r>
      <w:r w:rsidR="00AA6D99" w:rsidRPr="00AA6D99">
        <w:t xml:space="preserve"> crimes. </w:t>
      </w:r>
      <w:r w:rsidR="00AA6D99">
        <w:t xml:space="preserve">For the purposes of this application I accept that indeed they were identified. </w:t>
      </w:r>
      <w:r w:rsidR="003F70C1" w:rsidRPr="00AA6D99">
        <w:t xml:space="preserve">The applicants are facing very serious crimes. </w:t>
      </w:r>
      <w:r w:rsidR="00735E82" w:rsidRPr="00AA6D99">
        <w:t xml:space="preserve">The State has a strong </w:t>
      </w:r>
      <w:r w:rsidR="00735E82" w:rsidRPr="00AA6D99">
        <w:rPr>
          <w:i/>
        </w:rPr>
        <w:t>prima facie</w:t>
      </w:r>
      <w:r w:rsidR="00735E82" w:rsidRPr="00AA6D99">
        <w:t xml:space="preserve"> case against </w:t>
      </w:r>
      <w:r w:rsidR="003F70C1" w:rsidRPr="00AA6D99">
        <w:t xml:space="preserve">the applicants and upon conviction they are very likely to be sentenced to very long prison terms. </w:t>
      </w:r>
    </w:p>
    <w:p w:rsidR="005C30BC" w:rsidRDefault="005C30BC" w:rsidP="005C30BC">
      <w:pPr>
        <w:pStyle w:val="ListParagraph"/>
      </w:pPr>
    </w:p>
    <w:p w:rsidR="0052632A" w:rsidRPr="00894347" w:rsidRDefault="005C30BC" w:rsidP="00894347">
      <w:pPr>
        <w:pStyle w:val="ListParagraph"/>
        <w:numPr>
          <w:ilvl w:val="0"/>
          <w:numId w:val="1"/>
        </w:numPr>
        <w:spacing w:before="0" w:beforeAutospacing="0" w:after="160" w:afterAutospacing="0"/>
        <w:jc w:val="both"/>
        <w:rPr>
          <w:rFonts w:cs="Times New Roman"/>
          <w:szCs w:val="24"/>
        </w:rPr>
      </w:pPr>
      <w:r w:rsidRPr="00285C5E">
        <w:rPr>
          <w:rFonts w:cs="Times New Roman"/>
          <w:szCs w:val="24"/>
        </w:rPr>
        <w:t xml:space="preserve">On the evidence, facts and circumstances of this case, I find that the State has a strong </w:t>
      </w:r>
      <w:r w:rsidRPr="00285C5E">
        <w:rPr>
          <w:rFonts w:cs="Times New Roman"/>
          <w:i/>
          <w:iCs/>
          <w:szCs w:val="24"/>
        </w:rPr>
        <w:t xml:space="preserve">prima facie </w:t>
      </w:r>
      <w:r w:rsidRPr="00285C5E">
        <w:rPr>
          <w:rFonts w:cs="Times New Roman"/>
          <w:szCs w:val="24"/>
        </w:rPr>
        <w:t>case against the applicant</w:t>
      </w:r>
      <w:r w:rsidR="002F7116">
        <w:rPr>
          <w:rFonts w:cs="Times New Roman"/>
          <w:szCs w:val="24"/>
        </w:rPr>
        <w:t>s. The a</w:t>
      </w:r>
      <w:r w:rsidRPr="00285C5E">
        <w:rPr>
          <w:rFonts w:cs="Times New Roman"/>
          <w:szCs w:val="24"/>
        </w:rPr>
        <w:t>pplicant</w:t>
      </w:r>
      <w:r w:rsidR="002F7116">
        <w:rPr>
          <w:rFonts w:cs="Times New Roman"/>
          <w:szCs w:val="24"/>
        </w:rPr>
        <w:t xml:space="preserve">s are </w:t>
      </w:r>
      <w:r w:rsidRPr="00285C5E">
        <w:rPr>
          <w:rFonts w:cs="Times New Roman"/>
          <w:szCs w:val="24"/>
        </w:rPr>
        <w:t>facing very s</w:t>
      </w:r>
      <w:r w:rsidR="002F7116">
        <w:rPr>
          <w:rFonts w:cs="Times New Roman"/>
          <w:szCs w:val="24"/>
        </w:rPr>
        <w:t>erious charges. If convicted they are</w:t>
      </w:r>
      <w:r w:rsidRPr="00285C5E">
        <w:rPr>
          <w:rFonts w:cs="Times New Roman"/>
          <w:szCs w:val="24"/>
        </w:rPr>
        <w:t xml:space="preserve"> most likely going to be sen</w:t>
      </w:r>
      <w:r w:rsidR="002F7116">
        <w:rPr>
          <w:rFonts w:cs="Times New Roman"/>
          <w:szCs w:val="24"/>
        </w:rPr>
        <w:t>tenced to</w:t>
      </w:r>
      <w:r w:rsidRPr="00285C5E">
        <w:rPr>
          <w:rFonts w:cs="Times New Roman"/>
          <w:szCs w:val="24"/>
        </w:rPr>
        <w:t xml:space="preserve"> lengthy custodial term</w:t>
      </w:r>
      <w:r w:rsidR="002F7116">
        <w:rPr>
          <w:rFonts w:cs="Times New Roman"/>
          <w:szCs w:val="24"/>
        </w:rPr>
        <w:t>s, thus they will be</w:t>
      </w:r>
      <w:r w:rsidRPr="00285C5E">
        <w:rPr>
          <w:rFonts w:cs="Times New Roman"/>
          <w:szCs w:val="24"/>
        </w:rPr>
        <w:t xml:space="preserve"> tempted to abscond and not stand trial. T</w:t>
      </w:r>
      <w:r w:rsidR="00B57D77">
        <w:rPr>
          <w:rFonts w:cs="Times New Roman"/>
          <w:szCs w:val="24"/>
        </w:rPr>
        <w:t xml:space="preserve">he temptation for the applicants </w:t>
      </w:r>
      <w:r w:rsidRPr="00285C5E">
        <w:rPr>
          <w:rFonts w:cs="Times New Roman"/>
          <w:szCs w:val="24"/>
        </w:rPr>
        <w:t xml:space="preserve">to abscond if granted bail is real. See: </w:t>
      </w:r>
      <w:r w:rsidRPr="00285C5E">
        <w:rPr>
          <w:rFonts w:cs="Times New Roman"/>
          <w:i/>
          <w:iCs/>
          <w:szCs w:val="24"/>
        </w:rPr>
        <w:t xml:space="preserve">S v </w:t>
      </w:r>
      <w:proofErr w:type="spellStart"/>
      <w:r w:rsidRPr="00285C5E">
        <w:rPr>
          <w:rFonts w:cs="Times New Roman"/>
          <w:i/>
          <w:iCs/>
          <w:szCs w:val="24"/>
        </w:rPr>
        <w:t>Jongwe</w:t>
      </w:r>
      <w:proofErr w:type="spellEnd"/>
      <w:r w:rsidRPr="00285C5E">
        <w:rPr>
          <w:rFonts w:cs="Times New Roman"/>
          <w:i/>
          <w:iCs/>
          <w:szCs w:val="24"/>
        </w:rPr>
        <w:t xml:space="preserve"> </w:t>
      </w:r>
      <w:r w:rsidR="00B57D77">
        <w:rPr>
          <w:rFonts w:cs="Times New Roman"/>
          <w:szCs w:val="24"/>
        </w:rPr>
        <w:t xml:space="preserve">SC 62/2002. If released on bail the </w:t>
      </w:r>
      <w:r w:rsidRPr="00285C5E">
        <w:rPr>
          <w:rFonts w:cs="Times New Roman"/>
          <w:szCs w:val="24"/>
        </w:rPr>
        <w:t>applicant</w:t>
      </w:r>
      <w:r w:rsidR="00B57D77">
        <w:rPr>
          <w:rFonts w:cs="Times New Roman"/>
          <w:szCs w:val="24"/>
        </w:rPr>
        <w:t xml:space="preserve">s will not stand their trial and they </w:t>
      </w:r>
      <w:r w:rsidRPr="00285C5E">
        <w:rPr>
          <w:rFonts w:cs="Times New Roman"/>
          <w:szCs w:val="24"/>
        </w:rPr>
        <w:t>will just abscond.</w:t>
      </w:r>
      <w:r w:rsidR="00894347">
        <w:rPr>
          <w:rFonts w:cs="Times New Roman"/>
          <w:szCs w:val="24"/>
        </w:rPr>
        <w:t xml:space="preserve"> </w:t>
      </w:r>
      <w:r w:rsidR="00B3501F" w:rsidRPr="00894347">
        <w:rPr>
          <w:rFonts w:cs="Times New Roman"/>
          <w:szCs w:val="24"/>
        </w:rPr>
        <w:t>Again t</w:t>
      </w:r>
      <w:r w:rsidR="0052632A" w:rsidRPr="00894347">
        <w:rPr>
          <w:rFonts w:cs="Times New Roman"/>
          <w:szCs w:val="24"/>
        </w:rPr>
        <w:t>he applicants are</w:t>
      </w:r>
      <w:r w:rsidR="00BD6E66" w:rsidRPr="00894347">
        <w:rPr>
          <w:rFonts w:cs="Times New Roman"/>
          <w:szCs w:val="24"/>
        </w:rPr>
        <w:t xml:space="preserve"> not only a flight risk</w:t>
      </w:r>
      <w:r w:rsidR="00B3501F" w:rsidRPr="00894347">
        <w:rPr>
          <w:rFonts w:cs="Times New Roman"/>
          <w:szCs w:val="24"/>
        </w:rPr>
        <w:t>,</w:t>
      </w:r>
      <w:r w:rsidR="00BD6E66" w:rsidRPr="00894347">
        <w:rPr>
          <w:rFonts w:cs="Times New Roman"/>
          <w:szCs w:val="24"/>
        </w:rPr>
        <w:t xml:space="preserve"> but their</w:t>
      </w:r>
      <w:r w:rsidR="0052632A" w:rsidRPr="00894347">
        <w:rPr>
          <w:rFonts w:cs="Times New Roman"/>
          <w:szCs w:val="24"/>
        </w:rPr>
        <w:t xml:space="preserve"> release on bail given the serious allegations against him of use of a fire arm in the alleged commission of the offence of robbery will undermine the objective and proper functioning of the criminal justice system and the bail </w:t>
      </w:r>
      <w:r w:rsidR="0052632A" w:rsidRPr="00894347">
        <w:rPr>
          <w:rFonts w:cs="Times New Roman"/>
          <w:szCs w:val="24"/>
        </w:rPr>
        <w:lastRenderedPageBreak/>
        <w:t>institution. The cumulative effect of these facts constitutes a weighty indication that bail should not be granted.</w:t>
      </w:r>
    </w:p>
    <w:p w:rsidR="0052632A" w:rsidRPr="00285C5E" w:rsidRDefault="0052632A" w:rsidP="0052632A">
      <w:pPr>
        <w:pStyle w:val="ListParagraph"/>
        <w:jc w:val="both"/>
        <w:rPr>
          <w:rFonts w:cs="Times New Roman"/>
          <w:szCs w:val="24"/>
        </w:rPr>
      </w:pPr>
    </w:p>
    <w:p w:rsidR="0052632A" w:rsidRPr="00E20023" w:rsidRDefault="00BD6E66" w:rsidP="00E20023">
      <w:pPr>
        <w:pStyle w:val="ListParagraph"/>
        <w:numPr>
          <w:ilvl w:val="0"/>
          <w:numId w:val="1"/>
        </w:numPr>
        <w:spacing w:before="0" w:beforeAutospacing="0" w:after="160" w:afterAutospacing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In r</w:t>
      </w:r>
      <w:r w:rsidR="00B3501F">
        <w:rPr>
          <w:rFonts w:cs="Times New Roman"/>
          <w:szCs w:val="24"/>
        </w:rPr>
        <w:t xml:space="preserve">espect of </w:t>
      </w:r>
      <w:r w:rsidR="00F43B82">
        <w:rPr>
          <w:rFonts w:cs="Times New Roman"/>
          <w:szCs w:val="24"/>
        </w:rPr>
        <w:t xml:space="preserve">the </w:t>
      </w:r>
      <w:r w:rsidR="00B3501F">
        <w:rPr>
          <w:rFonts w:cs="Times New Roman"/>
          <w:szCs w:val="24"/>
        </w:rPr>
        <w:t>one</w:t>
      </w:r>
      <w:r w:rsidR="00F43B82">
        <w:rPr>
          <w:rFonts w:cs="Times New Roman"/>
          <w:szCs w:val="24"/>
        </w:rPr>
        <w:t xml:space="preserve"> count</w:t>
      </w:r>
      <w:r w:rsidR="00C3345C">
        <w:rPr>
          <w:rFonts w:cs="Times New Roman"/>
          <w:szCs w:val="24"/>
        </w:rPr>
        <w:t xml:space="preserve"> of rob</w:t>
      </w:r>
      <w:r>
        <w:rPr>
          <w:rFonts w:cs="Times New Roman"/>
          <w:szCs w:val="24"/>
        </w:rPr>
        <w:t>b</w:t>
      </w:r>
      <w:r w:rsidR="00C3345C">
        <w:rPr>
          <w:rFonts w:cs="Times New Roman"/>
          <w:szCs w:val="24"/>
        </w:rPr>
        <w:t>e</w:t>
      </w:r>
      <w:r>
        <w:rPr>
          <w:rFonts w:cs="Times New Roman"/>
          <w:szCs w:val="24"/>
        </w:rPr>
        <w:t>ry</w:t>
      </w:r>
      <w:r w:rsidR="0052632A" w:rsidRPr="00285C5E">
        <w:rPr>
          <w:rFonts w:cs="Times New Roman"/>
          <w:szCs w:val="24"/>
        </w:rPr>
        <w:t xml:space="preserve"> </w:t>
      </w:r>
      <w:r w:rsidR="00B3501F">
        <w:rPr>
          <w:rFonts w:cs="Times New Roman"/>
          <w:szCs w:val="24"/>
        </w:rPr>
        <w:t xml:space="preserve">where they allegedly used a firearm to subdue their </w:t>
      </w:r>
      <w:r w:rsidR="00AC4D5A">
        <w:rPr>
          <w:rFonts w:cs="Times New Roman"/>
          <w:szCs w:val="24"/>
        </w:rPr>
        <w:t xml:space="preserve">victim, </w:t>
      </w:r>
      <w:r w:rsidR="0052632A" w:rsidRPr="00285C5E">
        <w:rPr>
          <w:rFonts w:cs="Times New Roman"/>
          <w:szCs w:val="24"/>
        </w:rPr>
        <w:t>I am of the view that the applicant</w:t>
      </w:r>
      <w:r>
        <w:rPr>
          <w:rFonts w:cs="Times New Roman"/>
          <w:szCs w:val="24"/>
        </w:rPr>
        <w:t>s</w:t>
      </w:r>
      <w:r w:rsidR="00F43B82">
        <w:rPr>
          <w:rFonts w:cs="Times New Roman"/>
          <w:szCs w:val="24"/>
        </w:rPr>
        <w:t xml:space="preserve"> have</w:t>
      </w:r>
      <w:r w:rsidR="0052632A" w:rsidRPr="00285C5E">
        <w:rPr>
          <w:rFonts w:cs="Times New Roman"/>
          <w:szCs w:val="24"/>
        </w:rPr>
        <w:t xml:space="preserve"> failed to show any exceptional circumstances which, in </w:t>
      </w:r>
      <w:r w:rsidR="00AC4D5A">
        <w:rPr>
          <w:rFonts w:cs="Times New Roman"/>
          <w:szCs w:val="24"/>
        </w:rPr>
        <w:t>the interests of justice will permit their</w:t>
      </w:r>
      <w:r w:rsidR="0052632A" w:rsidRPr="00285C5E">
        <w:rPr>
          <w:rFonts w:cs="Times New Roman"/>
          <w:szCs w:val="24"/>
        </w:rPr>
        <w:t xml:space="preserve"> release on bail. </w:t>
      </w:r>
      <w:r w:rsidR="00AC4D5A">
        <w:rPr>
          <w:rFonts w:cs="Times New Roman"/>
          <w:szCs w:val="24"/>
        </w:rPr>
        <w:t>In respect of the other</w:t>
      </w:r>
      <w:r w:rsidR="00E07B11">
        <w:rPr>
          <w:rFonts w:cs="Times New Roman"/>
          <w:szCs w:val="24"/>
        </w:rPr>
        <w:t xml:space="preserve"> count</w:t>
      </w:r>
      <w:r w:rsidR="00AC4D5A">
        <w:rPr>
          <w:rFonts w:cs="Times New Roman"/>
          <w:szCs w:val="24"/>
        </w:rPr>
        <w:t xml:space="preserve">s i.e. robbery, </w:t>
      </w:r>
      <w:r w:rsidR="003B4CCA">
        <w:rPr>
          <w:rFonts w:cs="Times New Roman"/>
          <w:szCs w:val="24"/>
        </w:rPr>
        <w:t xml:space="preserve">theft and </w:t>
      </w:r>
      <w:r w:rsidR="00E07B11" w:rsidRPr="00A878D9">
        <w:t>unlawful en</w:t>
      </w:r>
      <w:r w:rsidR="003B4CCA">
        <w:t xml:space="preserve">try into premises </w:t>
      </w:r>
      <w:r w:rsidR="00E07B11">
        <w:t xml:space="preserve">there are compelling reasons that warrants the continued incarceration of the applicants. </w:t>
      </w:r>
      <w:r w:rsidR="00E07B11" w:rsidRPr="00A878D9">
        <w:t xml:space="preserve"> </w:t>
      </w:r>
      <w:r w:rsidR="003B4CCA">
        <w:t xml:space="preserve">The release of the applicants on bail will prejudice the proper administration of justice. </w:t>
      </w:r>
      <w:r w:rsidR="0052632A" w:rsidRPr="00E20023">
        <w:rPr>
          <w:rFonts w:cs="Times New Roman"/>
          <w:szCs w:val="24"/>
        </w:rPr>
        <w:t>On a conspectus of the facts and all the evidence placed before court, I am of the view that it is not in the interests of justice that applicant</w:t>
      </w:r>
      <w:r w:rsidR="00D92D43">
        <w:rPr>
          <w:rFonts w:cs="Times New Roman"/>
          <w:szCs w:val="24"/>
        </w:rPr>
        <w:t>s</w:t>
      </w:r>
      <w:r w:rsidR="0052632A" w:rsidRPr="00E20023">
        <w:rPr>
          <w:rFonts w:cs="Times New Roman"/>
          <w:szCs w:val="24"/>
        </w:rPr>
        <w:t xml:space="preserve"> be released on bail pending trial. </w:t>
      </w:r>
    </w:p>
    <w:p w:rsidR="0052632A" w:rsidRPr="008F4EEF" w:rsidRDefault="0052632A" w:rsidP="0052632A">
      <w:pPr>
        <w:pStyle w:val="ListParagraph"/>
        <w:rPr>
          <w:rFonts w:cs="Times New Roman"/>
          <w:szCs w:val="24"/>
        </w:rPr>
      </w:pPr>
    </w:p>
    <w:p w:rsidR="0052632A" w:rsidRDefault="0052632A" w:rsidP="0052632A">
      <w:pPr>
        <w:pStyle w:val="ListParagraph"/>
        <w:jc w:val="both"/>
        <w:rPr>
          <w:rFonts w:cs="Times New Roman"/>
          <w:szCs w:val="24"/>
        </w:rPr>
      </w:pPr>
      <w:r w:rsidRPr="00BE25B6">
        <w:rPr>
          <w:rFonts w:cs="Times New Roman"/>
          <w:szCs w:val="24"/>
        </w:rPr>
        <w:t>In the result, the application for bail be and is hereby dismissed and applicant</w:t>
      </w:r>
      <w:r w:rsidR="00D92D43">
        <w:rPr>
          <w:rFonts w:cs="Times New Roman"/>
          <w:szCs w:val="24"/>
        </w:rPr>
        <w:t>s</w:t>
      </w:r>
      <w:r w:rsidRPr="00BE25B6">
        <w:rPr>
          <w:rFonts w:cs="Times New Roman"/>
          <w:szCs w:val="24"/>
        </w:rPr>
        <w:t xml:space="preserve"> shall remain in custody.</w:t>
      </w:r>
    </w:p>
    <w:p w:rsidR="0052632A" w:rsidRDefault="0052632A" w:rsidP="0052632A">
      <w:pPr>
        <w:pStyle w:val="ListParagraph"/>
        <w:jc w:val="both"/>
        <w:rPr>
          <w:rFonts w:cs="Times New Roman"/>
          <w:szCs w:val="24"/>
        </w:rPr>
      </w:pPr>
    </w:p>
    <w:p w:rsidR="0052632A" w:rsidRPr="00BE25B6" w:rsidRDefault="0052632A" w:rsidP="0052632A">
      <w:pPr>
        <w:pStyle w:val="ListParagraph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It is so ordered. </w:t>
      </w:r>
    </w:p>
    <w:p w:rsidR="0052632A" w:rsidRDefault="0052632A" w:rsidP="0052632A">
      <w:pPr>
        <w:pStyle w:val="ListParagraph"/>
        <w:jc w:val="both"/>
        <w:rPr>
          <w:rFonts w:cs="Times New Roman"/>
          <w:szCs w:val="24"/>
        </w:rPr>
      </w:pPr>
    </w:p>
    <w:p w:rsidR="0052632A" w:rsidRDefault="0052632A" w:rsidP="0052632A">
      <w:pPr>
        <w:pStyle w:val="ListParagraph"/>
        <w:jc w:val="both"/>
        <w:rPr>
          <w:rFonts w:cs="Times New Roman"/>
          <w:szCs w:val="24"/>
        </w:rPr>
      </w:pPr>
    </w:p>
    <w:p w:rsidR="0052632A" w:rsidRDefault="0052632A" w:rsidP="0052632A">
      <w:pPr>
        <w:pStyle w:val="ListParagraph"/>
        <w:jc w:val="both"/>
        <w:rPr>
          <w:rFonts w:cs="Times New Roman"/>
          <w:szCs w:val="24"/>
        </w:rPr>
      </w:pPr>
    </w:p>
    <w:p w:rsidR="0052632A" w:rsidRPr="00103F44" w:rsidRDefault="00F02634" w:rsidP="00E20023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cs="Times New Roman"/>
          <w:color w:val="000000"/>
          <w:szCs w:val="24"/>
        </w:rPr>
      </w:pPr>
      <w:proofErr w:type="spellStart"/>
      <w:r>
        <w:rPr>
          <w:rFonts w:cs="Times New Roman"/>
          <w:i/>
          <w:iCs/>
          <w:color w:val="000000"/>
          <w:szCs w:val="24"/>
        </w:rPr>
        <w:t>Dube</w:t>
      </w:r>
      <w:proofErr w:type="spellEnd"/>
      <w:r>
        <w:rPr>
          <w:rFonts w:cs="Times New Roman"/>
          <w:i/>
          <w:iCs/>
          <w:color w:val="000000"/>
          <w:szCs w:val="24"/>
        </w:rPr>
        <w:t xml:space="preserve"> and Associates</w:t>
      </w:r>
      <w:bookmarkStart w:id="0" w:name="_GoBack"/>
      <w:bookmarkEnd w:id="0"/>
      <w:r w:rsidR="0052632A" w:rsidRPr="00103F44">
        <w:rPr>
          <w:rFonts w:cs="Times New Roman"/>
          <w:i/>
          <w:iCs/>
          <w:color w:val="000000"/>
          <w:szCs w:val="24"/>
        </w:rPr>
        <w:t xml:space="preserve">, </w:t>
      </w:r>
      <w:r w:rsidR="0052632A" w:rsidRPr="00103F44">
        <w:rPr>
          <w:rFonts w:cs="Times New Roman"/>
          <w:color w:val="000000"/>
          <w:szCs w:val="24"/>
        </w:rPr>
        <w:t xml:space="preserve">applicant’s legal practitioners </w:t>
      </w:r>
    </w:p>
    <w:p w:rsidR="0052632A" w:rsidRPr="00103F44" w:rsidRDefault="0052632A" w:rsidP="00E20023">
      <w:pPr>
        <w:spacing w:before="0" w:beforeAutospacing="0" w:after="0" w:afterAutospacing="0" w:line="240" w:lineRule="auto"/>
        <w:jc w:val="both"/>
        <w:rPr>
          <w:rFonts w:cs="Times New Roman"/>
          <w:szCs w:val="24"/>
        </w:rPr>
      </w:pPr>
      <w:r w:rsidRPr="00103F44">
        <w:rPr>
          <w:rFonts w:cs="Times New Roman"/>
          <w:i/>
          <w:iCs/>
          <w:color w:val="000000"/>
          <w:szCs w:val="24"/>
        </w:rPr>
        <w:t>National Prosecuting Authority</w:t>
      </w:r>
      <w:r w:rsidRPr="00103F44">
        <w:rPr>
          <w:rFonts w:cs="Times New Roman"/>
          <w:color w:val="000000"/>
          <w:szCs w:val="24"/>
        </w:rPr>
        <w:t>, respondent’s legal practitioners</w:t>
      </w:r>
    </w:p>
    <w:p w:rsidR="00464A1F" w:rsidRDefault="00464A1F" w:rsidP="00464A1F">
      <w:pPr>
        <w:pStyle w:val="ListParagraph"/>
      </w:pPr>
    </w:p>
    <w:sectPr w:rsidR="00464A1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8CF" w:rsidRDefault="00C318CF" w:rsidP="00C318CF">
      <w:pPr>
        <w:spacing w:before="0" w:after="0" w:line="240" w:lineRule="auto"/>
      </w:pPr>
      <w:r>
        <w:separator/>
      </w:r>
    </w:p>
  </w:endnote>
  <w:endnote w:type="continuationSeparator" w:id="0">
    <w:p w:rsidR="00C318CF" w:rsidRDefault="00C318CF" w:rsidP="00C318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8CF" w:rsidRDefault="00C318CF" w:rsidP="00C318CF">
      <w:pPr>
        <w:spacing w:before="0" w:after="0" w:line="240" w:lineRule="auto"/>
      </w:pPr>
      <w:r>
        <w:separator/>
      </w:r>
    </w:p>
  </w:footnote>
  <w:footnote w:type="continuationSeparator" w:id="0">
    <w:p w:rsidR="00C318CF" w:rsidRDefault="00C318CF" w:rsidP="00C318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5249994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18CF" w:rsidRDefault="00C318CF" w:rsidP="00C318CF">
        <w:pPr>
          <w:pStyle w:val="NoSpacing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2634">
          <w:rPr>
            <w:noProof/>
          </w:rPr>
          <w:t>5</w:t>
        </w:r>
        <w:r>
          <w:rPr>
            <w:noProof/>
          </w:rPr>
          <w:fldChar w:fldCharType="end"/>
        </w:r>
      </w:p>
      <w:p w:rsidR="00C318CF" w:rsidRDefault="00C318CF" w:rsidP="00C318CF">
        <w:pPr>
          <w:pStyle w:val="NoSpacing"/>
          <w:jc w:val="right"/>
          <w:rPr>
            <w:noProof/>
          </w:rPr>
        </w:pPr>
        <w:r>
          <w:rPr>
            <w:noProof/>
          </w:rPr>
          <w:t>HB</w:t>
        </w:r>
        <w:r w:rsidR="00AF40F8">
          <w:rPr>
            <w:noProof/>
          </w:rPr>
          <w:t xml:space="preserve"> 270/22</w:t>
        </w:r>
      </w:p>
      <w:p w:rsidR="00C318CF" w:rsidRDefault="00C318CF" w:rsidP="00C318CF">
        <w:pPr>
          <w:pStyle w:val="NoSpacing"/>
          <w:jc w:val="right"/>
          <w:rPr>
            <w:noProof/>
          </w:rPr>
        </w:pPr>
        <w:r>
          <w:rPr>
            <w:noProof/>
          </w:rPr>
          <w:t>HCB 367/22</w:t>
        </w:r>
      </w:p>
    </w:sdtContent>
  </w:sdt>
  <w:p w:rsidR="005E2961" w:rsidRDefault="005E2961" w:rsidP="00C318CF">
    <w:pPr>
      <w:pStyle w:val="NoSpacing"/>
      <w:jc w:val="right"/>
      <w:rPr>
        <w:noProof/>
      </w:rPr>
    </w:pPr>
    <w:r>
      <w:rPr>
        <w:noProof/>
      </w:rPr>
      <w:t>XREF FIL 453-55/22</w:t>
    </w:r>
  </w:p>
  <w:p w:rsidR="005E2961" w:rsidRDefault="005E2961" w:rsidP="00C318CF">
    <w:pPr>
      <w:pStyle w:val="NoSpacing"/>
      <w:jc w:val="right"/>
    </w:pPr>
    <w:r>
      <w:rPr>
        <w:noProof/>
      </w:rPr>
      <w:t>XREF FIL 460-62/22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21169"/>
    <w:multiLevelType w:val="hybridMultilevel"/>
    <w:tmpl w:val="45647DB4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E00FC"/>
    <w:multiLevelType w:val="hybridMultilevel"/>
    <w:tmpl w:val="DCF09A6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87A"/>
    <w:rsid w:val="00024419"/>
    <w:rsid w:val="00036B63"/>
    <w:rsid w:val="00087F27"/>
    <w:rsid w:val="000931FC"/>
    <w:rsid w:val="000B2029"/>
    <w:rsid w:val="000B2306"/>
    <w:rsid w:val="000B3413"/>
    <w:rsid w:val="000C1E1E"/>
    <w:rsid w:val="000D52A2"/>
    <w:rsid w:val="000E1A18"/>
    <w:rsid w:val="000F1390"/>
    <w:rsid w:val="00177693"/>
    <w:rsid w:val="00184E19"/>
    <w:rsid w:val="001A53A9"/>
    <w:rsid w:val="001B586A"/>
    <w:rsid w:val="001B7438"/>
    <w:rsid w:val="001B755C"/>
    <w:rsid w:val="001D43FF"/>
    <w:rsid w:val="002227B2"/>
    <w:rsid w:val="00224333"/>
    <w:rsid w:val="00235458"/>
    <w:rsid w:val="00241A86"/>
    <w:rsid w:val="002D041F"/>
    <w:rsid w:val="002F7116"/>
    <w:rsid w:val="00315E65"/>
    <w:rsid w:val="00347A8C"/>
    <w:rsid w:val="00354F80"/>
    <w:rsid w:val="003B4598"/>
    <w:rsid w:val="003B4CCA"/>
    <w:rsid w:val="003C06EF"/>
    <w:rsid w:val="003E416F"/>
    <w:rsid w:val="003F70C1"/>
    <w:rsid w:val="0042334A"/>
    <w:rsid w:val="00464A1F"/>
    <w:rsid w:val="00495AD2"/>
    <w:rsid w:val="004A2850"/>
    <w:rsid w:val="004D593D"/>
    <w:rsid w:val="004E5861"/>
    <w:rsid w:val="004F502A"/>
    <w:rsid w:val="00503465"/>
    <w:rsid w:val="0051238A"/>
    <w:rsid w:val="0052632A"/>
    <w:rsid w:val="005421FE"/>
    <w:rsid w:val="005539F1"/>
    <w:rsid w:val="00586CB9"/>
    <w:rsid w:val="005C30BC"/>
    <w:rsid w:val="005E002B"/>
    <w:rsid w:val="005E1FE1"/>
    <w:rsid w:val="005E2961"/>
    <w:rsid w:val="005F587A"/>
    <w:rsid w:val="00614655"/>
    <w:rsid w:val="006A1FFB"/>
    <w:rsid w:val="006C2782"/>
    <w:rsid w:val="006C7212"/>
    <w:rsid w:val="006E19E6"/>
    <w:rsid w:val="006F5855"/>
    <w:rsid w:val="0070095E"/>
    <w:rsid w:val="0073164C"/>
    <w:rsid w:val="00732D7A"/>
    <w:rsid w:val="00735E82"/>
    <w:rsid w:val="007443BC"/>
    <w:rsid w:val="0075186F"/>
    <w:rsid w:val="007A4FE9"/>
    <w:rsid w:val="007E2BF1"/>
    <w:rsid w:val="007E659A"/>
    <w:rsid w:val="007F0EF3"/>
    <w:rsid w:val="007F1304"/>
    <w:rsid w:val="007F4A9F"/>
    <w:rsid w:val="007F6C27"/>
    <w:rsid w:val="008010A6"/>
    <w:rsid w:val="00842ACF"/>
    <w:rsid w:val="0085529A"/>
    <w:rsid w:val="00867C6A"/>
    <w:rsid w:val="00880604"/>
    <w:rsid w:val="00894347"/>
    <w:rsid w:val="008954B5"/>
    <w:rsid w:val="008C1B98"/>
    <w:rsid w:val="008C467D"/>
    <w:rsid w:val="0091022B"/>
    <w:rsid w:val="00926471"/>
    <w:rsid w:val="00936B74"/>
    <w:rsid w:val="009550B2"/>
    <w:rsid w:val="00963124"/>
    <w:rsid w:val="00966E0D"/>
    <w:rsid w:val="00992B21"/>
    <w:rsid w:val="009A2688"/>
    <w:rsid w:val="00A241BD"/>
    <w:rsid w:val="00A37ED5"/>
    <w:rsid w:val="00A45EFD"/>
    <w:rsid w:val="00A5644D"/>
    <w:rsid w:val="00A85A35"/>
    <w:rsid w:val="00A8639E"/>
    <w:rsid w:val="00A878D9"/>
    <w:rsid w:val="00AA0BCE"/>
    <w:rsid w:val="00AA32E6"/>
    <w:rsid w:val="00AA4176"/>
    <w:rsid w:val="00AA6D99"/>
    <w:rsid w:val="00AC4D5A"/>
    <w:rsid w:val="00AF40F8"/>
    <w:rsid w:val="00AF72D4"/>
    <w:rsid w:val="00B0272F"/>
    <w:rsid w:val="00B11A15"/>
    <w:rsid w:val="00B2764F"/>
    <w:rsid w:val="00B3501F"/>
    <w:rsid w:val="00B47864"/>
    <w:rsid w:val="00B533E4"/>
    <w:rsid w:val="00B57D77"/>
    <w:rsid w:val="00B92186"/>
    <w:rsid w:val="00BA47F3"/>
    <w:rsid w:val="00BC4384"/>
    <w:rsid w:val="00BD4AA7"/>
    <w:rsid w:val="00BD6E66"/>
    <w:rsid w:val="00C02791"/>
    <w:rsid w:val="00C202B7"/>
    <w:rsid w:val="00C318CF"/>
    <w:rsid w:val="00C3345C"/>
    <w:rsid w:val="00C40EDB"/>
    <w:rsid w:val="00C6205E"/>
    <w:rsid w:val="00C640D4"/>
    <w:rsid w:val="00C653D6"/>
    <w:rsid w:val="00CB60C2"/>
    <w:rsid w:val="00CC51A9"/>
    <w:rsid w:val="00CC72AC"/>
    <w:rsid w:val="00CD34E1"/>
    <w:rsid w:val="00D14220"/>
    <w:rsid w:val="00D25390"/>
    <w:rsid w:val="00D441BB"/>
    <w:rsid w:val="00D52E30"/>
    <w:rsid w:val="00D56301"/>
    <w:rsid w:val="00D66DE4"/>
    <w:rsid w:val="00D6760A"/>
    <w:rsid w:val="00D70564"/>
    <w:rsid w:val="00D71D33"/>
    <w:rsid w:val="00D77D93"/>
    <w:rsid w:val="00D8713B"/>
    <w:rsid w:val="00D873F4"/>
    <w:rsid w:val="00D913A4"/>
    <w:rsid w:val="00D92D43"/>
    <w:rsid w:val="00DA2D9C"/>
    <w:rsid w:val="00DB78B3"/>
    <w:rsid w:val="00DE5B36"/>
    <w:rsid w:val="00E07B11"/>
    <w:rsid w:val="00E20023"/>
    <w:rsid w:val="00E50262"/>
    <w:rsid w:val="00E510CC"/>
    <w:rsid w:val="00E94FFA"/>
    <w:rsid w:val="00E96DAB"/>
    <w:rsid w:val="00EA37F5"/>
    <w:rsid w:val="00EF6B8A"/>
    <w:rsid w:val="00F012C7"/>
    <w:rsid w:val="00F02634"/>
    <w:rsid w:val="00F064C9"/>
    <w:rsid w:val="00F13FC5"/>
    <w:rsid w:val="00F15800"/>
    <w:rsid w:val="00F233FE"/>
    <w:rsid w:val="00F43B82"/>
    <w:rsid w:val="00F471E8"/>
    <w:rsid w:val="00F525FA"/>
    <w:rsid w:val="00F9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58BC6-D1C4-41A6-BA60-9786E839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64F"/>
    <w:pPr>
      <w:spacing w:before="100" w:beforeAutospacing="1" w:after="100" w:afterAutospacing="1" w:line="360" w:lineRule="auto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2764F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F525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B20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769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693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31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8CF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1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8CF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USR</cp:lastModifiedBy>
  <cp:revision>60</cp:revision>
  <cp:lastPrinted>2022-10-30T15:51:00Z</cp:lastPrinted>
  <dcterms:created xsi:type="dcterms:W3CDTF">2022-10-27T20:04:00Z</dcterms:created>
  <dcterms:modified xsi:type="dcterms:W3CDTF">2022-11-01T14:00:00Z</dcterms:modified>
</cp:coreProperties>
</file>