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9B" w:rsidRDefault="006A6F9B" w:rsidP="006A6F9B">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B71112">
        <w:rPr>
          <w:rFonts w:ascii="Tahoma" w:hAnsi="Tahoma" w:cs="Tahoma"/>
          <w:b/>
        </w:rPr>
        <w:t>34</w:t>
      </w:r>
      <w:r>
        <w:rPr>
          <w:rFonts w:ascii="Tahoma" w:hAnsi="Tahoma" w:cs="Tahoma"/>
          <w:b/>
        </w:rPr>
        <w:t>/2013</w:t>
      </w:r>
    </w:p>
    <w:p w:rsidR="006A6F9B" w:rsidRDefault="006A6F9B" w:rsidP="006A6F9B">
      <w:pPr>
        <w:spacing w:after="0" w:line="360" w:lineRule="auto"/>
        <w:jc w:val="both"/>
        <w:rPr>
          <w:rFonts w:ascii="Tahoma" w:hAnsi="Tahoma" w:cs="Tahoma"/>
          <w:b/>
        </w:rPr>
      </w:pPr>
      <w:r>
        <w:rPr>
          <w:rFonts w:ascii="Tahoma" w:hAnsi="Tahoma" w:cs="Tahoma"/>
          <w:b/>
        </w:rPr>
        <w:t>HELD IN HARARE, FEBRUARY 8, 2013</w:t>
      </w:r>
      <w:r>
        <w:rPr>
          <w:rFonts w:ascii="Tahoma" w:hAnsi="Tahoma" w:cs="Tahoma"/>
          <w:b/>
        </w:rPr>
        <w:tab/>
      </w:r>
      <w:r>
        <w:rPr>
          <w:rFonts w:ascii="Tahoma" w:hAnsi="Tahoma" w:cs="Tahoma"/>
          <w:b/>
        </w:rPr>
        <w:tab/>
        <w:t>CASE NO. LC/H/165/09</w:t>
      </w:r>
    </w:p>
    <w:p w:rsidR="006A6F9B" w:rsidRDefault="006A6F9B" w:rsidP="006A6F9B">
      <w:pPr>
        <w:spacing w:after="0" w:line="360" w:lineRule="auto"/>
        <w:jc w:val="both"/>
        <w:rPr>
          <w:rFonts w:ascii="Tahoma" w:hAnsi="Tahoma" w:cs="Tahoma"/>
        </w:rPr>
      </w:pPr>
      <w:r>
        <w:rPr>
          <w:rFonts w:ascii="Tahoma" w:hAnsi="Tahoma" w:cs="Tahoma"/>
        </w:rPr>
        <w:t>In the Matter Between</w:t>
      </w:r>
    </w:p>
    <w:p w:rsidR="006A6F9B" w:rsidRDefault="006A6F9B" w:rsidP="006A6F9B">
      <w:pPr>
        <w:spacing w:after="0" w:line="360" w:lineRule="auto"/>
        <w:jc w:val="both"/>
        <w:rPr>
          <w:rFonts w:ascii="Tahoma" w:hAnsi="Tahoma" w:cs="Tahoma"/>
          <w:b/>
        </w:rPr>
      </w:pPr>
    </w:p>
    <w:p w:rsidR="006A6F9B" w:rsidRDefault="006A6F9B" w:rsidP="006A6F9B">
      <w:pPr>
        <w:spacing w:after="0" w:line="360" w:lineRule="auto"/>
        <w:jc w:val="both"/>
        <w:rPr>
          <w:rFonts w:ascii="Tahoma" w:hAnsi="Tahoma" w:cs="Tahoma"/>
          <w:b/>
        </w:rPr>
      </w:pPr>
      <w:r>
        <w:rPr>
          <w:rFonts w:ascii="Tahoma" w:hAnsi="Tahoma" w:cs="Tahoma"/>
          <w:b/>
        </w:rPr>
        <w:t>CALISTO MANIKI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6A6F9B" w:rsidRDefault="006A6F9B" w:rsidP="006A6F9B">
      <w:pPr>
        <w:spacing w:after="0" w:line="360" w:lineRule="auto"/>
        <w:jc w:val="both"/>
        <w:rPr>
          <w:rFonts w:ascii="Tahoma" w:hAnsi="Tahoma" w:cs="Tahoma"/>
          <w:b/>
        </w:rPr>
      </w:pPr>
    </w:p>
    <w:p w:rsidR="006A6F9B" w:rsidRDefault="006A6F9B" w:rsidP="006A6F9B">
      <w:pPr>
        <w:spacing w:after="0" w:line="360" w:lineRule="auto"/>
        <w:jc w:val="both"/>
        <w:rPr>
          <w:rFonts w:ascii="Tahoma" w:hAnsi="Tahoma" w:cs="Tahoma"/>
          <w:b/>
        </w:rPr>
      </w:pPr>
      <w:r>
        <w:rPr>
          <w:rFonts w:ascii="Tahoma" w:hAnsi="Tahoma" w:cs="Tahoma"/>
          <w:b/>
        </w:rPr>
        <w:t>And</w:t>
      </w:r>
    </w:p>
    <w:p w:rsidR="006A6F9B" w:rsidRDefault="006A6F9B" w:rsidP="006A6F9B">
      <w:pPr>
        <w:spacing w:after="0" w:line="360" w:lineRule="auto"/>
        <w:jc w:val="both"/>
        <w:rPr>
          <w:rFonts w:ascii="Tahoma" w:hAnsi="Tahoma" w:cs="Tahoma"/>
          <w:b/>
        </w:rPr>
      </w:pPr>
    </w:p>
    <w:p w:rsidR="006A6F9B" w:rsidRDefault="006A6F9B" w:rsidP="006A6F9B">
      <w:pPr>
        <w:spacing w:after="0" w:line="360" w:lineRule="auto"/>
        <w:jc w:val="both"/>
        <w:rPr>
          <w:rFonts w:ascii="Tahoma" w:hAnsi="Tahoma" w:cs="Tahoma"/>
          <w:b/>
        </w:rPr>
      </w:pPr>
      <w:r>
        <w:rPr>
          <w:rFonts w:ascii="Tahoma" w:hAnsi="Tahoma" w:cs="Tahoma"/>
          <w:b/>
        </w:rPr>
        <w:t>CMED (PVT) LTD</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6A6F9B" w:rsidRDefault="006A6F9B" w:rsidP="006A6F9B">
      <w:pPr>
        <w:spacing w:after="0" w:line="360" w:lineRule="auto"/>
        <w:jc w:val="both"/>
        <w:rPr>
          <w:rFonts w:ascii="Tahoma" w:hAnsi="Tahoma" w:cs="Tahoma"/>
          <w:b/>
        </w:rPr>
      </w:pPr>
    </w:p>
    <w:p w:rsidR="006A6F9B" w:rsidRDefault="006A6F9B" w:rsidP="006A6F9B">
      <w:pPr>
        <w:spacing w:after="0" w:line="360" w:lineRule="auto"/>
        <w:jc w:val="both"/>
        <w:rPr>
          <w:rFonts w:ascii="Tahoma" w:hAnsi="Tahoma" w:cs="Tahoma"/>
          <w:b/>
        </w:rPr>
      </w:pPr>
      <w:r>
        <w:rPr>
          <w:rFonts w:ascii="Tahoma" w:hAnsi="Tahoma" w:cs="Tahoma"/>
        </w:rPr>
        <w:t>Before The Honourable E. Makamure         : President</w:t>
      </w:r>
    </w:p>
    <w:p w:rsidR="006A6F9B" w:rsidRDefault="006A6F9B" w:rsidP="006A6F9B">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Miss R.R. Mutindindi (Legal Practitioner)</w:t>
      </w:r>
    </w:p>
    <w:p w:rsidR="006A6F9B" w:rsidRDefault="006A6F9B" w:rsidP="006A6F9B">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T.K. Hove (Legal Practitioner)</w:t>
      </w:r>
    </w:p>
    <w:p w:rsidR="006A6F9B" w:rsidRDefault="006A6F9B" w:rsidP="006A6F9B">
      <w:pPr>
        <w:spacing w:after="0" w:line="360" w:lineRule="auto"/>
        <w:jc w:val="both"/>
        <w:rPr>
          <w:rFonts w:ascii="Tahoma" w:hAnsi="Tahoma" w:cs="Tahoma"/>
          <w:b/>
          <w:sz w:val="24"/>
          <w:szCs w:val="24"/>
        </w:rPr>
      </w:pPr>
    </w:p>
    <w:p w:rsidR="006A6F9B" w:rsidRDefault="006A6F9B" w:rsidP="006A6F9B">
      <w:pPr>
        <w:spacing w:after="0" w:line="360" w:lineRule="auto"/>
        <w:jc w:val="both"/>
        <w:rPr>
          <w:rFonts w:ascii="Tahoma" w:hAnsi="Tahoma" w:cs="Tahoma"/>
          <w:sz w:val="24"/>
          <w:szCs w:val="24"/>
        </w:rPr>
      </w:pPr>
      <w:r>
        <w:rPr>
          <w:rFonts w:ascii="Tahoma" w:hAnsi="Tahoma" w:cs="Tahoma"/>
          <w:b/>
          <w:sz w:val="24"/>
          <w:szCs w:val="24"/>
        </w:rPr>
        <w:t>MAKAMURE E.,</w:t>
      </w:r>
    </w:p>
    <w:p w:rsidR="006A6F9B" w:rsidRDefault="006A6F9B" w:rsidP="006A6F9B">
      <w:pPr>
        <w:spacing w:after="0" w:line="360" w:lineRule="auto"/>
        <w:jc w:val="both"/>
        <w:rPr>
          <w:rFonts w:ascii="Tahoma" w:hAnsi="Tahoma" w:cs="Tahoma"/>
          <w:sz w:val="24"/>
          <w:szCs w:val="24"/>
        </w:rPr>
      </w:pPr>
      <w:r>
        <w:rPr>
          <w:rFonts w:ascii="Tahoma" w:hAnsi="Tahoma" w:cs="Tahoma"/>
          <w:sz w:val="24"/>
          <w:szCs w:val="24"/>
        </w:rPr>
        <w:tab/>
        <w:t xml:space="preserve">Before the merits of this application could be heard, </w:t>
      </w:r>
      <w:r w:rsidRPr="006A6F9B">
        <w:rPr>
          <w:rFonts w:ascii="Tahoma" w:hAnsi="Tahoma" w:cs="Tahoma"/>
          <w:sz w:val="24"/>
          <w:szCs w:val="24"/>
          <w:u w:val="single"/>
        </w:rPr>
        <w:t>Mr T.K. Hove</w:t>
      </w:r>
      <w:r>
        <w:rPr>
          <w:rFonts w:ascii="Tahoma" w:hAnsi="Tahoma" w:cs="Tahoma"/>
          <w:sz w:val="24"/>
          <w:szCs w:val="24"/>
        </w:rPr>
        <w:t xml:space="preserve"> who appeared on behalf of the respondent raised a preliminary issue.  </w:t>
      </w:r>
      <w:r w:rsidRPr="006A6F9B">
        <w:rPr>
          <w:rFonts w:ascii="Tahoma" w:hAnsi="Tahoma" w:cs="Tahoma"/>
          <w:sz w:val="24"/>
          <w:szCs w:val="24"/>
          <w:u w:val="single"/>
        </w:rPr>
        <w:t>Mr Hove</w:t>
      </w:r>
      <w:r>
        <w:rPr>
          <w:rFonts w:ascii="Tahoma" w:hAnsi="Tahoma" w:cs="Tahoma"/>
          <w:sz w:val="24"/>
          <w:szCs w:val="24"/>
        </w:rPr>
        <w:t xml:space="preserve"> submitted that the parties are wrongly cited.  The wrong citation was brought to the attention of the applicant and his legal practitioners.  This was not corrected.  </w:t>
      </w:r>
      <w:r w:rsidRPr="006A6F9B">
        <w:rPr>
          <w:rFonts w:ascii="Tahoma" w:hAnsi="Tahoma" w:cs="Tahoma"/>
          <w:sz w:val="24"/>
          <w:szCs w:val="24"/>
          <w:u w:val="single"/>
        </w:rPr>
        <w:t>Mr Hove</w:t>
      </w:r>
      <w:r>
        <w:rPr>
          <w:rFonts w:ascii="Tahoma" w:hAnsi="Tahoma" w:cs="Tahoma"/>
          <w:sz w:val="24"/>
          <w:szCs w:val="24"/>
        </w:rPr>
        <w:t xml:space="preserve"> therefore applied for the Court to dismiss</w:t>
      </w:r>
      <w:r w:rsidR="00AD1A9D">
        <w:rPr>
          <w:rFonts w:ascii="Tahoma" w:hAnsi="Tahoma" w:cs="Tahoma"/>
          <w:sz w:val="24"/>
          <w:szCs w:val="24"/>
        </w:rPr>
        <w:t xml:space="preserve"> the</w:t>
      </w:r>
      <w:r>
        <w:rPr>
          <w:rFonts w:ascii="Tahoma" w:hAnsi="Tahoma" w:cs="Tahoma"/>
          <w:sz w:val="24"/>
          <w:szCs w:val="24"/>
        </w:rPr>
        <w:t xml:space="preserve"> appli</w:t>
      </w:r>
      <w:r w:rsidR="00AD1A9D">
        <w:rPr>
          <w:rFonts w:ascii="Tahoma" w:hAnsi="Tahoma" w:cs="Tahoma"/>
          <w:sz w:val="24"/>
          <w:szCs w:val="24"/>
        </w:rPr>
        <w:t>cation before the Court for lack</w:t>
      </w:r>
      <w:r>
        <w:rPr>
          <w:rFonts w:ascii="Tahoma" w:hAnsi="Tahoma" w:cs="Tahoma"/>
          <w:sz w:val="24"/>
          <w:szCs w:val="24"/>
        </w:rPr>
        <w:t xml:space="preserve"> of clarity.  </w:t>
      </w:r>
      <w:r>
        <w:rPr>
          <w:rFonts w:ascii="Tahoma" w:hAnsi="Tahoma" w:cs="Tahoma"/>
          <w:sz w:val="24"/>
          <w:szCs w:val="24"/>
          <w:u w:val="single"/>
        </w:rPr>
        <w:t>Ms Mutindindi</w:t>
      </w:r>
      <w:r>
        <w:rPr>
          <w:rFonts w:ascii="Tahoma" w:hAnsi="Tahoma" w:cs="Tahoma"/>
          <w:sz w:val="24"/>
          <w:szCs w:val="24"/>
        </w:rPr>
        <w:t xml:space="preserve"> who app</w:t>
      </w:r>
      <w:r w:rsidR="00AD1A9D">
        <w:rPr>
          <w:rFonts w:ascii="Tahoma" w:hAnsi="Tahoma" w:cs="Tahoma"/>
          <w:sz w:val="24"/>
          <w:szCs w:val="24"/>
        </w:rPr>
        <w:t>eared for the respondent conced</w:t>
      </w:r>
      <w:r>
        <w:rPr>
          <w:rFonts w:ascii="Tahoma" w:hAnsi="Tahoma" w:cs="Tahoma"/>
          <w:sz w:val="24"/>
          <w:szCs w:val="24"/>
        </w:rPr>
        <w:t>e</w:t>
      </w:r>
      <w:r w:rsidR="00B71112">
        <w:rPr>
          <w:rFonts w:ascii="Tahoma" w:hAnsi="Tahoma" w:cs="Tahoma"/>
          <w:sz w:val="24"/>
          <w:szCs w:val="24"/>
        </w:rPr>
        <w:t>d that the parties were wrong</w:t>
      </w:r>
      <w:r>
        <w:rPr>
          <w:rFonts w:ascii="Tahoma" w:hAnsi="Tahoma" w:cs="Tahoma"/>
          <w:sz w:val="24"/>
          <w:szCs w:val="24"/>
        </w:rPr>
        <w:t>ly cited.  However, after making that noble concession</w:t>
      </w:r>
      <w:r w:rsidR="00AD1A9D">
        <w:rPr>
          <w:rFonts w:ascii="Tahoma" w:hAnsi="Tahoma" w:cs="Tahoma"/>
          <w:sz w:val="24"/>
          <w:szCs w:val="24"/>
        </w:rPr>
        <w:t xml:space="preserve">, </w:t>
      </w:r>
      <w:r w:rsidR="00AD1A9D">
        <w:rPr>
          <w:rFonts w:ascii="Tahoma" w:hAnsi="Tahoma" w:cs="Tahoma"/>
          <w:sz w:val="24"/>
          <w:szCs w:val="24"/>
          <w:u w:val="single"/>
        </w:rPr>
        <w:t>Ms Mutindindi</w:t>
      </w:r>
      <w:r>
        <w:rPr>
          <w:rFonts w:ascii="Tahoma" w:hAnsi="Tahoma" w:cs="Tahoma"/>
          <w:sz w:val="24"/>
          <w:szCs w:val="24"/>
        </w:rPr>
        <w:t xml:space="preserve"> proceeded to submit that it is not a major problem.  </w:t>
      </w:r>
      <w:r>
        <w:rPr>
          <w:rFonts w:ascii="Tahoma" w:hAnsi="Tahoma" w:cs="Tahoma"/>
          <w:sz w:val="24"/>
          <w:szCs w:val="24"/>
          <w:u w:val="single"/>
        </w:rPr>
        <w:t>Ms Mutindindi</w:t>
      </w:r>
      <w:r>
        <w:rPr>
          <w:rFonts w:ascii="Tahoma" w:hAnsi="Tahoma" w:cs="Tahoma"/>
          <w:sz w:val="24"/>
          <w:szCs w:val="24"/>
        </w:rPr>
        <w:t xml:space="preserve"> made that submission arguing that this is technical.  It is trite that labour issues should not be resolved on the basis of technicalities.  This does not mean that the</w:t>
      </w:r>
      <w:r w:rsidR="00AD1A9D">
        <w:rPr>
          <w:rFonts w:ascii="Tahoma" w:hAnsi="Tahoma" w:cs="Tahoma"/>
          <w:sz w:val="24"/>
          <w:szCs w:val="24"/>
        </w:rPr>
        <w:t xml:space="preserve"> technicalities must be ignored.  No</w:t>
      </w:r>
      <w:r w:rsidR="00B71112">
        <w:rPr>
          <w:rFonts w:ascii="Tahoma" w:hAnsi="Tahoma" w:cs="Tahoma"/>
          <w:sz w:val="24"/>
          <w:szCs w:val="24"/>
        </w:rPr>
        <w:t xml:space="preserve">. </w:t>
      </w:r>
      <w:r>
        <w:rPr>
          <w:rFonts w:ascii="Tahoma" w:hAnsi="Tahoma" w:cs="Tahoma"/>
          <w:sz w:val="24"/>
          <w:szCs w:val="24"/>
        </w:rPr>
        <w:t xml:space="preserve"> </w:t>
      </w:r>
      <w:r w:rsidR="00B71112">
        <w:rPr>
          <w:rFonts w:ascii="Tahoma" w:hAnsi="Tahoma" w:cs="Tahoma"/>
          <w:sz w:val="24"/>
          <w:szCs w:val="24"/>
        </w:rPr>
        <w:t>S</w:t>
      </w:r>
      <w:r>
        <w:rPr>
          <w:rFonts w:ascii="Tahoma" w:hAnsi="Tahoma" w:cs="Tahoma"/>
          <w:sz w:val="24"/>
          <w:szCs w:val="24"/>
        </w:rPr>
        <w:t xml:space="preserve">uch technicalities must be corrected </w:t>
      </w:r>
      <w:r>
        <w:rPr>
          <w:rFonts w:ascii="Tahoma" w:hAnsi="Tahoma" w:cs="Tahoma"/>
          <w:b/>
          <w:sz w:val="24"/>
          <w:szCs w:val="24"/>
        </w:rPr>
        <w:t>(See Dalny Mine v Banda 1999(1) ZLR 220)</w:t>
      </w:r>
      <w:r>
        <w:rPr>
          <w:rFonts w:ascii="Tahoma" w:hAnsi="Tahoma" w:cs="Tahoma"/>
          <w:sz w:val="24"/>
          <w:szCs w:val="24"/>
        </w:rPr>
        <w:t xml:space="preserve"> (</w:t>
      </w:r>
      <w:r w:rsidR="00AD1A9D">
        <w:rPr>
          <w:rFonts w:ascii="Tahoma" w:hAnsi="Tahoma" w:cs="Tahoma"/>
          <w:sz w:val="24"/>
          <w:szCs w:val="24"/>
        </w:rPr>
        <w:t>Dalny Mine</w:t>
      </w:r>
      <w:r>
        <w:rPr>
          <w:rFonts w:ascii="Tahoma" w:hAnsi="Tahoma" w:cs="Tahoma"/>
          <w:sz w:val="24"/>
          <w:szCs w:val="24"/>
        </w:rPr>
        <w:t xml:space="preserve">).  The Labour Court is a Court of record.  It has rules which have to be complied with.  Proper citation of the parties is imperative so that the Court is properly informed.  It would be wrong to extend the principle enunciated in the </w:t>
      </w:r>
      <w:r w:rsidR="00AD1A9D" w:rsidRPr="00B71112">
        <w:rPr>
          <w:rFonts w:ascii="Tahoma" w:hAnsi="Tahoma" w:cs="Tahoma"/>
          <w:b/>
          <w:sz w:val="24"/>
          <w:szCs w:val="24"/>
        </w:rPr>
        <w:t>Dalny Mine</w:t>
      </w:r>
      <w:r>
        <w:rPr>
          <w:rFonts w:ascii="Tahoma" w:hAnsi="Tahoma" w:cs="Tahoma"/>
          <w:sz w:val="24"/>
          <w:szCs w:val="24"/>
        </w:rPr>
        <w:t xml:space="preserve"> case</w:t>
      </w:r>
      <w:r w:rsidR="00B71112">
        <w:rPr>
          <w:rFonts w:ascii="Tahoma" w:hAnsi="Tahoma" w:cs="Tahoma"/>
          <w:sz w:val="24"/>
          <w:szCs w:val="24"/>
        </w:rPr>
        <w:t xml:space="preserve"> (above)</w:t>
      </w:r>
      <w:r>
        <w:rPr>
          <w:rFonts w:ascii="Tahoma" w:hAnsi="Tahoma" w:cs="Tahoma"/>
          <w:sz w:val="24"/>
          <w:szCs w:val="24"/>
        </w:rPr>
        <w:t xml:space="preserve"> to include</w:t>
      </w:r>
      <w:r w:rsidR="00AD1A9D">
        <w:rPr>
          <w:rFonts w:ascii="Tahoma" w:hAnsi="Tahoma" w:cs="Tahoma"/>
          <w:sz w:val="24"/>
          <w:szCs w:val="24"/>
        </w:rPr>
        <w:t xml:space="preserve"> situations</w:t>
      </w:r>
      <w:r>
        <w:rPr>
          <w:rFonts w:ascii="Tahoma" w:hAnsi="Tahoma" w:cs="Tahoma"/>
          <w:sz w:val="24"/>
          <w:szCs w:val="24"/>
        </w:rPr>
        <w:t xml:space="preserve"> where parties are not properly cited and expect the </w:t>
      </w:r>
      <w:r w:rsidR="00AD1A9D">
        <w:rPr>
          <w:rFonts w:ascii="Tahoma" w:hAnsi="Tahoma" w:cs="Tahoma"/>
          <w:sz w:val="24"/>
          <w:szCs w:val="24"/>
        </w:rPr>
        <w:t>c</w:t>
      </w:r>
      <w:r>
        <w:rPr>
          <w:rFonts w:ascii="Tahoma" w:hAnsi="Tahoma" w:cs="Tahoma"/>
          <w:sz w:val="24"/>
          <w:szCs w:val="24"/>
        </w:rPr>
        <w:t xml:space="preserve">ourt to proceed.  The Court will not ignore this especially where this has been brought to the attention of legal practitioners. </w:t>
      </w:r>
      <w:r w:rsidR="00AD1A9D">
        <w:rPr>
          <w:rFonts w:ascii="Tahoma" w:hAnsi="Tahoma" w:cs="Tahoma"/>
          <w:sz w:val="24"/>
          <w:szCs w:val="24"/>
        </w:rPr>
        <w:t xml:space="preserve"> Besides, if technicalities are not corrected, proceedings will continue in </w:t>
      </w:r>
      <w:r w:rsidR="00AD1A9D">
        <w:rPr>
          <w:rFonts w:ascii="Tahoma" w:hAnsi="Tahoma" w:cs="Tahoma"/>
          <w:sz w:val="24"/>
          <w:szCs w:val="24"/>
        </w:rPr>
        <w:lastRenderedPageBreak/>
        <w:t xml:space="preserve">a very haphazard fashion.  This is likely to cause confusion instead of clarity in the manner in which labour matters are resolved in this Court.  This would be undesirable.  </w:t>
      </w:r>
      <w:r>
        <w:rPr>
          <w:rFonts w:ascii="Tahoma" w:hAnsi="Tahoma" w:cs="Tahoma"/>
          <w:sz w:val="24"/>
          <w:szCs w:val="24"/>
        </w:rPr>
        <w:t xml:space="preserve"> Legal practitioners are officers of the Court.  Their role</w:t>
      </w:r>
      <w:r w:rsidR="00AD1A9D">
        <w:rPr>
          <w:rFonts w:ascii="Tahoma" w:hAnsi="Tahoma" w:cs="Tahoma"/>
          <w:sz w:val="24"/>
          <w:szCs w:val="24"/>
        </w:rPr>
        <w:t>,</w:t>
      </w:r>
      <w:r>
        <w:rPr>
          <w:rFonts w:ascii="Tahoma" w:hAnsi="Tahoma" w:cs="Tahoma"/>
          <w:sz w:val="24"/>
          <w:szCs w:val="24"/>
        </w:rPr>
        <w:t xml:space="preserve"> apart from representing their clients</w:t>
      </w:r>
      <w:r w:rsidR="00B71112">
        <w:rPr>
          <w:rFonts w:ascii="Tahoma" w:hAnsi="Tahoma" w:cs="Tahoma"/>
          <w:sz w:val="24"/>
          <w:szCs w:val="24"/>
        </w:rPr>
        <w:t>,</w:t>
      </w:r>
      <w:r>
        <w:rPr>
          <w:rFonts w:ascii="Tahoma" w:hAnsi="Tahoma" w:cs="Tahoma"/>
          <w:sz w:val="24"/>
          <w:szCs w:val="24"/>
        </w:rPr>
        <w:t xml:space="preserve"> is to assist the Court so that the Court can make an informed decision.  </w:t>
      </w:r>
      <w:r w:rsidR="00AD1A9D">
        <w:rPr>
          <w:rFonts w:ascii="Tahoma" w:hAnsi="Tahoma" w:cs="Tahoma"/>
          <w:sz w:val="24"/>
          <w:szCs w:val="24"/>
        </w:rPr>
        <w:t>W</w:t>
      </w:r>
      <w:r>
        <w:rPr>
          <w:rFonts w:ascii="Tahoma" w:hAnsi="Tahoma" w:cs="Tahoma"/>
          <w:sz w:val="24"/>
          <w:szCs w:val="24"/>
        </w:rPr>
        <w:t xml:space="preserve">rong citation of parties is </w:t>
      </w:r>
      <w:r w:rsidR="00AD1A9D">
        <w:rPr>
          <w:rFonts w:ascii="Tahoma" w:hAnsi="Tahoma" w:cs="Tahoma"/>
          <w:sz w:val="24"/>
          <w:szCs w:val="24"/>
        </w:rPr>
        <w:t xml:space="preserve">not </w:t>
      </w:r>
      <w:r>
        <w:rPr>
          <w:rFonts w:ascii="Tahoma" w:hAnsi="Tahoma" w:cs="Tahoma"/>
          <w:sz w:val="24"/>
          <w:szCs w:val="24"/>
        </w:rPr>
        <w:t xml:space="preserve">a </w:t>
      </w:r>
      <w:r w:rsidR="00AD1A9D">
        <w:rPr>
          <w:rFonts w:ascii="Tahoma" w:hAnsi="Tahoma" w:cs="Tahoma"/>
          <w:sz w:val="24"/>
          <w:szCs w:val="24"/>
        </w:rPr>
        <w:t>minor</w:t>
      </w:r>
      <w:r>
        <w:rPr>
          <w:rFonts w:ascii="Tahoma" w:hAnsi="Tahoma" w:cs="Tahoma"/>
          <w:sz w:val="24"/>
          <w:szCs w:val="24"/>
        </w:rPr>
        <w:t xml:space="preserve"> issue</w:t>
      </w:r>
      <w:r w:rsidR="00AD1A9D">
        <w:rPr>
          <w:rFonts w:ascii="Tahoma" w:hAnsi="Tahoma" w:cs="Tahoma"/>
          <w:sz w:val="24"/>
          <w:szCs w:val="24"/>
        </w:rPr>
        <w:t xml:space="preserve">.  That would mislead the Court.  Asserting that “minor” issues </w:t>
      </w:r>
      <w:r w:rsidR="00B71112">
        <w:rPr>
          <w:rFonts w:ascii="Tahoma" w:hAnsi="Tahoma" w:cs="Tahoma"/>
          <w:sz w:val="24"/>
          <w:szCs w:val="24"/>
        </w:rPr>
        <w:t>should be ignored without correct</w:t>
      </w:r>
      <w:r w:rsidR="00AD1A9D">
        <w:rPr>
          <w:rFonts w:ascii="Tahoma" w:hAnsi="Tahoma" w:cs="Tahoma"/>
          <w:sz w:val="24"/>
          <w:szCs w:val="24"/>
        </w:rPr>
        <w:t>ing them is an approach which should be discouraged, especially among legal practitioners.</w:t>
      </w: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sz w:val="24"/>
          <w:szCs w:val="24"/>
        </w:rPr>
      </w:pPr>
      <w:r>
        <w:rPr>
          <w:rFonts w:ascii="Tahoma" w:hAnsi="Tahoma" w:cs="Tahoma"/>
          <w:sz w:val="24"/>
          <w:szCs w:val="24"/>
        </w:rPr>
        <w:tab/>
        <w:t>In the present case, Mr Maniki, the applicant started o</w:t>
      </w:r>
      <w:r w:rsidR="00AD1A9D">
        <w:rPr>
          <w:rFonts w:ascii="Tahoma" w:hAnsi="Tahoma" w:cs="Tahoma"/>
          <w:sz w:val="24"/>
          <w:szCs w:val="24"/>
        </w:rPr>
        <w:t>f</w:t>
      </w:r>
      <w:r>
        <w:rPr>
          <w:rFonts w:ascii="Tahoma" w:hAnsi="Tahoma" w:cs="Tahoma"/>
          <w:sz w:val="24"/>
          <w:szCs w:val="24"/>
        </w:rPr>
        <w:t>f as a self actor.  He eventually instructed legal practitioners.  Thus the applicant</w:t>
      </w:r>
      <w:r w:rsidR="001340F7">
        <w:rPr>
          <w:rFonts w:ascii="Tahoma" w:hAnsi="Tahoma" w:cs="Tahoma"/>
          <w:sz w:val="24"/>
          <w:szCs w:val="24"/>
        </w:rPr>
        <w:t>’</w:t>
      </w:r>
      <w:r>
        <w:rPr>
          <w:rFonts w:ascii="Tahoma" w:hAnsi="Tahoma" w:cs="Tahoma"/>
          <w:sz w:val="24"/>
          <w:szCs w:val="24"/>
        </w:rPr>
        <w:t>s current legal practitioners should ma</w:t>
      </w:r>
      <w:r w:rsidR="00AD1A9D">
        <w:rPr>
          <w:rFonts w:ascii="Tahoma" w:hAnsi="Tahoma" w:cs="Tahoma"/>
          <w:sz w:val="24"/>
          <w:szCs w:val="24"/>
        </w:rPr>
        <w:t>ke the proper applications to amend</w:t>
      </w:r>
      <w:r>
        <w:rPr>
          <w:rFonts w:ascii="Tahoma" w:hAnsi="Tahoma" w:cs="Tahoma"/>
          <w:sz w:val="24"/>
          <w:szCs w:val="24"/>
        </w:rPr>
        <w:t xml:space="preserve"> if necessary or simply correct what needs to be corrected. </w:t>
      </w: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u w:val="single"/>
        </w:rPr>
        <w:t>Mr Hove</w:t>
      </w:r>
      <w:r>
        <w:rPr>
          <w:rFonts w:ascii="Tahoma" w:hAnsi="Tahoma" w:cs="Tahoma"/>
          <w:sz w:val="24"/>
          <w:szCs w:val="24"/>
        </w:rPr>
        <w:t xml:space="preserve"> has asked for dismissal </w:t>
      </w:r>
      <w:r w:rsidR="00AD1A9D">
        <w:rPr>
          <w:rFonts w:ascii="Tahoma" w:hAnsi="Tahoma" w:cs="Tahoma"/>
          <w:sz w:val="24"/>
          <w:szCs w:val="24"/>
        </w:rPr>
        <w:t>of the application with costs</w:t>
      </w:r>
      <w:r>
        <w:rPr>
          <w:rFonts w:ascii="Tahoma" w:hAnsi="Tahoma" w:cs="Tahoma"/>
          <w:sz w:val="24"/>
          <w:szCs w:val="24"/>
        </w:rPr>
        <w:t xml:space="preserve"> </w:t>
      </w:r>
      <w:r w:rsidR="00AD1A9D">
        <w:rPr>
          <w:rFonts w:ascii="Tahoma" w:hAnsi="Tahoma" w:cs="Tahoma"/>
          <w:i/>
          <w:sz w:val="24"/>
          <w:szCs w:val="24"/>
        </w:rPr>
        <w:t>de b</w:t>
      </w:r>
      <w:r>
        <w:rPr>
          <w:rFonts w:ascii="Tahoma" w:hAnsi="Tahoma" w:cs="Tahoma"/>
          <w:i/>
          <w:sz w:val="24"/>
          <w:szCs w:val="24"/>
        </w:rPr>
        <w:t>onis prop</w:t>
      </w:r>
      <w:r w:rsidR="00AD1A9D">
        <w:rPr>
          <w:rFonts w:ascii="Tahoma" w:hAnsi="Tahoma" w:cs="Tahoma"/>
          <w:i/>
          <w:sz w:val="24"/>
          <w:szCs w:val="24"/>
        </w:rPr>
        <w:t>r</w:t>
      </w:r>
      <w:r>
        <w:rPr>
          <w:rFonts w:ascii="Tahoma" w:hAnsi="Tahoma" w:cs="Tahoma"/>
          <w:i/>
          <w:sz w:val="24"/>
          <w:szCs w:val="24"/>
        </w:rPr>
        <w:t>iis.</w:t>
      </w:r>
      <w:r>
        <w:rPr>
          <w:rFonts w:ascii="Tahoma" w:hAnsi="Tahoma" w:cs="Tahoma"/>
          <w:sz w:val="24"/>
          <w:szCs w:val="24"/>
        </w:rPr>
        <w:t xml:space="preserve">  His reason for asking costs</w:t>
      </w:r>
      <w:r w:rsidR="00AD1A9D">
        <w:rPr>
          <w:rFonts w:ascii="Tahoma" w:hAnsi="Tahoma" w:cs="Tahoma"/>
          <w:sz w:val="24"/>
          <w:szCs w:val="24"/>
        </w:rPr>
        <w:t xml:space="preserve"> on a higher scale</w:t>
      </w:r>
      <w:r>
        <w:rPr>
          <w:rFonts w:ascii="Tahoma" w:hAnsi="Tahoma" w:cs="Tahoma"/>
          <w:sz w:val="24"/>
          <w:szCs w:val="24"/>
        </w:rPr>
        <w:t xml:space="preserve"> is that apart from failing to cite the parties properly, the applicant</w:t>
      </w:r>
      <w:r w:rsidR="00AD1A9D">
        <w:rPr>
          <w:rFonts w:ascii="Tahoma" w:hAnsi="Tahoma" w:cs="Tahoma"/>
          <w:sz w:val="24"/>
          <w:szCs w:val="24"/>
        </w:rPr>
        <w:t>’</w:t>
      </w:r>
      <w:r>
        <w:rPr>
          <w:rFonts w:ascii="Tahoma" w:hAnsi="Tahoma" w:cs="Tahoma"/>
          <w:sz w:val="24"/>
          <w:szCs w:val="24"/>
        </w:rPr>
        <w:t xml:space="preserve">s legal practitioners did not file a draft order.  </w:t>
      </w:r>
      <w:r>
        <w:rPr>
          <w:rFonts w:ascii="Tahoma" w:hAnsi="Tahoma" w:cs="Tahoma"/>
          <w:sz w:val="24"/>
          <w:szCs w:val="24"/>
          <w:u w:val="single"/>
        </w:rPr>
        <w:t>Mr Hove’s</w:t>
      </w:r>
      <w:r>
        <w:rPr>
          <w:rFonts w:ascii="Tahoma" w:hAnsi="Tahoma" w:cs="Tahoma"/>
          <w:sz w:val="24"/>
          <w:szCs w:val="24"/>
        </w:rPr>
        <w:t xml:space="preserve"> reasons for asking for costs</w:t>
      </w:r>
      <w:r w:rsidR="00AD1A9D">
        <w:rPr>
          <w:rFonts w:ascii="Tahoma" w:hAnsi="Tahoma" w:cs="Tahoma"/>
          <w:sz w:val="24"/>
          <w:szCs w:val="24"/>
        </w:rPr>
        <w:t xml:space="preserve"> on a higher scale</w:t>
      </w:r>
      <w:r>
        <w:rPr>
          <w:rFonts w:ascii="Tahoma" w:hAnsi="Tahoma" w:cs="Tahoma"/>
          <w:sz w:val="24"/>
          <w:szCs w:val="24"/>
        </w:rPr>
        <w:t xml:space="preserve"> have been noted.  However it is my considered view that at this point in time the papers be put in order. </w:t>
      </w:r>
      <w:r w:rsidR="00AD1A9D">
        <w:rPr>
          <w:rFonts w:ascii="Tahoma" w:hAnsi="Tahoma" w:cs="Tahoma"/>
          <w:sz w:val="24"/>
          <w:szCs w:val="24"/>
        </w:rPr>
        <w:t xml:space="preserve"> This should help to have the matter reach finality.  Costs will therefore be granted on the ordinary scale.</w:t>
      </w:r>
      <w:r>
        <w:rPr>
          <w:rFonts w:ascii="Tahoma" w:hAnsi="Tahoma" w:cs="Tahoma"/>
          <w:sz w:val="24"/>
          <w:szCs w:val="24"/>
        </w:rPr>
        <w:t xml:space="preserve"> </w:t>
      </w: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sz w:val="24"/>
          <w:szCs w:val="24"/>
        </w:rPr>
      </w:pPr>
      <w:r>
        <w:rPr>
          <w:rFonts w:ascii="Tahoma" w:hAnsi="Tahoma" w:cs="Tahoma"/>
          <w:sz w:val="24"/>
          <w:szCs w:val="24"/>
        </w:rPr>
        <w:tab/>
        <w:t>The applicant’s legal practitioners are accordingly ordered to ensure that the parties are properly cited and file such other papers to ensure that the appropriate application and prayer are in order before the matter can be heard.</w:t>
      </w: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sz w:val="24"/>
          <w:szCs w:val="24"/>
        </w:rPr>
      </w:pPr>
      <w:r>
        <w:rPr>
          <w:rFonts w:ascii="Tahoma" w:hAnsi="Tahoma" w:cs="Tahoma"/>
          <w:sz w:val="24"/>
          <w:szCs w:val="24"/>
        </w:rPr>
        <w:t xml:space="preserve">In view of the foregoing the point </w:t>
      </w:r>
      <w:r w:rsidRPr="006A6F9B">
        <w:rPr>
          <w:rFonts w:ascii="Tahoma" w:hAnsi="Tahoma" w:cs="Tahoma"/>
          <w:i/>
          <w:sz w:val="24"/>
          <w:szCs w:val="24"/>
        </w:rPr>
        <w:t>in limine</w:t>
      </w:r>
      <w:r>
        <w:rPr>
          <w:rFonts w:ascii="Tahoma" w:hAnsi="Tahoma" w:cs="Tahoma"/>
          <w:sz w:val="24"/>
          <w:szCs w:val="24"/>
        </w:rPr>
        <w:t xml:space="preserve"> is upheld with costs.</w:t>
      </w: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sz w:val="24"/>
          <w:szCs w:val="24"/>
        </w:rPr>
      </w:pPr>
    </w:p>
    <w:p w:rsidR="006A6F9B" w:rsidRDefault="006A6F9B" w:rsidP="006A6F9B">
      <w:pPr>
        <w:spacing w:after="0" w:line="360" w:lineRule="auto"/>
        <w:jc w:val="both"/>
        <w:rPr>
          <w:rFonts w:ascii="Tahoma" w:hAnsi="Tahoma" w:cs="Tahoma"/>
          <w:b/>
          <w:i/>
          <w:sz w:val="24"/>
          <w:szCs w:val="24"/>
        </w:rPr>
      </w:pPr>
      <w:r>
        <w:rPr>
          <w:rFonts w:ascii="Tahoma" w:hAnsi="Tahoma" w:cs="Tahoma"/>
          <w:b/>
          <w:i/>
          <w:sz w:val="24"/>
          <w:szCs w:val="24"/>
        </w:rPr>
        <w:t>Ms R.R. Mutindindi Legal Practitioners, for the Applicant.</w:t>
      </w:r>
    </w:p>
    <w:p w:rsidR="006A6F9B" w:rsidRDefault="006A6F9B" w:rsidP="006A6F9B">
      <w:pPr>
        <w:spacing w:after="0" w:line="360" w:lineRule="auto"/>
        <w:jc w:val="both"/>
        <w:rPr>
          <w:rFonts w:ascii="Tahoma" w:hAnsi="Tahoma" w:cs="Tahoma"/>
          <w:b/>
          <w:i/>
          <w:sz w:val="24"/>
          <w:szCs w:val="24"/>
        </w:rPr>
      </w:pPr>
    </w:p>
    <w:p w:rsidR="00532057" w:rsidRDefault="006A6F9B" w:rsidP="00B71112">
      <w:pPr>
        <w:spacing w:after="0" w:line="360" w:lineRule="auto"/>
        <w:jc w:val="both"/>
      </w:pPr>
      <w:r>
        <w:rPr>
          <w:rFonts w:ascii="Tahoma" w:hAnsi="Tahoma" w:cs="Tahoma"/>
          <w:b/>
          <w:i/>
          <w:sz w:val="24"/>
          <w:szCs w:val="24"/>
        </w:rPr>
        <w:t>T.K. Hove and Partners, Legal Practitioners for the Respondent.</w:t>
      </w:r>
      <w:r w:rsidR="00B71112">
        <w:t xml:space="preserve"> </w:t>
      </w:r>
    </w:p>
    <w:sectPr w:rsidR="00532057" w:rsidSect="006A6F9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CB" w:rsidRDefault="009D77CB" w:rsidP="006A6F9B">
      <w:pPr>
        <w:spacing w:after="0" w:line="240" w:lineRule="auto"/>
      </w:pPr>
      <w:r>
        <w:separator/>
      </w:r>
    </w:p>
  </w:endnote>
  <w:endnote w:type="continuationSeparator" w:id="0">
    <w:p w:rsidR="009D77CB" w:rsidRDefault="009D77CB" w:rsidP="006A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518"/>
      <w:docPartObj>
        <w:docPartGallery w:val="Page Numbers (Bottom of Page)"/>
        <w:docPartUnique/>
      </w:docPartObj>
    </w:sdtPr>
    <w:sdtEndPr/>
    <w:sdtContent>
      <w:p w:rsidR="006A6F9B" w:rsidRDefault="009D77CB">
        <w:pPr>
          <w:pStyle w:val="Footer"/>
          <w:jc w:val="right"/>
        </w:pPr>
        <w:r>
          <w:fldChar w:fldCharType="begin"/>
        </w:r>
        <w:r>
          <w:instrText xml:space="preserve"> PAGE   \* MERGEFORMAT </w:instrText>
        </w:r>
        <w:r>
          <w:fldChar w:fldCharType="separate"/>
        </w:r>
        <w:r w:rsidR="00F331D4">
          <w:rPr>
            <w:noProof/>
          </w:rPr>
          <w:t>2</w:t>
        </w:r>
        <w:r>
          <w:rPr>
            <w:noProof/>
          </w:rPr>
          <w:fldChar w:fldCharType="end"/>
        </w:r>
      </w:p>
    </w:sdtContent>
  </w:sdt>
  <w:p w:rsidR="006A6F9B" w:rsidRDefault="006A6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CB" w:rsidRDefault="009D77CB" w:rsidP="006A6F9B">
      <w:pPr>
        <w:spacing w:after="0" w:line="240" w:lineRule="auto"/>
      </w:pPr>
      <w:r>
        <w:separator/>
      </w:r>
    </w:p>
  </w:footnote>
  <w:footnote w:type="continuationSeparator" w:id="0">
    <w:p w:rsidR="009D77CB" w:rsidRDefault="009D77CB" w:rsidP="006A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9B" w:rsidRDefault="006A6F9B" w:rsidP="006A6F9B">
    <w:pPr>
      <w:pStyle w:val="Header"/>
      <w:jc w:val="right"/>
    </w:pPr>
    <w:r>
      <w:rPr>
        <w:rFonts w:ascii="Tahoma" w:hAnsi="Tahoma" w:cs="Tahoma"/>
        <w:b/>
      </w:rPr>
      <w:t>JUDGMENT NO. LC/H//2013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9B"/>
    <w:rsid w:val="00062252"/>
    <w:rsid w:val="001340F7"/>
    <w:rsid w:val="002651E1"/>
    <w:rsid w:val="002A78A5"/>
    <w:rsid w:val="006A6F9B"/>
    <w:rsid w:val="00795BAC"/>
    <w:rsid w:val="007C0BF1"/>
    <w:rsid w:val="008C3C6B"/>
    <w:rsid w:val="009D77CB"/>
    <w:rsid w:val="00AD1A9D"/>
    <w:rsid w:val="00B71112"/>
    <w:rsid w:val="00BB2465"/>
    <w:rsid w:val="00F331D4"/>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F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6F9B"/>
  </w:style>
  <w:style w:type="paragraph" w:styleId="Footer">
    <w:name w:val="footer"/>
    <w:basedOn w:val="Normal"/>
    <w:link w:val="FooterChar"/>
    <w:uiPriority w:val="99"/>
    <w:unhideWhenUsed/>
    <w:rsid w:val="006A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F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6F9B"/>
  </w:style>
  <w:style w:type="paragraph" w:styleId="Footer">
    <w:name w:val="footer"/>
    <w:basedOn w:val="Normal"/>
    <w:link w:val="FooterChar"/>
    <w:uiPriority w:val="99"/>
    <w:unhideWhenUsed/>
    <w:rsid w:val="006A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2013-02-12T11:05:00Z</cp:lastPrinted>
  <dcterms:created xsi:type="dcterms:W3CDTF">2015-04-20T06:43:00Z</dcterms:created>
  <dcterms:modified xsi:type="dcterms:W3CDTF">2015-04-20T06:43:00Z</dcterms:modified>
</cp:coreProperties>
</file>