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42" w:rsidRDefault="00BB1274">
      <w:pPr>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B3199B">
        <w:rPr>
          <w:b/>
          <w:sz w:val="24"/>
          <w:szCs w:val="24"/>
        </w:rPr>
        <w:t>371</w:t>
      </w:r>
      <w:r>
        <w:rPr>
          <w:b/>
          <w:sz w:val="24"/>
          <w:szCs w:val="24"/>
        </w:rPr>
        <w:t>/16</w:t>
      </w:r>
    </w:p>
    <w:p w:rsidR="00BB1274" w:rsidRDefault="00BB1274">
      <w:pPr>
        <w:rPr>
          <w:b/>
          <w:sz w:val="24"/>
          <w:szCs w:val="24"/>
        </w:rPr>
      </w:pPr>
      <w:r>
        <w:rPr>
          <w:b/>
          <w:sz w:val="24"/>
          <w:szCs w:val="24"/>
        </w:rPr>
        <w:t>HELD HARARE 18</w:t>
      </w:r>
      <w:r w:rsidRPr="00BB1274">
        <w:rPr>
          <w:b/>
          <w:sz w:val="24"/>
          <w:szCs w:val="24"/>
          <w:vertAlign w:val="superscript"/>
        </w:rPr>
        <w:t>TH</w:t>
      </w:r>
      <w:r>
        <w:rPr>
          <w:b/>
          <w:sz w:val="24"/>
          <w:szCs w:val="24"/>
        </w:rPr>
        <w:t xml:space="preserve"> </w:t>
      </w:r>
      <w:r w:rsidR="00EC14CD">
        <w:rPr>
          <w:b/>
          <w:sz w:val="24"/>
          <w:szCs w:val="24"/>
        </w:rPr>
        <w:t>MAY</w:t>
      </w:r>
      <w:bookmarkStart w:id="0" w:name="_GoBack"/>
      <w:bookmarkEnd w:id="0"/>
      <w:r>
        <w:rPr>
          <w:b/>
          <w:sz w:val="24"/>
          <w:szCs w:val="24"/>
        </w:rPr>
        <w:t xml:space="preserve"> 2016</w:t>
      </w:r>
      <w:r>
        <w:rPr>
          <w:b/>
          <w:sz w:val="24"/>
          <w:szCs w:val="24"/>
        </w:rPr>
        <w:tab/>
      </w:r>
      <w:r>
        <w:rPr>
          <w:b/>
          <w:sz w:val="24"/>
          <w:szCs w:val="24"/>
        </w:rPr>
        <w:tab/>
      </w:r>
      <w:r>
        <w:rPr>
          <w:b/>
          <w:sz w:val="24"/>
          <w:szCs w:val="24"/>
        </w:rPr>
        <w:tab/>
      </w:r>
      <w:r>
        <w:rPr>
          <w:b/>
          <w:sz w:val="24"/>
          <w:szCs w:val="24"/>
        </w:rPr>
        <w:tab/>
        <w:t>CASE NO LC/H/795/15</w:t>
      </w:r>
    </w:p>
    <w:p w:rsidR="00BB1274" w:rsidRDefault="00BB1274">
      <w:pPr>
        <w:rPr>
          <w:b/>
          <w:sz w:val="24"/>
          <w:szCs w:val="24"/>
        </w:rPr>
      </w:pPr>
      <w:r>
        <w:rPr>
          <w:b/>
          <w:sz w:val="24"/>
          <w:szCs w:val="24"/>
        </w:rPr>
        <w:t>&amp; 10 JUNE 2016</w:t>
      </w:r>
    </w:p>
    <w:p w:rsidR="00BB1274" w:rsidRDefault="00BB1274">
      <w:pPr>
        <w:rPr>
          <w:sz w:val="24"/>
          <w:szCs w:val="24"/>
        </w:rPr>
      </w:pPr>
      <w:r>
        <w:rPr>
          <w:sz w:val="24"/>
          <w:szCs w:val="24"/>
        </w:rPr>
        <w:t>In the matter between:</w:t>
      </w:r>
    </w:p>
    <w:p w:rsidR="00BB1274" w:rsidRDefault="00BB1274" w:rsidP="00796C4A">
      <w:pPr>
        <w:spacing w:line="360" w:lineRule="auto"/>
        <w:jc w:val="both"/>
        <w:rPr>
          <w:b/>
          <w:sz w:val="24"/>
          <w:szCs w:val="24"/>
        </w:rPr>
      </w:pPr>
      <w:r>
        <w:rPr>
          <w:b/>
          <w:sz w:val="24"/>
          <w:szCs w:val="24"/>
        </w:rPr>
        <w:t>CMED (PVT) LTD</w:t>
      </w:r>
      <w:r>
        <w:rPr>
          <w:b/>
          <w:sz w:val="24"/>
          <w:szCs w:val="24"/>
        </w:rPr>
        <w:tab/>
      </w:r>
      <w:r>
        <w:rPr>
          <w:b/>
          <w:sz w:val="24"/>
          <w:szCs w:val="24"/>
        </w:rPr>
        <w:tab/>
      </w:r>
      <w:r>
        <w:rPr>
          <w:b/>
          <w:sz w:val="24"/>
          <w:szCs w:val="24"/>
        </w:rPr>
        <w:tab/>
      </w:r>
      <w:r>
        <w:rPr>
          <w:b/>
          <w:sz w:val="24"/>
          <w:szCs w:val="24"/>
        </w:rPr>
        <w:tab/>
      </w:r>
      <w:r>
        <w:rPr>
          <w:b/>
          <w:sz w:val="24"/>
          <w:szCs w:val="24"/>
        </w:rPr>
        <w:tab/>
        <w:t>Appellant</w:t>
      </w:r>
    </w:p>
    <w:p w:rsidR="00BB1274" w:rsidRDefault="00BB1274" w:rsidP="00796C4A">
      <w:pPr>
        <w:spacing w:line="360" w:lineRule="auto"/>
        <w:jc w:val="both"/>
        <w:rPr>
          <w:b/>
          <w:sz w:val="24"/>
          <w:szCs w:val="24"/>
        </w:rPr>
      </w:pPr>
      <w:r>
        <w:rPr>
          <w:b/>
          <w:sz w:val="24"/>
          <w:szCs w:val="24"/>
        </w:rPr>
        <w:t>And</w:t>
      </w:r>
    </w:p>
    <w:p w:rsidR="00BB1274" w:rsidRDefault="00BB1274" w:rsidP="00796C4A">
      <w:pPr>
        <w:spacing w:line="360" w:lineRule="auto"/>
        <w:jc w:val="both"/>
        <w:rPr>
          <w:b/>
          <w:sz w:val="24"/>
          <w:szCs w:val="24"/>
        </w:rPr>
      </w:pPr>
      <w:r>
        <w:rPr>
          <w:b/>
          <w:sz w:val="24"/>
          <w:szCs w:val="24"/>
        </w:rPr>
        <w:t xml:space="preserve">SAMSON BANDE &amp; 29 OTHERS </w:t>
      </w:r>
      <w:r>
        <w:rPr>
          <w:b/>
          <w:sz w:val="24"/>
          <w:szCs w:val="24"/>
        </w:rPr>
        <w:tab/>
      </w:r>
      <w:r>
        <w:rPr>
          <w:b/>
          <w:sz w:val="24"/>
          <w:szCs w:val="24"/>
        </w:rPr>
        <w:tab/>
      </w:r>
      <w:r>
        <w:rPr>
          <w:b/>
          <w:sz w:val="24"/>
          <w:szCs w:val="24"/>
        </w:rPr>
        <w:tab/>
        <w:t>1</w:t>
      </w:r>
      <w:r w:rsidRPr="00BB1274">
        <w:rPr>
          <w:b/>
          <w:sz w:val="24"/>
          <w:szCs w:val="24"/>
          <w:vertAlign w:val="superscript"/>
        </w:rPr>
        <w:t>st</w:t>
      </w:r>
      <w:r>
        <w:rPr>
          <w:b/>
          <w:sz w:val="24"/>
          <w:szCs w:val="24"/>
        </w:rPr>
        <w:t xml:space="preserve"> Respondents</w:t>
      </w:r>
    </w:p>
    <w:p w:rsidR="00BB1274" w:rsidRDefault="00BB1274" w:rsidP="00796C4A">
      <w:pPr>
        <w:spacing w:line="360" w:lineRule="auto"/>
        <w:jc w:val="both"/>
        <w:rPr>
          <w:b/>
          <w:sz w:val="24"/>
          <w:szCs w:val="24"/>
        </w:rPr>
      </w:pPr>
      <w:r>
        <w:rPr>
          <w:b/>
          <w:sz w:val="24"/>
          <w:szCs w:val="24"/>
        </w:rPr>
        <w:t>And</w:t>
      </w:r>
    </w:p>
    <w:p w:rsidR="00BB1274" w:rsidRDefault="00BB1274" w:rsidP="00796C4A">
      <w:pPr>
        <w:spacing w:line="360" w:lineRule="auto"/>
        <w:jc w:val="both"/>
        <w:rPr>
          <w:b/>
          <w:sz w:val="24"/>
          <w:szCs w:val="24"/>
        </w:rPr>
      </w:pPr>
      <w:r>
        <w:rPr>
          <w:b/>
          <w:sz w:val="24"/>
          <w:szCs w:val="24"/>
        </w:rPr>
        <w:t>PUBLIC SERVICE PENSION FUND</w:t>
      </w:r>
      <w:r>
        <w:rPr>
          <w:b/>
          <w:sz w:val="24"/>
          <w:szCs w:val="24"/>
        </w:rPr>
        <w:tab/>
      </w:r>
      <w:r>
        <w:rPr>
          <w:b/>
          <w:sz w:val="24"/>
          <w:szCs w:val="24"/>
        </w:rPr>
        <w:tab/>
      </w:r>
      <w:r>
        <w:rPr>
          <w:b/>
          <w:sz w:val="24"/>
          <w:szCs w:val="24"/>
        </w:rPr>
        <w:tab/>
        <w:t xml:space="preserve"> 2</w:t>
      </w:r>
      <w:r>
        <w:rPr>
          <w:b/>
          <w:sz w:val="24"/>
          <w:szCs w:val="24"/>
          <w:vertAlign w:val="superscript"/>
        </w:rPr>
        <w:t>nd</w:t>
      </w:r>
      <w:r>
        <w:rPr>
          <w:b/>
          <w:sz w:val="24"/>
          <w:szCs w:val="24"/>
        </w:rPr>
        <w:t>Respondent</w:t>
      </w:r>
    </w:p>
    <w:p w:rsidR="00BB1274" w:rsidRDefault="00BB1274" w:rsidP="00796C4A">
      <w:pPr>
        <w:spacing w:line="360" w:lineRule="auto"/>
        <w:jc w:val="both"/>
        <w:rPr>
          <w:sz w:val="24"/>
          <w:szCs w:val="24"/>
        </w:rPr>
      </w:pPr>
      <w:r>
        <w:rPr>
          <w:sz w:val="24"/>
          <w:szCs w:val="24"/>
        </w:rPr>
        <w:t xml:space="preserve">Before The Honourable E </w:t>
      </w:r>
      <w:proofErr w:type="spellStart"/>
      <w:r>
        <w:rPr>
          <w:sz w:val="24"/>
          <w:szCs w:val="24"/>
        </w:rPr>
        <w:t>Muchawa</w:t>
      </w:r>
      <w:proofErr w:type="spellEnd"/>
      <w:r>
        <w:rPr>
          <w:sz w:val="24"/>
          <w:szCs w:val="24"/>
        </w:rPr>
        <w:t>, Judge</w:t>
      </w:r>
    </w:p>
    <w:p w:rsidR="00BB1274" w:rsidRDefault="00BB1274" w:rsidP="00796C4A">
      <w:pPr>
        <w:spacing w:line="360" w:lineRule="auto"/>
        <w:jc w:val="both"/>
        <w:rPr>
          <w:b/>
          <w:sz w:val="24"/>
          <w:szCs w:val="24"/>
        </w:rPr>
      </w:pPr>
      <w:r>
        <w:rPr>
          <w:b/>
          <w:sz w:val="24"/>
          <w:szCs w:val="24"/>
        </w:rPr>
        <w:t xml:space="preserve">For Appellant </w:t>
      </w:r>
      <w:r>
        <w:rPr>
          <w:b/>
          <w:sz w:val="24"/>
          <w:szCs w:val="24"/>
        </w:rPr>
        <w:tab/>
      </w:r>
      <w:r>
        <w:rPr>
          <w:b/>
          <w:sz w:val="24"/>
          <w:szCs w:val="24"/>
        </w:rPr>
        <w:tab/>
      </w:r>
      <w:r>
        <w:rPr>
          <w:b/>
          <w:sz w:val="24"/>
          <w:szCs w:val="24"/>
        </w:rPr>
        <w:tab/>
        <w:t xml:space="preserve">F </w:t>
      </w:r>
      <w:proofErr w:type="spellStart"/>
      <w:r>
        <w:rPr>
          <w:b/>
          <w:sz w:val="24"/>
          <w:szCs w:val="24"/>
        </w:rPr>
        <w:t>F</w:t>
      </w:r>
      <w:proofErr w:type="spellEnd"/>
      <w:r>
        <w:rPr>
          <w:b/>
          <w:sz w:val="24"/>
          <w:szCs w:val="24"/>
        </w:rPr>
        <w:t xml:space="preserve"> </w:t>
      </w:r>
      <w:proofErr w:type="spellStart"/>
      <w:r>
        <w:rPr>
          <w:b/>
          <w:sz w:val="24"/>
          <w:szCs w:val="24"/>
        </w:rPr>
        <w:t>Hwenhira</w:t>
      </w:r>
      <w:proofErr w:type="spellEnd"/>
      <w:r>
        <w:rPr>
          <w:b/>
          <w:sz w:val="24"/>
          <w:szCs w:val="24"/>
        </w:rPr>
        <w:t xml:space="preserve"> (Legal Practitioner)</w:t>
      </w:r>
    </w:p>
    <w:p w:rsidR="00BB1274" w:rsidRDefault="00BB1274" w:rsidP="00796C4A">
      <w:pPr>
        <w:spacing w:line="360" w:lineRule="auto"/>
        <w:jc w:val="both"/>
        <w:rPr>
          <w:b/>
          <w:sz w:val="24"/>
          <w:szCs w:val="24"/>
        </w:rPr>
      </w:pPr>
      <w:r>
        <w:rPr>
          <w:b/>
          <w:sz w:val="24"/>
          <w:szCs w:val="24"/>
        </w:rPr>
        <w:t>For 1</w:t>
      </w:r>
      <w:r w:rsidRPr="00BB1274">
        <w:rPr>
          <w:b/>
          <w:sz w:val="24"/>
          <w:szCs w:val="24"/>
          <w:vertAlign w:val="superscript"/>
        </w:rPr>
        <w:t>st</w:t>
      </w:r>
      <w:r>
        <w:rPr>
          <w:b/>
          <w:sz w:val="24"/>
          <w:szCs w:val="24"/>
        </w:rPr>
        <w:t xml:space="preserve"> Respondents</w:t>
      </w:r>
      <w:r>
        <w:rPr>
          <w:b/>
          <w:sz w:val="24"/>
          <w:szCs w:val="24"/>
        </w:rPr>
        <w:tab/>
      </w:r>
      <w:r>
        <w:rPr>
          <w:b/>
          <w:sz w:val="24"/>
          <w:szCs w:val="24"/>
        </w:rPr>
        <w:tab/>
        <w:t xml:space="preserve">S </w:t>
      </w:r>
      <w:proofErr w:type="spellStart"/>
      <w:r>
        <w:rPr>
          <w:b/>
          <w:sz w:val="24"/>
          <w:szCs w:val="24"/>
        </w:rPr>
        <w:t>Bande</w:t>
      </w:r>
      <w:proofErr w:type="spellEnd"/>
    </w:p>
    <w:p w:rsidR="00BB1274" w:rsidRDefault="00BB1274" w:rsidP="00796C4A">
      <w:pPr>
        <w:spacing w:line="360" w:lineRule="auto"/>
        <w:jc w:val="both"/>
        <w:rPr>
          <w:b/>
          <w:sz w:val="24"/>
          <w:szCs w:val="24"/>
        </w:rPr>
      </w:pPr>
      <w:r>
        <w:rPr>
          <w:b/>
          <w:sz w:val="24"/>
          <w:szCs w:val="24"/>
        </w:rPr>
        <w:t xml:space="preserve">For </w:t>
      </w:r>
      <w:r w:rsidR="00796C4A">
        <w:rPr>
          <w:b/>
          <w:sz w:val="24"/>
          <w:szCs w:val="24"/>
        </w:rPr>
        <w:t>2</w:t>
      </w:r>
      <w:r w:rsidR="00796C4A" w:rsidRPr="00796C4A">
        <w:rPr>
          <w:b/>
          <w:sz w:val="24"/>
          <w:szCs w:val="24"/>
          <w:vertAlign w:val="superscript"/>
        </w:rPr>
        <w:t>nd</w:t>
      </w:r>
      <w:r w:rsidR="00796C4A">
        <w:rPr>
          <w:b/>
          <w:sz w:val="24"/>
          <w:szCs w:val="24"/>
        </w:rPr>
        <w:t xml:space="preserve"> Respondent</w:t>
      </w:r>
      <w:r w:rsidR="00796C4A">
        <w:rPr>
          <w:b/>
          <w:sz w:val="24"/>
          <w:szCs w:val="24"/>
        </w:rPr>
        <w:tab/>
      </w:r>
      <w:r w:rsidR="00796C4A">
        <w:rPr>
          <w:b/>
          <w:sz w:val="24"/>
          <w:szCs w:val="24"/>
        </w:rPr>
        <w:tab/>
        <w:t xml:space="preserve">Ms T S </w:t>
      </w:r>
      <w:proofErr w:type="spellStart"/>
      <w:r w:rsidR="00796C4A">
        <w:rPr>
          <w:b/>
          <w:sz w:val="24"/>
          <w:szCs w:val="24"/>
        </w:rPr>
        <w:t>Musangwa</w:t>
      </w:r>
      <w:proofErr w:type="spellEnd"/>
      <w:r w:rsidR="00796C4A">
        <w:rPr>
          <w:b/>
          <w:sz w:val="24"/>
          <w:szCs w:val="24"/>
        </w:rPr>
        <w:t xml:space="preserve"> (Civil Division)</w:t>
      </w:r>
    </w:p>
    <w:p w:rsidR="00796C4A" w:rsidRDefault="00796C4A" w:rsidP="00796C4A">
      <w:pPr>
        <w:spacing w:line="360" w:lineRule="auto"/>
        <w:jc w:val="both"/>
        <w:rPr>
          <w:b/>
          <w:sz w:val="24"/>
          <w:szCs w:val="24"/>
        </w:rPr>
      </w:pPr>
    </w:p>
    <w:p w:rsidR="00796C4A" w:rsidRDefault="00796C4A" w:rsidP="00796C4A">
      <w:pPr>
        <w:spacing w:line="360" w:lineRule="auto"/>
        <w:jc w:val="both"/>
        <w:rPr>
          <w:b/>
          <w:sz w:val="24"/>
          <w:szCs w:val="24"/>
        </w:rPr>
      </w:pPr>
      <w:r>
        <w:rPr>
          <w:b/>
          <w:sz w:val="24"/>
          <w:szCs w:val="24"/>
        </w:rPr>
        <w:t>MUCHAWA, J:</w:t>
      </w:r>
    </w:p>
    <w:p w:rsidR="00796C4A" w:rsidRDefault="00796C4A" w:rsidP="00796C4A">
      <w:pPr>
        <w:spacing w:after="0" w:line="360" w:lineRule="auto"/>
        <w:jc w:val="both"/>
        <w:rPr>
          <w:sz w:val="24"/>
          <w:szCs w:val="24"/>
        </w:rPr>
      </w:pPr>
      <w:r>
        <w:rPr>
          <w:b/>
          <w:sz w:val="24"/>
          <w:szCs w:val="24"/>
        </w:rPr>
        <w:tab/>
      </w:r>
      <w:r>
        <w:rPr>
          <w:sz w:val="24"/>
          <w:szCs w:val="24"/>
        </w:rPr>
        <w:t xml:space="preserve">At the hearing of this appeal I heard submissions on the points in </w:t>
      </w:r>
      <w:proofErr w:type="spellStart"/>
      <w:r>
        <w:rPr>
          <w:i/>
          <w:sz w:val="24"/>
          <w:szCs w:val="24"/>
        </w:rPr>
        <w:t>limine</w:t>
      </w:r>
      <w:proofErr w:type="spellEnd"/>
      <w:r>
        <w:rPr>
          <w:sz w:val="24"/>
          <w:szCs w:val="24"/>
        </w:rPr>
        <w:t xml:space="preserve"> and reserved my ruling</w:t>
      </w:r>
      <w:r w:rsidR="00956098">
        <w:rPr>
          <w:sz w:val="24"/>
          <w:szCs w:val="24"/>
        </w:rPr>
        <w:t>.  T</w:t>
      </w:r>
      <w:r>
        <w:rPr>
          <w:sz w:val="24"/>
          <w:szCs w:val="24"/>
        </w:rPr>
        <w:t>his is it.</w:t>
      </w:r>
    </w:p>
    <w:p w:rsidR="00796C4A" w:rsidRDefault="00796C4A" w:rsidP="00796C4A">
      <w:pPr>
        <w:spacing w:after="0" w:line="360" w:lineRule="auto"/>
        <w:jc w:val="both"/>
        <w:rPr>
          <w:sz w:val="24"/>
          <w:szCs w:val="24"/>
        </w:rPr>
      </w:pPr>
      <w:r>
        <w:rPr>
          <w:sz w:val="24"/>
          <w:szCs w:val="24"/>
        </w:rPr>
        <w:tab/>
        <w:t>The appellant filed its appeal on 28 August 2015 against an arbitral award.  The 2</w:t>
      </w:r>
      <w:r w:rsidRPr="00796C4A">
        <w:rPr>
          <w:sz w:val="24"/>
          <w:szCs w:val="24"/>
          <w:vertAlign w:val="superscript"/>
        </w:rPr>
        <w:t>nd</w:t>
      </w:r>
      <w:r>
        <w:rPr>
          <w:sz w:val="24"/>
          <w:szCs w:val="24"/>
        </w:rPr>
        <w:t xml:space="preserve"> </w:t>
      </w:r>
      <w:proofErr w:type="gramStart"/>
      <w:r>
        <w:rPr>
          <w:sz w:val="24"/>
          <w:szCs w:val="24"/>
        </w:rPr>
        <w:t>respondent</w:t>
      </w:r>
      <w:proofErr w:type="gramEnd"/>
      <w:r>
        <w:rPr>
          <w:sz w:val="24"/>
          <w:szCs w:val="24"/>
        </w:rPr>
        <w:t xml:space="preserve"> who was immediately thereafter served with the notice of appeal, lodged its notice of response on 14 September 2015.  The first respondent only filed its notice of response on 23 September 2015.  Both notice</w:t>
      </w:r>
      <w:r w:rsidR="00956098">
        <w:rPr>
          <w:sz w:val="24"/>
          <w:szCs w:val="24"/>
        </w:rPr>
        <w:t>s</w:t>
      </w:r>
      <w:r>
        <w:rPr>
          <w:sz w:val="24"/>
          <w:szCs w:val="24"/>
        </w:rPr>
        <w:t xml:space="preserve"> of response were served on the appellant soon after filing with the Labour Court.</w:t>
      </w:r>
    </w:p>
    <w:p w:rsidR="00796C4A" w:rsidRDefault="00796C4A" w:rsidP="00796C4A">
      <w:pPr>
        <w:spacing w:line="360" w:lineRule="auto"/>
        <w:jc w:val="both"/>
        <w:rPr>
          <w:sz w:val="24"/>
          <w:szCs w:val="24"/>
        </w:rPr>
      </w:pPr>
      <w:r>
        <w:rPr>
          <w:sz w:val="24"/>
          <w:szCs w:val="24"/>
        </w:rPr>
        <w:tab/>
        <w:t>It was only on 7 January 2016 that the appellant filed what it termed “Appellant’s Preliminary Heads of argument.”</w:t>
      </w:r>
    </w:p>
    <w:p w:rsidR="00796C4A" w:rsidRDefault="00796C4A" w:rsidP="00796C4A">
      <w:pPr>
        <w:spacing w:line="360" w:lineRule="auto"/>
        <w:jc w:val="both"/>
        <w:rPr>
          <w:sz w:val="24"/>
          <w:szCs w:val="24"/>
        </w:rPr>
      </w:pPr>
    </w:p>
    <w:p w:rsidR="00796C4A" w:rsidRDefault="00796C4A" w:rsidP="00956098">
      <w:pPr>
        <w:spacing w:after="0" w:line="360" w:lineRule="auto"/>
        <w:jc w:val="both"/>
        <w:rPr>
          <w:sz w:val="24"/>
          <w:szCs w:val="24"/>
        </w:rPr>
      </w:pPr>
      <w:r>
        <w:rPr>
          <w:sz w:val="24"/>
          <w:szCs w:val="24"/>
        </w:rPr>
        <w:lastRenderedPageBreak/>
        <w:tab/>
        <w:t xml:space="preserve">These heads of argument sought only to address a point in </w:t>
      </w:r>
      <w:proofErr w:type="spellStart"/>
      <w:r>
        <w:rPr>
          <w:i/>
          <w:sz w:val="24"/>
          <w:szCs w:val="24"/>
        </w:rPr>
        <w:t>limine</w:t>
      </w:r>
      <w:proofErr w:type="spellEnd"/>
      <w:r>
        <w:rPr>
          <w:i/>
          <w:sz w:val="24"/>
          <w:szCs w:val="24"/>
        </w:rPr>
        <w:t xml:space="preserve"> </w:t>
      </w:r>
      <w:r>
        <w:rPr>
          <w:sz w:val="24"/>
          <w:szCs w:val="24"/>
        </w:rPr>
        <w:t>raised by the 2</w:t>
      </w:r>
      <w:r w:rsidRPr="00796C4A">
        <w:rPr>
          <w:sz w:val="24"/>
          <w:szCs w:val="24"/>
          <w:vertAlign w:val="superscript"/>
        </w:rPr>
        <w:t>nd</w:t>
      </w:r>
      <w:r>
        <w:rPr>
          <w:sz w:val="24"/>
          <w:szCs w:val="24"/>
        </w:rPr>
        <w:t xml:space="preserve"> respondent that the appellant had cited a non-existent legal persona by citing the Public Service Commission Pension Fund.  They indicated that an application to amend the incorrect citation had been filed and detailed heads of argument would be filed once the amendment was granted.</w:t>
      </w:r>
    </w:p>
    <w:p w:rsidR="00796C4A" w:rsidRDefault="00796C4A" w:rsidP="00956098">
      <w:pPr>
        <w:spacing w:after="0" w:line="360" w:lineRule="auto"/>
        <w:jc w:val="both"/>
        <w:rPr>
          <w:sz w:val="24"/>
          <w:szCs w:val="24"/>
        </w:rPr>
      </w:pPr>
      <w:r>
        <w:rPr>
          <w:sz w:val="24"/>
          <w:szCs w:val="24"/>
        </w:rPr>
        <w:tab/>
        <w:t>The interlocutory matter relating to the applicant for amendment of the 2</w:t>
      </w:r>
      <w:r w:rsidRPr="00796C4A">
        <w:rPr>
          <w:sz w:val="24"/>
          <w:szCs w:val="24"/>
          <w:vertAlign w:val="superscript"/>
        </w:rPr>
        <w:t>nd</w:t>
      </w:r>
      <w:r>
        <w:rPr>
          <w:sz w:val="24"/>
          <w:szCs w:val="24"/>
        </w:rPr>
        <w:t xml:space="preserve"> respondent was heard a</w:t>
      </w:r>
      <w:r w:rsidR="00956098">
        <w:rPr>
          <w:sz w:val="24"/>
          <w:szCs w:val="24"/>
        </w:rPr>
        <w:t xml:space="preserve">nd disposed </w:t>
      </w:r>
      <w:proofErr w:type="gramStart"/>
      <w:r w:rsidR="00956098">
        <w:rPr>
          <w:sz w:val="24"/>
          <w:szCs w:val="24"/>
        </w:rPr>
        <w:t>of  on</w:t>
      </w:r>
      <w:proofErr w:type="gramEnd"/>
      <w:r w:rsidR="00956098">
        <w:rPr>
          <w:sz w:val="24"/>
          <w:szCs w:val="24"/>
        </w:rPr>
        <w:t xml:space="preserve"> 16 March 2016.  It was dismissed on account of non-compliance </w:t>
      </w:r>
      <w:r>
        <w:rPr>
          <w:sz w:val="24"/>
          <w:szCs w:val="24"/>
        </w:rPr>
        <w:t>with Rule 19 (1) of the Labour Court Rules in that the appellant failed to file heads of argument within fourteen days of having received a response and for lack of merit.</w:t>
      </w:r>
    </w:p>
    <w:p w:rsidR="00796C4A" w:rsidRDefault="00796C4A" w:rsidP="00956098">
      <w:pPr>
        <w:spacing w:after="0" w:line="360" w:lineRule="auto"/>
        <w:jc w:val="both"/>
        <w:rPr>
          <w:sz w:val="24"/>
          <w:szCs w:val="24"/>
        </w:rPr>
      </w:pPr>
      <w:r>
        <w:rPr>
          <w:sz w:val="24"/>
          <w:szCs w:val="24"/>
        </w:rPr>
        <w:tab/>
        <w:t xml:space="preserve">In this current appeal the appellant’s Mr </w:t>
      </w:r>
      <w:proofErr w:type="spellStart"/>
      <w:r>
        <w:rPr>
          <w:sz w:val="24"/>
          <w:szCs w:val="24"/>
        </w:rPr>
        <w:t>Hwenhira</w:t>
      </w:r>
      <w:proofErr w:type="spellEnd"/>
      <w:r>
        <w:rPr>
          <w:sz w:val="24"/>
          <w:szCs w:val="24"/>
        </w:rPr>
        <w:t xml:space="preserve"> appeared without filing any further detailed heads of argument and seemed to have entered into an arrangement with Ms </w:t>
      </w:r>
      <w:proofErr w:type="spellStart"/>
      <w:r>
        <w:rPr>
          <w:sz w:val="24"/>
          <w:szCs w:val="24"/>
        </w:rPr>
        <w:t>Musangwa</w:t>
      </w:r>
      <w:proofErr w:type="spellEnd"/>
      <w:r>
        <w:rPr>
          <w:sz w:val="24"/>
          <w:szCs w:val="24"/>
        </w:rPr>
        <w:t xml:space="preserve"> for the 2</w:t>
      </w:r>
      <w:r w:rsidRPr="00796C4A">
        <w:rPr>
          <w:sz w:val="24"/>
          <w:szCs w:val="24"/>
          <w:vertAlign w:val="superscript"/>
        </w:rPr>
        <w:t>nd</w:t>
      </w:r>
      <w:r>
        <w:rPr>
          <w:sz w:val="24"/>
          <w:szCs w:val="24"/>
        </w:rPr>
        <w:t xml:space="preserve"> respondent to seek a postponement.  This was opposed by the 2</w:t>
      </w:r>
      <w:r w:rsidRPr="00796C4A">
        <w:rPr>
          <w:sz w:val="24"/>
          <w:szCs w:val="24"/>
          <w:vertAlign w:val="superscript"/>
        </w:rPr>
        <w:t>nd</w:t>
      </w:r>
      <w:r>
        <w:rPr>
          <w:sz w:val="24"/>
          <w:szCs w:val="24"/>
        </w:rPr>
        <w:t xml:space="preserve"> respondent who sought that the matter be disposed of in terms of Rules 19 (3) (b).</w:t>
      </w:r>
    </w:p>
    <w:p w:rsidR="00796C4A" w:rsidRDefault="00796C4A" w:rsidP="00956098">
      <w:pPr>
        <w:spacing w:after="0" w:line="360" w:lineRule="auto"/>
        <w:jc w:val="both"/>
        <w:rPr>
          <w:sz w:val="24"/>
          <w:szCs w:val="24"/>
        </w:rPr>
      </w:pPr>
      <w:r>
        <w:rPr>
          <w:sz w:val="24"/>
          <w:szCs w:val="24"/>
        </w:rPr>
        <w:tab/>
        <w:t>This ruling addresses the application for a postponement and the 2</w:t>
      </w:r>
      <w:r w:rsidRPr="00796C4A">
        <w:rPr>
          <w:sz w:val="24"/>
          <w:szCs w:val="24"/>
          <w:vertAlign w:val="superscript"/>
        </w:rPr>
        <w:t>nd</w:t>
      </w:r>
      <w:r>
        <w:rPr>
          <w:sz w:val="24"/>
          <w:szCs w:val="24"/>
        </w:rPr>
        <w:t xml:space="preserve"> respondent’s prayer that the matter </w:t>
      </w:r>
      <w:proofErr w:type="gramStart"/>
      <w:r>
        <w:rPr>
          <w:sz w:val="24"/>
          <w:szCs w:val="24"/>
        </w:rPr>
        <w:t>be</w:t>
      </w:r>
      <w:proofErr w:type="gramEnd"/>
      <w:r>
        <w:rPr>
          <w:sz w:val="24"/>
          <w:szCs w:val="24"/>
        </w:rPr>
        <w:t xml:space="preserve"> disposed of in terms of Rule 19.</w:t>
      </w:r>
    </w:p>
    <w:p w:rsidR="00956098" w:rsidRDefault="00956098" w:rsidP="00956098">
      <w:pPr>
        <w:spacing w:after="0" w:line="360" w:lineRule="auto"/>
        <w:jc w:val="both"/>
        <w:rPr>
          <w:sz w:val="24"/>
          <w:szCs w:val="24"/>
        </w:rPr>
      </w:pPr>
    </w:p>
    <w:p w:rsidR="00086D69" w:rsidRDefault="00086D69" w:rsidP="00086D69">
      <w:pPr>
        <w:spacing w:after="0" w:line="360" w:lineRule="auto"/>
        <w:jc w:val="both"/>
        <w:rPr>
          <w:sz w:val="24"/>
          <w:szCs w:val="24"/>
          <w:u w:val="single"/>
        </w:rPr>
      </w:pPr>
      <w:r>
        <w:rPr>
          <w:sz w:val="24"/>
          <w:szCs w:val="24"/>
          <w:u w:val="single"/>
        </w:rPr>
        <w:t>Applicant for postponement</w:t>
      </w:r>
    </w:p>
    <w:p w:rsidR="00956098" w:rsidRDefault="00086D69" w:rsidP="00956098">
      <w:pPr>
        <w:spacing w:after="0" w:line="360" w:lineRule="auto"/>
        <w:jc w:val="both"/>
        <w:rPr>
          <w:sz w:val="24"/>
          <w:szCs w:val="24"/>
        </w:rPr>
      </w:pPr>
      <w:r>
        <w:rPr>
          <w:sz w:val="24"/>
          <w:szCs w:val="24"/>
        </w:rPr>
        <w:tab/>
        <w:t>Counsel for the appellant and the 2</w:t>
      </w:r>
      <w:r w:rsidRPr="00086D69">
        <w:rPr>
          <w:sz w:val="24"/>
          <w:szCs w:val="24"/>
          <w:vertAlign w:val="superscript"/>
        </w:rPr>
        <w:t>nd</w:t>
      </w:r>
      <w:r>
        <w:rPr>
          <w:sz w:val="24"/>
          <w:szCs w:val="24"/>
        </w:rPr>
        <w:t xml:space="preserve"> respondent did not show good cause why a postponement should be granted.</w:t>
      </w:r>
    </w:p>
    <w:p w:rsidR="00956098" w:rsidRDefault="00086D69" w:rsidP="00956098">
      <w:pPr>
        <w:spacing w:after="0" w:line="360" w:lineRule="auto"/>
        <w:ind w:firstLine="720"/>
        <w:jc w:val="both"/>
        <w:rPr>
          <w:sz w:val="24"/>
          <w:szCs w:val="24"/>
        </w:rPr>
      </w:pPr>
      <w:r>
        <w:rPr>
          <w:sz w:val="24"/>
          <w:szCs w:val="24"/>
        </w:rPr>
        <w:t xml:space="preserve">Ms </w:t>
      </w:r>
      <w:proofErr w:type="spellStart"/>
      <w:r>
        <w:rPr>
          <w:sz w:val="24"/>
          <w:szCs w:val="24"/>
        </w:rPr>
        <w:t>Musangwa</w:t>
      </w:r>
      <w:proofErr w:type="spellEnd"/>
      <w:r>
        <w:rPr>
          <w:sz w:val="24"/>
          <w:szCs w:val="24"/>
        </w:rPr>
        <w:t xml:space="preserve"> submitted that she had not been served with the appellant’s heads of argument as they were served directly on their client.  She also stated that she was not the one previously handling the file and was not even aware they had filed heads of argument and only learnt of this from the appellant’s counsel hence the request for a postponement.</w:t>
      </w:r>
    </w:p>
    <w:p w:rsidR="00086D69" w:rsidRDefault="00086D69" w:rsidP="00956098">
      <w:pPr>
        <w:spacing w:after="0" w:line="360" w:lineRule="auto"/>
        <w:ind w:firstLine="720"/>
        <w:jc w:val="both"/>
        <w:rPr>
          <w:sz w:val="24"/>
          <w:szCs w:val="24"/>
        </w:rPr>
      </w:pPr>
      <w:r>
        <w:rPr>
          <w:sz w:val="24"/>
          <w:szCs w:val="24"/>
        </w:rPr>
        <w:t xml:space="preserve">Mr </w:t>
      </w:r>
      <w:proofErr w:type="spellStart"/>
      <w:r>
        <w:rPr>
          <w:sz w:val="24"/>
          <w:szCs w:val="24"/>
        </w:rPr>
        <w:t>Hwenhira</w:t>
      </w:r>
      <w:proofErr w:type="spellEnd"/>
      <w:r>
        <w:rPr>
          <w:sz w:val="24"/>
          <w:szCs w:val="24"/>
        </w:rPr>
        <w:t xml:space="preserve"> for the appellant was consenting to the application for postponement on the basis that they had received the 2</w:t>
      </w:r>
      <w:r w:rsidRPr="00086D69">
        <w:rPr>
          <w:sz w:val="24"/>
          <w:szCs w:val="24"/>
          <w:vertAlign w:val="superscript"/>
        </w:rPr>
        <w:t>nd</w:t>
      </w:r>
      <w:r>
        <w:rPr>
          <w:sz w:val="24"/>
          <w:szCs w:val="24"/>
        </w:rPr>
        <w:t xml:space="preserve"> respondent’s heads of argument which were filed on 11 May 2016 on 16 May 2016.  It was claimed that the appellant was not aware of the outcome of the application for amendment heard on 16 March 2016 and would need to file supplementary heads of argument.</w:t>
      </w:r>
    </w:p>
    <w:p w:rsidR="00086D69" w:rsidRDefault="00086D69" w:rsidP="003C12FD">
      <w:pPr>
        <w:spacing w:after="0" w:line="360" w:lineRule="auto"/>
        <w:jc w:val="both"/>
        <w:rPr>
          <w:sz w:val="24"/>
          <w:szCs w:val="24"/>
        </w:rPr>
      </w:pPr>
      <w:r>
        <w:rPr>
          <w:sz w:val="24"/>
          <w:szCs w:val="24"/>
        </w:rPr>
        <w:tab/>
        <w:t xml:space="preserve">Mr </w:t>
      </w:r>
      <w:proofErr w:type="spellStart"/>
      <w:r>
        <w:rPr>
          <w:sz w:val="24"/>
          <w:szCs w:val="24"/>
        </w:rPr>
        <w:t>Bande</w:t>
      </w:r>
      <w:proofErr w:type="spellEnd"/>
      <w:r>
        <w:rPr>
          <w:sz w:val="24"/>
          <w:szCs w:val="24"/>
        </w:rPr>
        <w:t>, the 1</w:t>
      </w:r>
      <w:r w:rsidRPr="00086D69">
        <w:rPr>
          <w:sz w:val="24"/>
          <w:szCs w:val="24"/>
          <w:vertAlign w:val="superscript"/>
        </w:rPr>
        <w:t>st</w:t>
      </w:r>
      <w:r>
        <w:rPr>
          <w:sz w:val="24"/>
          <w:szCs w:val="24"/>
        </w:rPr>
        <w:t xml:space="preserve"> respondent opposed the application for postponement citing that the appellant was not seriously prosecuting its matter and that the 2</w:t>
      </w:r>
      <w:r w:rsidRPr="00086D69">
        <w:rPr>
          <w:sz w:val="24"/>
          <w:szCs w:val="24"/>
          <w:vertAlign w:val="superscript"/>
        </w:rPr>
        <w:t>nd</w:t>
      </w:r>
      <w:r>
        <w:rPr>
          <w:sz w:val="24"/>
          <w:szCs w:val="24"/>
        </w:rPr>
        <w:t xml:space="preserve"> respondent which was not a legal persona had no real interest in the finalisation of this matter.</w:t>
      </w:r>
    </w:p>
    <w:p w:rsidR="00086D69" w:rsidRDefault="00086D69" w:rsidP="003C12FD">
      <w:pPr>
        <w:spacing w:after="0" w:line="360" w:lineRule="auto"/>
        <w:jc w:val="both"/>
        <w:rPr>
          <w:sz w:val="24"/>
          <w:szCs w:val="24"/>
        </w:rPr>
      </w:pPr>
      <w:r>
        <w:rPr>
          <w:sz w:val="24"/>
          <w:szCs w:val="24"/>
        </w:rPr>
        <w:lastRenderedPageBreak/>
        <w:tab/>
        <w:t>This court looks with disdain at officers of the court who seem to collude in wasting the court’s time.  It is unacceptable that any</w:t>
      </w:r>
      <w:r w:rsidR="003C12FD">
        <w:rPr>
          <w:sz w:val="24"/>
          <w:szCs w:val="24"/>
        </w:rPr>
        <w:t xml:space="preserve"> legal practitioner worth her salt would come to court and ex</w:t>
      </w:r>
      <w:r w:rsidR="00956098">
        <w:rPr>
          <w:sz w:val="24"/>
          <w:szCs w:val="24"/>
        </w:rPr>
        <w:t>pec</w:t>
      </w:r>
      <w:r w:rsidR="003C12FD">
        <w:rPr>
          <w:sz w:val="24"/>
          <w:szCs w:val="24"/>
        </w:rPr>
        <w:t xml:space="preserve">t the court to condone clear lack of diligence when </w:t>
      </w:r>
      <w:r w:rsidR="00956098">
        <w:rPr>
          <w:sz w:val="24"/>
          <w:szCs w:val="24"/>
        </w:rPr>
        <w:t>its own time has been wasted in</w:t>
      </w:r>
      <w:r w:rsidR="003C12FD">
        <w:rPr>
          <w:sz w:val="24"/>
          <w:szCs w:val="24"/>
        </w:rPr>
        <w:t xml:space="preserve"> setting down a matter in the light of a concerted effort to clear backlog.  This is what counsel for 2</w:t>
      </w:r>
      <w:r w:rsidR="003C12FD" w:rsidRPr="003C12FD">
        <w:rPr>
          <w:sz w:val="24"/>
          <w:szCs w:val="24"/>
          <w:vertAlign w:val="superscript"/>
        </w:rPr>
        <w:t>nd</w:t>
      </w:r>
      <w:r w:rsidR="003C12FD">
        <w:rPr>
          <w:sz w:val="24"/>
          <w:szCs w:val="24"/>
        </w:rPr>
        <w:t xml:space="preserve"> respondent’s explanation amounts to.</w:t>
      </w:r>
    </w:p>
    <w:p w:rsidR="003C12FD" w:rsidRDefault="003C12FD" w:rsidP="003C12FD">
      <w:pPr>
        <w:spacing w:after="0" w:line="360" w:lineRule="auto"/>
        <w:jc w:val="both"/>
        <w:rPr>
          <w:sz w:val="24"/>
          <w:szCs w:val="24"/>
        </w:rPr>
      </w:pPr>
      <w:r>
        <w:rPr>
          <w:sz w:val="24"/>
          <w:szCs w:val="24"/>
        </w:rPr>
        <w:tab/>
        <w:t xml:space="preserve">Appellant’s counsel exhibits the same attitude.  An interlocutory matter which is important </w:t>
      </w:r>
      <w:r w:rsidR="00956098">
        <w:rPr>
          <w:sz w:val="24"/>
          <w:szCs w:val="24"/>
        </w:rPr>
        <w:t>to</w:t>
      </w:r>
      <w:r>
        <w:rPr>
          <w:sz w:val="24"/>
          <w:szCs w:val="24"/>
        </w:rPr>
        <w:t xml:space="preserve"> the one in </w:t>
      </w:r>
      <w:proofErr w:type="spellStart"/>
      <w:r>
        <w:rPr>
          <w:i/>
          <w:sz w:val="24"/>
          <w:szCs w:val="24"/>
        </w:rPr>
        <w:t>casu</w:t>
      </w:r>
      <w:proofErr w:type="spellEnd"/>
      <w:r>
        <w:rPr>
          <w:i/>
          <w:sz w:val="24"/>
          <w:szCs w:val="24"/>
        </w:rPr>
        <w:t xml:space="preserve"> </w:t>
      </w:r>
      <w:r w:rsidRPr="003C12FD">
        <w:rPr>
          <w:sz w:val="24"/>
          <w:szCs w:val="24"/>
        </w:rPr>
        <w:t xml:space="preserve">was heard and an order handed down </w:t>
      </w:r>
      <w:r>
        <w:rPr>
          <w:i/>
          <w:sz w:val="24"/>
          <w:szCs w:val="24"/>
        </w:rPr>
        <w:t>ex tempore</w:t>
      </w:r>
      <w:r>
        <w:rPr>
          <w:sz w:val="24"/>
          <w:szCs w:val="24"/>
        </w:rPr>
        <w:t xml:space="preserve"> on 16 March 2016 and thereafter on 20 April 2016 dismissed the application.  Ye</w:t>
      </w:r>
      <w:r w:rsidR="00956098">
        <w:rPr>
          <w:sz w:val="24"/>
          <w:szCs w:val="24"/>
        </w:rPr>
        <w:t>t</w:t>
      </w:r>
      <w:r>
        <w:rPr>
          <w:sz w:val="24"/>
          <w:szCs w:val="24"/>
        </w:rPr>
        <w:t xml:space="preserve"> the legal practitioner comes to court claiming not to know the outcome of same.  Heads of argument were not filed in this particular matter and the interlocutory one up to the hearing.</w:t>
      </w:r>
    </w:p>
    <w:p w:rsidR="003C12FD" w:rsidRDefault="003C12FD" w:rsidP="003C12FD">
      <w:pPr>
        <w:spacing w:after="0" w:line="360" w:lineRule="auto"/>
        <w:jc w:val="both"/>
        <w:rPr>
          <w:sz w:val="24"/>
          <w:szCs w:val="24"/>
        </w:rPr>
      </w:pPr>
      <w:r>
        <w:rPr>
          <w:sz w:val="24"/>
          <w:szCs w:val="24"/>
        </w:rPr>
        <w:tab/>
        <w:t>Accordingly the application for a postponement is declined.</w:t>
      </w:r>
    </w:p>
    <w:p w:rsidR="003C12FD" w:rsidRDefault="003C12FD" w:rsidP="003C12FD">
      <w:pPr>
        <w:spacing w:after="0" w:line="360" w:lineRule="auto"/>
        <w:jc w:val="both"/>
        <w:rPr>
          <w:sz w:val="24"/>
          <w:szCs w:val="24"/>
          <w:u w:val="single"/>
        </w:rPr>
      </w:pPr>
    </w:p>
    <w:p w:rsidR="003C12FD" w:rsidRDefault="003C12FD" w:rsidP="003C12FD">
      <w:pPr>
        <w:spacing w:after="0" w:line="360" w:lineRule="auto"/>
        <w:jc w:val="both"/>
        <w:rPr>
          <w:sz w:val="24"/>
          <w:szCs w:val="24"/>
          <w:u w:val="single"/>
        </w:rPr>
      </w:pPr>
      <w:r>
        <w:rPr>
          <w:sz w:val="24"/>
          <w:szCs w:val="24"/>
          <w:u w:val="single"/>
        </w:rPr>
        <w:t>Heads of argument</w:t>
      </w:r>
    </w:p>
    <w:p w:rsidR="003C12FD" w:rsidRDefault="003C12FD" w:rsidP="003C12FD">
      <w:pPr>
        <w:spacing w:after="0" w:line="360" w:lineRule="auto"/>
        <w:jc w:val="both"/>
        <w:rPr>
          <w:sz w:val="24"/>
          <w:szCs w:val="24"/>
        </w:rPr>
      </w:pPr>
      <w:r>
        <w:rPr>
          <w:sz w:val="24"/>
          <w:szCs w:val="24"/>
        </w:rPr>
        <w:tab/>
        <w:t>The appellant did not file heads of argument within fourteen days of 23 September 2015 when it received the first respondent’s notice of response.</w:t>
      </w:r>
    </w:p>
    <w:p w:rsidR="003C12FD" w:rsidRDefault="003C12FD" w:rsidP="003C12FD">
      <w:pPr>
        <w:spacing w:after="0" w:line="360" w:lineRule="auto"/>
        <w:jc w:val="both"/>
        <w:rPr>
          <w:sz w:val="24"/>
          <w:szCs w:val="24"/>
        </w:rPr>
      </w:pPr>
      <w:r>
        <w:rPr>
          <w:sz w:val="24"/>
          <w:szCs w:val="24"/>
        </w:rPr>
        <w:tab/>
        <w:t xml:space="preserve">The appellant’s preliminary heads of argument were only filed on 7 January 2016 without seeking any </w:t>
      </w:r>
      <w:proofErr w:type="spellStart"/>
      <w:r>
        <w:rPr>
          <w:sz w:val="24"/>
          <w:szCs w:val="24"/>
        </w:rPr>
        <w:t>condonaton</w:t>
      </w:r>
      <w:proofErr w:type="spellEnd"/>
      <w:r>
        <w:rPr>
          <w:sz w:val="24"/>
          <w:szCs w:val="24"/>
        </w:rPr>
        <w:t xml:space="preserve"> for such late filing which was some three mon</w:t>
      </w:r>
      <w:r w:rsidR="00956098">
        <w:rPr>
          <w:sz w:val="24"/>
          <w:szCs w:val="24"/>
        </w:rPr>
        <w:t>ths late in terms of Rule 19 (1)</w:t>
      </w:r>
      <w:r>
        <w:rPr>
          <w:sz w:val="24"/>
          <w:szCs w:val="24"/>
        </w:rPr>
        <w:t xml:space="preserve"> (a).</w:t>
      </w:r>
    </w:p>
    <w:p w:rsidR="003C12FD" w:rsidRDefault="003C12FD" w:rsidP="003C12FD">
      <w:pPr>
        <w:spacing w:after="0" w:line="360" w:lineRule="auto"/>
        <w:jc w:val="both"/>
        <w:rPr>
          <w:sz w:val="24"/>
          <w:szCs w:val="24"/>
        </w:rPr>
      </w:pPr>
      <w:r>
        <w:rPr>
          <w:sz w:val="24"/>
          <w:szCs w:val="24"/>
        </w:rPr>
        <w:tab/>
        <w:t xml:space="preserve">In any event, the purported heads of argument do not clearly outline the submissions the appellant intends to rely on </w:t>
      </w:r>
      <w:proofErr w:type="gramStart"/>
      <w:r>
        <w:rPr>
          <w:sz w:val="24"/>
          <w:szCs w:val="24"/>
        </w:rPr>
        <w:t>nor</w:t>
      </w:r>
      <w:proofErr w:type="gramEnd"/>
      <w:r>
        <w:rPr>
          <w:sz w:val="24"/>
          <w:szCs w:val="24"/>
        </w:rPr>
        <w:t xml:space="preserve"> the authorities to be cited, in support of the appeal.  They simply state that an application for amendment has been made and detailed heads of argument will be filed.  This is contrary to R</w:t>
      </w:r>
      <w:r w:rsidR="00956098">
        <w:rPr>
          <w:sz w:val="24"/>
          <w:szCs w:val="24"/>
        </w:rPr>
        <w:t>ule 19 (1)</w:t>
      </w:r>
      <w:r>
        <w:rPr>
          <w:sz w:val="24"/>
          <w:szCs w:val="24"/>
        </w:rPr>
        <w:t xml:space="preserve"> (a)</w:t>
      </w:r>
      <w:r w:rsidR="00C1651E">
        <w:rPr>
          <w:sz w:val="24"/>
          <w:szCs w:val="24"/>
        </w:rPr>
        <w:t>.</w:t>
      </w:r>
    </w:p>
    <w:p w:rsidR="00C1651E" w:rsidRDefault="00C1651E" w:rsidP="003C12FD">
      <w:pPr>
        <w:spacing w:after="0" w:line="360" w:lineRule="auto"/>
        <w:jc w:val="both"/>
        <w:rPr>
          <w:sz w:val="24"/>
          <w:szCs w:val="24"/>
        </w:rPr>
      </w:pPr>
      <w:r>
        <w:rPr>
          <w:sz w:val="24"/>
          <w:szCs w:val="24"/>
        </w:rPr>
        <w:tab/>
        <w:t>On the merits these are my findings</w:t>
      </w:r>
    </w:p>
    <w:p w:rsidR="00C1651E" w:rsidRDefault="00C1651E" w:rsidP="00C1651E">
      <w:pPr>
        <w:pStyle w:val="ListParagraph"/>
        <w:numPr>
          <w:ilvl w:val="0"/>
          <w:numId w:val="1"/>
        </w:numPr>
        <w:spacing w:after="0" w:line="360" w:lineRule="auto"/>
        <w:jc w:val="both"/>
      </w:pPr>
      <w:r>
        <w:t>The second respondent is a non-existent legal persona.</w:t>
      </w:r>
    </w:p>
    <w:p w:rsidR="00C1651E" w:rsidRDefault="00C1651E" w:rsidP="00C1651E">
      <w:pPr>
        <w:pStyle w:val="ListParagraph"/>
        <w:numPr>
          <w:ilvl w:val="0"/>
          <w:numId w:val="1"/>
        </w:numPr>
        <w:spacing w:after="0" w:line="360" w:lineRule="auto"/>
        <w:jc w:val="both"/>
      </w:pPr>
      <w:r>
        <w:t>The dispute between the parties (appellant and first respondent) arose out of an employment relationship and was referred to the arbitrator by a labour officer in terms of section 93 of the Labour Act [Chapter 28:01]</w:t>
      </w:r>
    </w:p>
    <w:p w:rsidR="00C1651E" w:rsidRDefault="00C1651E" w:rsidP="00C1651E">
      <w:pPr>
        <w:pStyle w:val="ListParagraph"/>
        <w:numPr>
          <w:ilvl w:val="0"/>
          <w:numId w:val="1"/>
        </w:numPr>
        <w:spacing w:after="0" w:line="360" w:lineRule="auto"/>
        <w:jc w:val="both"/>
      </w:pPr>
      <w:r>
        <w:t>The arbitrator had jurisdicti</w:t>
      </w:r>
      <w:r w:rsidR="00956098">
        <w:t>on to entertain the matter even</w:t>
      </w:r>
      <w:r>
        <w:t xml:space="preserve"> though more than two parties were involved.  The purported 2</w:t>
      </w:r>
      <w:r w:rsidRPr="00C1651E">
        <w:rPr>
          <w:vertAlign w:val="superscript"/>
        </w:rPr>
        <w:t>nd</w:t>
      </w:r>
      <w:r>
        <w:t xml:space="preserve"> respondent is a party who has an interest in the determination of this matter who could apply</w:t>
      </w:r>
      <w:r w:rsidR="00956098">
        <w:t xml:space="preserve"> for joinder in terms of Rule 27</w:t>
      </w:r>
      <w:r w:rsidR="00BE5719">
        <w:t xml:space="preserve"> </w:t>
      </w:r>
      <w:r>
        <w:t xml:space="preserve"> (2) of the Labour Court Rules, Statutory Instrument 59 of 2006.</w:t>
      </w:r>
    </w:p>
    <w:p w:rsidR="00C1651E" w:rsidRDefault="00C1651E" w:rsidP="00C1651E">
      <w:pPr>
        <w:pStyle w:val="ListParagraph"/>
        <w:numPr>
          <w:ilvl w:val="0"/>
          <w:numId w:val="1"/>
        </w:numPr>
        <w:spacing w:after="0" w:line="360" w:lineRule="auto"/>
        <w:jc w:val="both"/>
      </w:pPr>
      <w:r>
        <w:lastRenderedPageBreak/>
        <w:t>The arbitrator correctly found that the appellant misrepresented facts to the 2</w:t>
      </w:r>
      <w:r w:rsidRPr="00C1651E">
        <w:rPr>
          <w:vertAlign w:val="superscript"/>
        </w:rPr>
        <w:t>nd</w:t>
      </w:r>
      <w:r>
        <w:t xml:space="preserve"> respondent which facts prejudiced the 1</w:t>
      </w:r>
      <w:r w:rsidRPr="00C1651E">
        <w:rPr>
          <w:vertAlign w:val="superscript"/>
        </w:rPr>
        <w:t>st</w:t>
      </w:r>
      <w:r>
        <w:t xml:space="preserve"> respondents and that appellant was therefore liable to make good the prejudice suffered.</w:t>
      </w:r>
    </w:p>
    <w:p w:rsidR="00C1651E" w:rsidRDefault="00C1651E" w:rsidP="00C1651E">
      <w:pPr>
        <w:pStyle w:val="ListParagraph"/>
        <w:spacing w:after="0" w:line="360" w:lineRule="auto"/>
        <w:jc w:val="both"/>
        <w:rPr>
          <w:sz w:val="24"/>
          <w:szCs w:val="24"/>
        </w:rPr>
      </w:pPr>
      <w:r w:rsidRPr="00C1651E">
        <w:rPr>
          <w:sz w:val="24"/>
          <w:szCs w:val="24"/>
        </w:rPr>
        <w:t xml:space="preserve">Accordingly the appellant being barred in terms of Rule 19 (3) (b), the appeal is </w:t>
      </w:r>
    </w:p>
    <w:p w:rsidR="00C1651E" w:rsidRDefault="00C1651E" w:rsidP="00C1651E">
      <w:pPr>
        <w:spacing w:after="0" w:line="360" w:lineRule="auto"/>
        <w:jc w:val="both"/>
        <w:rPr>
          <w:sz w:val="24"/>
          <w:szCs w:val="24"/>
        </w:rPr>
      </w:pPr>
      <w:proofErr w:type="gramStart"/>
      <w:r w:rsidRPr="00C1651E">
        <w:rPr>
          <w:sz w:val="24"/>
          <w:szCs w:val="24"/>
        </w:rPr>
        <w:t>dismissed</w:t>
      </w:r>
      <w:proofErr w:type="gramEnd"/>
      <w:r w:rsidRPr="00C1651E">
        <w:rPr>
          <w:sz w:val="24"/>
          <w:szCs w:val="24"/>
        </w:rPr>
        <w:t xml:space="preserve"> for lack of merit.</w:t>
      </w:r>
    </w:p>
    <w:p w:rsidR="006907DD" w:rsidRDefault="006907DD" w:rsidP="00C1651E">
      <w:pPr>
        <w:spacing w:after="0" w:line="360" w:lineRule="auto"/>
        <w:jc w:val="both"/>
        <w:rPr>
          <w:sz w:val="24"/>
          <w:szCs w:val="24"/>
        </w:rPr>
      </w:pPr>
    </w:p>
    <w:p w:rsidR="006907DD" w:rsidRDefault="006907DD" w:rsidP="00C1651E">
      <w:pPr>
        <w:spacing w:after="0" w:line="360" w:lineRule="auto"/>
        <w:jc w:val="both"/>
        <w:rPr>
          <w:sz w:val="24"/>
          <w:szCs w:val="24"/>
        </w:rPr>
      </w:pPr>
    </w:p>
    <w:p w:rsidR="006907DD" w:rsidRDefault="006907DD" w:rsidP="00C1651E">
      <w:pPr>
        <w:spacing w:after="0" w:line="360" w:lineRule="auto"/>
        <w:jc w:val="both"/>
        <w:rPr>
          <w:sz w:val="24"/>
          <w:szCs w:val="24"/>
        </w:rPr>
      </w:pPr>
    </w:p>
    <w:p w:rsidR="006907DD" w:rsidRDefault="006907DD" w:rsidP="00C1651E">
      <w:pPr>
        <w:spacing w:after="0" w:line="360" w:lineRule="auto"/>
        <w:jc w:val="both"/>
      </w:pPr>
      <w:proofErr w:type="spellStart"/>
      <w:r>
        <w:rPr>
          <w:i/>
        </w:rPr>
        <w:t>Muringi</w:t>
      </w:r>
      <w:proofErr w:type="spellEnd"/>
      <w:r>
        <w:rPr>
          <w:i/>
        </w:rPr>
        <w:t xml:space="preserve"> </w:t>
      </w:r>
      <w:proofErr w:type="spellStart"/>
      <w:r>
        <w:rPr>
          <w:i/>
        </w:rPr>
        <w:t>Kamdewere</w:t>
      </w:r>
      <w:proofErr w:type="spellEnd"/>
      <w:r>
        <w:rPr>
          <w:i/>
        </w:rPr>
        <w:t xml:space="preserve">, </w:t>
      </w:r>
      <w:r>
        <w:t>appellant’s legal practitioners</w:t>
      </w:r>
    </w:p>
    <w:p w:rsidR="006907DD" w:rsidRPr="006907DD" w:rsidRDefault="006907DD" w:rsidP="00C1651E">
      <w:pPr>
        <w:spacing w:after="0" w:line="360" w:lineRule="auto"/>
        <w:jc w:val="both"/>
      </w:pPr>
      <w:r>
        <w:rPr>
          <w:i/>
        </w:rPr>
        <w:t xml:space="preserve">Civil Division of the Attorney General’s Office, </w:t>
      </w:r>
      <w:r>
        <w:t>respondents’ legal practitioners</w:t>
      </w:r>
    </w:p>
    <w:p w:rsidR="00C1651E" w:rsidRPr="00C1651E" w:rsidRDefault="00C1651E" w:rsidP="00C1651E">
      <w:pPr>
        <w:spacing w:after="0" w:line="360" w:lineRule="auto"/>
        <w:jc w:val="both"/>
        <w:rPr>
          <w:sz w:val="24"/>
          <w:szCs w:val="24"/>
        </w:rPr>
      </w:pPr>
    </w:p>
    <w:p w:rsidR="003C12FD" w:rsidRPr="003C12FD" w:rsidRDefault="003C12FD" w:rsidP="003C12FD">
      <w:pPr>
        <w:spacing w:after="0" w:line="360" w:lineRule="auto"/>
        <w:jc w:val="both"/>
        <w:rPr>
          <w:sz w:val="24"/>
          <w:szCs w:val="24"/>
          <w:u w:val="single"/>
        </w:rPr>
      </w:pPr>
    </w:p>
    <w:p w:rsidR="003C12FD" w:rsidRPr="00086D69" w:rsidRDefault="003C12FD" w:rsidP="00796C4A">
      <w:pPr>
        <w:spacing w:line="360" w:lineRule="auto"/>
        <w:jc w:val="both"/>
        <w:rPr>
          <w:sz w:val="24"/>
          <w:szCs w:val="24"/>
        </w:rPr>
      </w:pPr>
      <w:r>
        <w:rPr>
          <w:sz w:val="24"/>
          <w:szCs w:val="24"/>
        </w:rPr>
        <w:tab/>
      </w:r>
    </w:p>
    <w:p w:rsidR="00796C4A" w:rsidRPr="00796C4A" w:rsidRDefault="00796C4A" w:rsidP="00796C4A">
      <w:pPr>
        <w:spacing w:line="360" w:lineRule="auto"/>
        <w:jc w:val="both"/>
        <w:rPr>
          <w:sz w:val="24"/>
          <w:szCs w:val="24"/>
        </w:rPr>
      </w:pPr>
      <w:r>
        <w:rPr>
          <w:sz w:val="24"/>
          <w:szCs w:val="24"/>
        </w:rPr>
        <w:tab/>
      </w:r>
    </w:p>
    <w:p w:rsidR="00796C4A" w:rsidRPr="00796C4A" w:rsidRDefault="00796C4A">
      <w:pPr>
        <w:rPr>
          <w:sz w:val="24"/>
          <w:szCs w:val="24"/>
        </w:rPr>
      </w:pPr>
    </w:p>
    <w:sectPr w:rsidR="00796C4A" w:rsidRPr="00796C4A" w:rsidSect="00796C4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80C" w:rsidRDefault="0046380C" w:rsidP="00796C4A">
      <w:pPr>
        <w:spacing w:after="0" w:line="240" w:lineRule="auto"/>
      </w:pPr>
      <w:r>
        <w:separator/>
      </w:r>
    </w:p>
  </w:endnote>
  <w:endnote w:type="continuationSeparator" w:id="0">
    <w:p w:rsidR="0046380C" w:rsidRDefault="0046380C" w:rsidP="0079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903880"/>
      <w:docPartObj>
        <w:docPartGallery w:val="Page Numbers (Bottom of Page)"/>
        <w:docPartUnique/>
      </w:docPartObj>
    </w:sdtPr>
    <w:sdtEndPr>
      <w:rPr>
        <w:noProof/>
      </w:rPr>
    </w:sdtEndPr>
    <w:sdtContent>
      <w:p w:rsidR="002247BE" w:rsidRDefault="002247BE">
        <w:pPr>
          <w:pStyle w:val="Footer"/>
          <w:jc w:val="right"/>
        </w:pPr>
        <w:r>
          <w:fldChar w:fldCharType="begin"/>
        </w:r>
        <w:r>
          <w:instrText xml:space="preserve"> PAGE   \* MERGEFORMAT </w:instrText>
        </w:r>
        <w:r>
          <w:fldChar w:fldCharType="separate"/>
        </w:r>
        <w:r w:rsidR="00EC14CD">
          <w:rPr>
            <w:noProof/>
          </w:rPr>
          <w:t>4</w:t>
        </w:r>
        <w:r>
          <w:rPr>
            <w:noProof/>
          </w:rPr>
          <w:fldChar w:fldCharType="end"/>
        </w:r>
      </w:p>
    </w:sdtContent>
  </w:sdt>
  <w:p w:rsidR="002247BE" w:rsidRDefault="002247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80C" w:rsidRDefault="0046380C" w:rsidP="00796C4A">
      <w:pPr>
        <w:spacing w:after="0" w:line="240" w:lineRule="auto"/>
      </w:pPr>
      <w:r>
        <w:separator/>
      </w:r>
    </w:p>
  </w:footnote>
  <w:footnote w:type="continuationSeparator" w:id="0">
    <w:p w:rsidR="0046380C" w:rsidRDefault="0046380C" w:rsidP="00796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C4A" w:rsidRDefault="00B3199B" w:rsidP="00B3199B">
    <w:pPr>
      <w:ind w:left="5760"/>
      <w:rPr>
        <w:b/>
        <w:sz w:val="24"/>
        <w:szCs w:val="24"/>
      </w:rPr>
    </w:pPr>
    <w:r>
      <w:rPr>
        <w:b/>
        <w:sz w:val="24"/>
        <w:szCs w:val="24"/>
      </w:rPr>
      <w:t xml:space="preserve">  </w:t>
    </w:r>
    <w:r w:rsidR="00796C4A">
      <w:rPr>
        <w:b/>
        <w:sz w:val="24"/>
        <w:szCs w:val="24"/>
      </w:rPr>
      <w:t>JUDGMENT NO LC/H/</w:t>
    </w:r>
    <w:r>
      <w:rPr>
        <w:b/>
        <w:sz w:val="24"/>
        <w:szCs w:val="24"/>
      </w:rPr>
      <w:t>371</w:t>
    </w:r>
    <w:r w:rsidR="00796C4A">
      <w:rPr>
        <w:b/>
        <w:sz w:val="24"/>
        <w:szCs w:val="24"/>
      </w:rPr>
      <w:t>/16</w:t>
    </w:r>
  </w:p>
  <w:p w:rsidR="00796C4A" w:rsidRDefault="00796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4CC4"/>
    <w:multiLevelType w:val="hybridMultilevel"/>
    <w:tmpl w:val="B726B7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74"/>
    <w:rsid w:val="00086D69"/>
    <w:rsid w:val="002247BE"/>
    <w:rsid w:val="003C12FD"/>
    <w:rsid w:val="00460052"/>
    <w:rsid w:val="0046380C"/>
    <w:rsid w:val="00482042"/>
    <w:rsid w:val="00490232"/>
    <w:rsid w:val="00671031"/>
    <w:rsid w:val="006907DD"/>
    <w:rsid w:val="00796C4A"/>
    <w:rsid w:val="00956098"/>
    <w:rsid w:val="00B3199B"/>
    <w:rsid w:val="00BB1274"/>
    <w:rsid w:val="00BE5719"/>
    <w:rsid w:val="00C1651E"/>
    <w:rsid w:val="00CC3A43"/>
    <w:rsid w:val="00D068B3"/>
    <w:rsid w:val="00EC14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C4A"/>
  </w:style>
  <w:style w:type="paragraph" w:styleId="Footer">
    <w:name w:val="footer"/>
    <w:basedOn w:val="Normal"/>
    <w:link w:val="FooterChar"/>
    <w:uiPriority w:val="99"/>
    <w:unhideWhenUsed/>
    <w:rsid w:val="00796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C4A"/>
  </w:style>
  <w:style w:type="paragraph" w:styleId="ListParagraph">
    <w:name w:val="List Paragraph"/>
    <w:basedOn w:val="Normal"/>
    <w:uiPriority w:val="34"/>
    <w:qFormat/>
    <w:rsid w:val="00C165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C4A"/>
  </w:style>
  <w:style w:type="paragraph" w:styleId="Footer">
    <w:name w:val="footer"/>
    <w:basedOn w:val="Normal"/>
    <w:link w:val="FooterChar"/>
    <w:uiPriority w:val="99"/>
    <w:unhideWhenUsed/>
    <w:rsid w:val="00796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C4A"/>
  </w:style>
  <w:style w:type="paragraph" w:styleId="ListParagraph">
    <w:name w:val="List Paragraph"/>
    <w:basedOn w:val="Normal"/>
    <w:uiPriority w:val="34"/>
    <w:qFormat/>
    <w:rsid w:val="00C165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9</cp:revision>
  <cp:lastPrinted>2016-06-06T13:22:00Z</cp:lastPrinted>
  <dcterms:created xsi:type="dcterms:W3CDTF">2016-06-06T06:45:00Z</dcterms:created>
  <dcterms:modified xsi:type="dcterms:W3CDTF">2016-06-10T06:35:00Z</dcterms:modified>
</cp:coreProperties>
</file>