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27" w:rsidRDefault="003F68AF" w:rsidP="0027343A">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E7825">
        <w:rPr>
          <w:b/>
          <w:sz w:val="24"/>
          <w:szCs w:val="24"/>
        </w:rPr>
        <w:t>71</w:t>
      </w:r>
      <w:r>
        <w:rPr>
          <w:b/>
          <w:sz w:val="24"/>
          <w:szCs w:val="24"/>
        </w:rPr>
        <w:t>/16</w:t>
      </w:r>
    </w:p>
    <w:p w:rsidR="003F68AF" w:rsidRDefault="003F68AF" w:rsidP="0027343A">
      <w:pPr>
        <w:spacing w:line="360" w:lineRule="auto"/>
        <w:jc w:val="both"/>
        <w:rPr>
          <w:b/>
          <w:sz w:val="24"/>
          <w:szCs w:val="24"/>
        </w:rPr>
      </w:pPr>
      <w:r>
        <w:rPr>
          <w:b/>
          <w:sz w:val="24"/>
          <w:szCs w:val="24"/>
        </w:rPr>
        <w:t>HELD AT HARARE 4</w:t>
      </w:r>
      <w:r w:rsidRPr="003F68AF">
        <w:rPr>
          <w:b/>
          <w:sz w:val="24"/>
          <w:szCs w:val="24"/>
          <w:vertAlign w:val="superscript"/>
        </w:rPr>
        <w:t>TH</w:t>
      </w:r>
      <w:r>
        <w:rPr>
          <w:b/>
          <w:sz w:val="24"/>
          <w:szCs w:val="24"/>
        </w:rPr>
        <w:t xml:space="preserve"> FEBRUARY 2016</w:t>
      </w:r>
      <w:r>
        <w:rPr>
          <w:b/>
          <w:sz w:val="24"/>
          <w:szCs w:val="24"/>
        </w:rPr>
        <w:tab/>
      </w:r>
      <w:r>
        <w:rPr>
          <w:b/>
          <w:sz w:val="24"/>
          <w:szCs w:val="24"/>
        </w:rPr>
        <w:tab/>
      </w:r>
      <w:r>
        <w:rPr>
          <w:b/>
          <w:sz w:val="24"/>
          <w:szCs w:val="24"/>
        </w:rPr>
        <w:tab/>
        <w:t>CASE NO LC/H/APP/1327/15</w:t>
      </w:r>
    </w:p>
    <w:p w:rsidR="003F68AF" w:rsidRDefault="003F68AF" w:rsidP="0027343A">
      <w:pPr>
        <w:spacing w:line="360" w:lineRule="auto"/>
        <w:jc w:val="both"/>
        <w:rPr>
          <w:b/>
          <w:sz w:val="24"/>
          <w:szCs w:val="24"/>
        </w:rPr>
      </w:pPr>
      <w:r>
        <w:rPr>
          <w:b/>
          <w:sz w:val="24"/>
          <w:szCs w:val="24"/>
        </w:rPr>
        <w:t>&amp;</w:t>
      </w:r>
      <w:r w:rsidR="00DE7825">
        <w:rPr>
          <w:b/>
          <w:sz w:val="24"/>
          <w:szCs w:val="24"/>
        </w:rPr>
        <w:t xml:space="preserve"> 19</w:t>
      </w:r>
      <w:r w:rsidR="00DE7825" w:rsidRPr="00DE7825">
        <w:rPr>
          <w:b/>
          <w:sz w:val="24"/>
          <w:szCs w:val="24"/>
          <w:vertAlign w:val="superscript"/>
        </w:rPr>
        <w:t>TH</w:t>
      </w:r>
      <w:r w:rsidR="00DE7825">
        <w:rPr>
          <w:b/>
          <w:sz w:val="24"/>
          <w:szCs w:val="24"/>
        </w:rPr>
        <w:t xml:space="preserve"> FEBRAURY 2016</w:t>
      </w:r>
    </w:p>
    <w:p w:rsidR="003F68AF" w:rsidRDefault="003F68AF" w:rsidP="0027343A">
      <w:pPr>
        <w:spacing w:line="360" w:lineRule="auto"/>
        <w:jc w:val="both"/>
        <w:rPr>
          <w:sz w:val="24"/>
          <w:szCs w:val="24"/>
        </w:rPr>
      </w:pPr>
      <w:r>
        <w:rPr>
          <w:sz w:val="24"/>
          <w:szCs w:val="24"/>
        </w:rPr>
        <w:t>In the matter between:</w:t>
      </w:r>
    </w:p>
    <w:p w:rsidR="003F68AF" w:rsidRDefault="003F68AF" w:rsidP="0027343A">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t>Applicant</w:t>
      </w:r>
    </w:p>
    <w:p w:rsidR="003F68AF" w:rsidRDefault="003F68AF" w:rsidP="0027343A">
      <w:pPr>
        <w:spacing w:line="360" w:lineRule="auto"/>
        <w:jc w:val="both"/>
        <w:rPr>
          <w:b/>
          <w:sz w:val="24"/>
          <w:szCs w:val="24"/>
        </w:rPr>
      </w:pPr>
      <w:r>
        <w:rPr>
          <w:b/>
          <w:sz w:val="24"/>
          <w:szCs w:val="24"/>
        </w:rPr>
        <w:t>And</w:t>
      </w:r>
    </w:p>
    <w:p w:rsidR="003F68AF" w:rsidRDefault="0027343A" w:rsidP="0027343A">
      <w:pPr>
        <w:spacing w:line="360" w:lineRule="auto"/>
        <w:jc w:val="both"/>
        <w:rPr>
          <w:b/>
          <w:sz w:val="24"/>
          <w:szCs w:val="24"/>
        </w:rPr>
      </w:pPr>
      <w:r>
        <w:rPr>
          <w:b/>
          <w:sz w:val="24"/>
          <w:szCs w:val="24"/>
        </w:rPr>
        <w:t>TIRIVAVI MAKOTOSE</w:t>
      </w:r>
      <w:r>
        <w:rPr>
          <w:b/>
          <w:sz w:val="24"/>
          <w:szCs w:val="24"/>
        </w:rPr>
        <w:tab/>
      </w:r>
      <w:r>
        <w:rPr>
          <w:b/>
          <w:sz w:val="24"/>
          <w:szCs w:val="24"/>
        </w:rPr>
        <w:tab/>
      </w:r>
      <w:r>
        <w:rPr>
          <w:b/>
          <w:sz w:val="24"/>
          <w:szCs w:val="24"/>
        </w:rPr>
        <w:tab/>
      </w:r>
      <w:r>
        <w:rPr>
          <w:b/>
          <w:sz w:val="24"/>
          <w:szCs w:val="24"/>
        </w:rPr>
        <w:tab/>
        <w:t>Respondent</w:t>
      </w:r>
    </w:p>
    <w:p w:rsidR="0027343A" w:rsidRDefault="0027343A" w:rsidP="0027343A">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27343A" w:rsidRDefault="0027343A" w:rsidP="0027343A">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Ms A </w:t>
      </w:r>
      <w:proofErr w:type="spellStart"/>
      <w:r>
        <w:rPr>
          <w:b/>
          <w:sz w:val="24"/>
          <w:szCs w:val="24"/>
        </w:rPr>
        <w:t>Zvoutete</w:t>
      </w:r>
      <w:proofErr w:type="spellEnd"/>
      <w:r>
        <w:rPr>
          <w:b/>
          <w:sz w:val="24"/>
          <w:szCs w:val="24"/>
        </w:rPr>
        <w:t xml:space="preserve"> (Principal Legal Officer)</w:t>
      </w:r>
    </w:p>
    <w:p w:rsidR="0027343A" w:rsidRDefault="0027343A" w:rsidP="0027343A">
      <w:pPr>
        <w:spacing w:line="360" w:lineRule="auto"/>
        <w:jc w:val="both"/>
        <w:rPr>
          <w:b/>
          <w:sz w:val="24"/>
          <w:szCs w:val="24"/>
        </w:rPr>
      </w:pPr>
      <w:r>
        <w:rPr>
          <w:b/>
          <w:sz w:val="24"/>
          <w:szCs w:val="24"/>
        </w:rPr>
        <w:t>For Respondent</w:t>
      </w:r>
      <w:r>
        <w:rPr>
          <w:b/>
          <w:sz w:val="24"/>
          <w:szCs w:val="24"/>
        </w:rPr>
        <w:tab/>
      </w:r>
      <w:r>
        <w:rPr>
          <w:b/>
          <w:sz w:val="24"/>
          <w:szCs w:val="24"/>
        </w:rPr>
        <w:tab/>
        <w:t>Mr S Banda (Legal Practitioner)</w:t>
      </w:r>
    </w:p>
    <w:p w:rsidR="0027343A" w:rsidRDefault="0027343A" w:rsidP="0027343A">
      <w:pPr>
        <w:spacing w:line="360" w:lineRule="auto"/>
        <w:jc w:val="both"/>
        <w:rPr>
          <w:b/>
          <w:sz w:val="24"/>
          <w:szCs w:val="24"/>
        </w:rPr>
      </w:pPr>
    </w:p>
    <w:p w:rsidR="0027343A" w:rsidRDefault="0027343A" w:rsidP="0027343A">
      <w:pPr>
        <w:spacing w:line="360" w:lineRule="auto"/>
        <w:jc w:val="both"/>
        <w:rPr>
          <w:b/>
          <w:sz w:val="24"/>
          <w:szCs w:val="24"/>
        </w:rPr>
      </w:pPr>
      <w:r>
        <w:rPr>
          <w:b/>
          <w:sz w:val="24"/>
          <w:szCs w:val="24"/>
        </w:rPr>
        <w:t>CHIDZIVA, J:</w:t>
      </w:r>
    </w:p>
    <w:p w:rsidR="0027343A" w:rsidRDefault="0027343A" w:rsidP="0027343A">
      <w:pPr>
        <w:spacing w:after="0" w:line="360" w:lineRule="auto"/>
        <w:jc w:val="both"/>
        <w:rPr>
          <w:sz w:val="24"/>
          <w:szCs w:val="24"/>
        </w:rPr>
      </w:pPr>
      <w:r>
        <w:rPr>
          <w:b/>
          <w:sz w:val="24"/>
          <w:szCs w:val="24"/>
        </w:rPr>
        <w:tab/>
      </w:r>
      <w:r>
        <w:rPr>
          <w:sz w:val="24"/>
          <w:szCs w:val="24"/>
        </w:rPr>
        <w:t>This is an application for stay of ex</w:t>
      </w:r>
      <w:r w:rsidR="00482684">
        <w:rPr>
          <w:sz w:val="24"/>
          <w:szCs w:val="24"/>
        </w:rPr>
        <w:t>ecution of the arbitral award pending</w:t>
      </w:r>
      <w:r>
        <w:rPr>
          <w:sz w:val="24"/>
          <w:szCs w:val="24"/>
        </w:rPr>
        <w:t xml:space="preserve"> appeal.  The arbitrator ruled in respondent’s favour and held that respondent was unlawfully dismissed and ordered the reinstatement of respondent.</w:t>
      </w:r>
    </w:p>
    <w:p w:rsidR="0027343A" w:rsidRDefault="0027343A" w:rsidP="0027343A">
      <w:pPr>
        <w:spacing w:after="0" w:line="360" w:lineRule="auto"/>
        <w:jc w:val="both"/>
        <w:rPr>
          <w:sz w:val="24"/>
          <w:szCs w:val="24"/>
        </w:rPr>
      </w:pPr>
      <w:r>
        <w:rPr>
          <w:sz w:val="24"/>
          <w:szCs w:val="24"/>
        </w:rPr>
        <w:tab/>
        <w:t>The brief bac</w:t>
      </w:r>
      <w:r w:rsidR="004730E0">
        <w:rPr>
          <w:sz w:val="24"/>
          <w:szCs w:val="24"/>
        </w:rPr>
        <w:t>kground of this matter is that</w:t>
      </w:r>
      <w:r>
        <w:rPr>
          <w:sz w:val="24"/>
          <w:szCs w:val="24"/>
        </w:rPr>
        <w:t xml:space="preserve"> respondent was c</w:t>
      </w:r>
      <w:r w:rsidR="00482684">
        <w:rPr>
          <w:sz w:val="24"/>
          <w:szCs w:val="24"/>
        </w:rPr>
        <w:t>harged with theft of six (6) fue</w:t>
      </w:r>
      <w:r>
        <w:rPr>
          <w:sz w:val="24"/>
          <w:szCs w:val="24"/>
        </w:rPr>
        <w:t>l coupons.  He was found guilty and dismissed from employment.</w:t>
      </w:r>
    </w:p>
    <w:p w:rsidR="0027343A" w:rsidRDefault="0027343A" w:rsidP="0027343A">
      <w:pPr>
        <w:spacing w:line="360" w:lineRule="auto"/>
        <w:jc w:val="both"/>
        <w:rPr>
          <w:sz w:val="24"/>
          <w:szCs w:val="24"/>
        </w:rPr>
      </w:pPr>
      <w:r>
        <w:rPr>
          <w:sz w:val="24"/>
          <w:szCs w:val="24"/>
        </w:rPr>
        <w:tab/>
        <w:t>The applicant in its application stated that it has prospects of</w:t>
      </w:r>
      <w:r w:rsidR="00482684">
        <w:rPr>
          <w:sz w:val="24"/>
          <w:szCs w:val="24"/>
        </w:rPr>
        <w:t xml:space="preserve"> success on</w:t>
      </w:r>
      <w:r>
        <w:rPr>
          <w:sz w:val="24"/>
          <w:szCs w:val="24"/>
        </w:rPr>
        <w:t xml:space="preserve"> appeal in that</w:t>
      </w:r>
    </w:p>
    <w:p w:rsidR="0027343A" w:rsidRDefault="0027343A" w:rsidP="008449F7">
      <w:pPr>
        <w:pStyle w:val="ListParagraph"/>
        <w:numPr>
          <w:ilvl w:val="0"/>
          <w:numId w:val="1"/>
        </w:numPr>
        <w:spacing w:line="240" w:lineRule="auto"/>
        <w:jc w:val="both"/>
      </w:pPr>
      <w:r>
        <w:t>The arbitrator erred at</w:t>
      </w:r>
      <w:r w:rsidR="008449F7">
        <w:t xml:space="preserve"> law in making a legal finding that the applicant had failed to prove theft of the six (6) fuel coupons yet evidence on the record proved the offence on a balance of probabilities.</w:t>
      </w:r>
    </w:p>
    <w:p w:rsidR="008449F7" w:rsidRDefault="008449F7" w:rsidP="008449F7">
      <w:pPr>
        <w:pStyle w:val="ListParagraph"/>
        <w:spacing w:line="240" w:lineRule="auto"/>
        <w:ind w:left="1440"/>
        <w:jc w:val="both"/>
      </w:pPr>
    </w:p>
    <w:p w:rsidR="008449F7" w:rsidRDefault="008449F7" w:rsidP="008449F7">
      <w:pPr>
        <w:pStyle w:val="ListParagraph"/>
        <w:numPr>
          <w:ilvl w:val="0"/>
          <w:numId w:val="1"/>
        </w:numPr>
        <w:spacing w:line="240" w:lineRule="auto"/>
        <w:jc w:val="both"/>
      </w:pPr>
      <w:r>
        <w:t>The arbitrator erred at law by exonerating the respondent of the offence of theft or “any particular offence” yet at the same time he found that the respondent’s conduct was reprehensible.</w:t>
      </w:r>
    </w:p>
    <w:p w:rsidR="008449F7" w:rsidRDefault="008449F7" w:rsidP="008449F7">
      <w:pPr>
        <w:pStyle w:val="ListParagraph"/>
      </w:pPr>
    </w:p>
    <w:p w:rsidR="008449F7" w:rsidRDefault="008449F7" w:rsidP="008449F7">
      <w:pPr>
        <w:pStyle w:val="ListParagraph"/>
        <w:numPr>
          <w:ilvl w:val="0"/>
          <w:numId w:val="1"/>
        </w:numPr>
        <w:spacing w:line="240" w:lineRule="auto"/>
        <w:jc w:val="both"/>
      </w:pPr>
      <w:r>
        <w:t>The arbitrator’s award is so unreasonable and irrational in its defiance of logic so as to constitute a ground of appeal.</w:t>
      </w:r>
    </w:p>
    <w:p w:rsidR="008449F7" w:rsidRDefault="008449F7" w:rsidP="008449F7">
      <w:pPr>
        <w:pStyle w:val="ListParagraph"/>
      </w:pPr>
    </w:p>
    <w:p w:rsidR="008449F7" w:rsidRDefault="008449F7" w:rsidP="008449F7">
      <w:pPr>
        <w:pStyle w:val="ListParagraph"/>
        <w:numPr>
          <w:ilvl w:val="0"/>
          <w:numId w:val="1"/>
        </w:numPr>
        <w:spacing w:line="240" w:lineRule="auto"/>
        <w:jc w:val="both"/>
      </w:pPr>
      <w:r>
        <w:t>The balance of convenience favours the granting of this application.</w:t>
      </w:r>
    </w:p>
    <w:p w:rsidR="008449F7" w:rsidRDefault="008449F7" w:rsidP="008449F7">
      <w:pPr>
        <w:ind w:left="720"/>
        <w:rPr>
          <w:sz w:val="24"/>
          <w:szCs w:val="24"/>
        </w:rPr>
      </w:pPr>
      <w:r>
        <w:rPr>
          <w:sz w:val="24"/>
          <w:szCs w:val="24"/>
        </w:rPr>
        <w:t>The respondent in response told the court that the applicant has no prospects of success on appeal because</w:t>
      </w:r>
    </w:p>
    <w:p w:rsidR="008449F7" w:rsidRDefault="008449F7" w:rsidP="008449F7">
      <w:pPr>
        <w:pStyle w:val="ListParagraph"/>
        <w:numPr>
          <w:ilvl w:val="0"/>
          <w:numId w:val="2"/>
        </w:numPr>
      </w:pPr>
      <w:r>
        <w:t>The grounds of appeal do not raise questions of law but facts</w:t>
      </w:r>
    </w:p>
    <w:p w:rsidR="008449F7" w:rsidRDefault="008449F7" w:rsidP="008449F7">
      <w:pPr>
        <w:pStyle w:val="ListParagraph"/>
        <w:numPr>
          <w:ilvl w:val="0"/>
          <w:numId w:val="2"/>
        </w:numPr>
      </w:pPr>
      <w:r>
        <w:t>What is in dispute is the particular offence with which respondent was charged with</w:t>
      </w:r>
    </w:p>
    <w:p w:rsidR="008449F7" w:rsidRDefault="008449F7" w:rsidP="008449F7">
      <w:pPr>
        <w:spacing w:after="0" w:line="360" w:lineRule="auto"/>
        <w:ind w:left="720"/>
        <w:rPr>
          <w:sz w:val="24"/>
          <w:szCs w:val="24"/>
        </w:rPr>
      </w:pPr>
      <w:r>
        <w:rPr>
          <w:sz w:val="24"/>
          <w:szCs w:val="24"/>
        </w:rPr>
        <w:t xml:space="preserve">The appellant preferred wrong charges against the respondent and the facts and </w:t>
      </w:r>
    </w:p>
    <w:p w:rsidR="008449F7" w:rsidRDefault="008449F7" w:rsidP="008449F7">
      <w:pPr>
        <w:spacing w:after="0" w:line="360" w:lineRule="auto"/>
        <w:rPr>
          <w:sz w:val="24"/>
          <w:szCs w:val="24"/>
        </w:rPr>
      </w:pPr>
      <w:proofErr w:type="gramStart"/>
      <w:r>
        <w:rPr>
          <w:sz w:val="24"/>
          <w:szCs w:val="24"/>
        </w:rPr>
        <w:t>evidence</w:t>
      </w:r>
      <w:proofErr w:type="gramEnd"/>
      <w:r>
        <w:rPr>
          <w:sz w:val="24"/>
          <w:szCs w:val="24"/>
        </w:rPr>
        <w:t xml:space="preserve"> do not prove theft.</w:t>
      </w:r>
    </w:p>
    <w:p w:rsidR="008449F7" w:rsidRDefault="008449F7" w:rsidP="008449F7">
      <w:pPr>
        <w:spacing w:after="0" w:line="360" w:lineRule="auto"/>
        <w:rPr>
          <w:sz w:val="24"/>
          <w:szCs w:val="24"/>
        </w:rPr>
      </w:pPr>
      <w:r>
        <w:rPr>
          <w:sz w:val="24"/>
          <w:szCs w:val="24"/>
        </w:rPr>
        <w:tab/>
        <w:t>In these applications the following factors should be considered</w:t>
      </w:r>
    </w:p>
    <w:p w:rsidR="008449F7" w:rsidRDefault="008449F7" w:rsidP="008449F7">
      <w:pPr>
        <w:pStyle w:val="ListParagraph"/>
        <w:numPr>
          <w:ilvl w:val="0"/>
          <w:numId w:val="4"/>
        </w:numPr>
        <w:spacing w:after="0" w:line="360" w:lineRule="auto"/>
      </w:pPr>
      <w:r>
        <w:t>The applicant’s prospects of success on appeal</w:t>
      </w:r>
    </w:p>
    <w:p w:rsidR="008449F7" w:rsidRDefault="008449F7" w:rsidP="008449F7">
      <w:pPr>
        <w:pStyle w:val="ListParagraph"/>
        <w:numPr>
          <w:ilvl w:val="0"/>
          <w:numId w:val="4"/>
        </w:numPr>
        <w:spacing w:after="0" w:line="360" w:lineRule="auto"/>
      </w:pPr>
      <w:r>
        <w:t>Absence of an alternative remedy</w:t>
      </w:r>
    </w:p>
    <w:p w:rsidR="008449F7" w:rsidRDefault="008449F7" w:rsidP="008449F7">
      <w:pPr>
        <w:pStyle w:val="ListParagraph"/>
        <w:numPr>
          <w:ilvl w:val="0"/>
          <w:numId w:val="4"/>
        </w:numPr>
        <w:spacing w:after="0" w:line="360" w:lineRule="auto"/>
      </w:pPr>
      <w:r>
        <w:t>Well-grounded apprehension of irreparable harm</w:t>
      </w:r>
    </w:p>
    <w:p w:rsidR="008449F7" w:rsidRDefault="008449F7" w:rsidP="008449F7">
      <w:pPr>
        <w:pStyle w:val="ListParagraph"/>
        <w:numPr>
          <w:ilvl w:val="0"/>
          <w:numId w:val="4"/>
        </w:numPr>
        <w:spacing w:after="0" w:line="360" w:lineRule="auto"/>
      </w:pPr>
      <w:r>
        <w:t>Balance of convenience</w:t>
      </w:r>
    </w:p>
    <w:p w:rsidR="008449F7" w:rsidRDefault="008449F7" w:rsidP="008449F7">
      <w:pPr>
        <w:pStyle w:val="ListParagraph"/>
        <w:numPr>
          <w:ilvl w:val="0"/>
          <w:numId w:val="4"/>
        </w:numPr>
        <w:spacing w:after="0" w:line="360" w:lineRule="auto"/>
      </w:pPr>
      <w:r>
        <w:t>The demands of justice</w:t>
      </w:r>
    </w:p>
    <w:p w:rsidR="008449F7" w:rsidRDefault="008449F7" w:rsidP="008449F7">
      <w:pPr>
        <w:spacing w:after="0" w:line="360" w:lineRule="auto"/>
        <w:ind w:left="720"/>
        <w:rPr>
          <w:sz w:val="24"/>
          <w:szCs w:val="24"/>
        </w:rPr>
      </w:pPr>
      <w:r>
        <w:rPr>
          <w:sz w:val="24"/>
          <w:szCs w:val="24"/>
        </w:rPr>
        <w:t xml:space="preserve">The respondent has conceded that </w:t>
      </w:r>
      <w:r w:rsidR="00B463F9">
        <w:rPr>
          <w:sz w:val="24"/>
          <w:szCs w:val="24"/>
        </w:rPr>
        <w:t xml:space="preserve">his actions amounted to misconduct but the </w:t>
      </w:r>
    </w:p>
    <w:p w:rsidR="00B463F9" w:rsidRDefault="00B463F9" w:rsidP="00B463F9">
      <w:pPr>
        <w:spacing w:after="0" w:line="360" w:lineRule="auto"/>
        <w:rPr>
          <w:sz w:val="24"/>
          <w:szCs w:val="24"/>
        </w:rPr>
      </w:pPr>
      <w:proofErr w:type="gramStart"/>
      <w:r>
        <w:rPr>
          <w:sz w:val="24"/>
          <w:szCs w:val="24"/>
        </w:rPr>
        <w:t>question</w:t>
      </w:r>
      <w:proofErr w:type="gramEnd"/>
      <w:r>
        <w:rPr>
          <w:sz w:val="24"/>
          <w:szCs w:val="24"/>
        </w:rPr>
        <w:t xml:space="preserve"> was the actual offence which he should have been charged with.  In view of this therefore</w:t>
      </w:r>
      <w:r w:rsidR="00482684">
        <w:rPr>
          <w:sz w:val="24"/>
          <w:szCs w:val="24"/>
        </w:rPr>
        <w:t xml:space="preserve"> the balance of convenience</w:t>
      </w:r>
      <w:r>
        <w:rPr>
          <w:sz w:val="24"/>
          <w:szCs w:val="24"/>
        </w:rPr>
        <w:t xml:space="preserve"> i</w:t>
      </w:r>
      <w:r w:rsidR="00DE638F">
        <w:rPr>
          <w:sz w:val="24"/>
          <w:szCs w:val="24"/>
        </w:rPr>
        <w:t>s in favour of the applicant.  I</w:t>
      </w:r>
      <w:bookmarkStart w:id="0" w:name="_GoBack"/>
      <w:bookmarkEnd w:id="0"/>
      <w:r>
        <w:rPr>
          <w:sz w:val="24"/>
          <w:szCs w:val="24"/>
        </w:rPr>
        <w:t xml:space="preserve">t also follows that the demands of justice are that the matter should run its full course before a party is allowed to execute on a judgment.  This was stated in the case of </w:t>
      </w:r>
      <w:proofErr w:type="spellStart"/>
      <w:r>
        <w:rPr>
          <w:i/>
          <w:sz w:val="24"/>
          <w:szCs w:val="24"/>
        </w:rPr>
        <w:t>Ndlovu</w:t>
      </w:r>
      <w:proofErr w:type="spellEnd"/>
      <w:r>
        <w:rPr>
          <w:i/>
          <w:sz w:val="24"/>
          <w:szCs w:val="24"/>
        </w:rPr>
        <w:t xml:space="preserve"> </w:t>
      </w:r>
      <w:r>
        <w:rPr>
          <w:sz w:val="24"/>
          <w:szCs w:val="24"/>
        </w:rPr>
        <w:t xml:space="preserve">v </w:t>
      </w:r>
      <w:r>
        <w:rPr>
          <w:i/>
          <w:sz w:val="24"/>
          <w:szCs w:val="24"/>
        </w:rPr>
        <w:t xml:space="preserve">Zimbabwe Grain Bag </w:t>
      </w:r>
      <w:r>
        <w:rPr>
          <w:sz w:val="24"/>
          <w:szCs w:val="24"/>
        </w:rPr>
        <w:t>HC 1039/02 as follows</w:t>
      </w:r>
    </w:p>
    <w:p w:rsidR="00B463F9" w:rsidRDefault="00B463F9" w:rsidP="00B463F9">
      <w:pPr>
        <w:spacing w:after="0" w:line="240" w:lineRule="auto"/>
        <w:ind w:left="1440"/>
      </w:pPr>
      <w:r>
        <w:t xml:space="preserve">“that it is the practice of these courts to allow litigation to run its full turn before   allowing a party to </w:t>
      </w:r>
      <w:r w:rsidR="00482684">
        <w:t>execute on a judgment</w:t>
      </w:r>
      <w:r>
        <w:t>, which is still the subject of further litigation  between the parties.   The balance of convenience requires that the respondent be interdicted from executing its judgment until the Supreme Court has heard the appeal in Case No SC-181-00”</w:t>
      </w:r>
    </w:p>
    <w:p w:rsidR="00B463F9" w:rsidRDefault="00B463F9" w:rsidP="00B463F9">
      <w:pPr>
        <w:spacing w:after="0" w:line="240" w:lineRule="auto"/>
      </w:pPr>
      <w:r>
        <w:tab/>
      </w:r>
    </w:p>
    <w:p w:rsidR="00B463F9" w:rsidRDefault="00B463F9" w:rsidP="00B463F9">
      <w:pPr>
        <w:spacing w:after="0" w:line="240" w:lineRule="auto"/>
        <w:rPr>
          <w:sz w:val="24"/>
          <w:szCs w:val="24"/>
        </w:rPr>
      </w:pPr>
      <w:r>
        <w:tab/>
      </w:r>
      <w:r>
        <w:rPr>
          <w:sz w:val="24"/>
          <w:szCs w:val="24"/>
        </w:rPr>
        <w:t>The balance of convenience favours the granting of this application.</w:t>
      </w:r>
    </w:p>
    <w:p w:rsidR="00B463F9" w:rsidRDefault="00B463F9" w:rsidP="00B463F9">
      <w:pPr>
        <w:spacing w:after="0" w:line="240" w:lineRule="auto"/>
        <w:rPr>
          <w:sz w:val="24"/>
          <w:szCs w:val="24"/>
        </w:rPr>
      </w:pPr>
      <w:r>
        <w:rPr>
          <w:sz w:val="24"/>
          <w:szCs w:val="24"/>
        </w:rPr>
        <w:tab/>
      </w:r>
    </w:p>
    <w:p w:rsidR="00B463F9" w:rsidRDefault="00B463F9" w:rsidP="00B463F9">
      <w:pPr>
        <w:spacing w:after="0" w:line="240" w:lineRule="auto"/>
        <w:rPr>
          <w:sz w:val="24"/>
          <w:szCs w:val="24"/>
        </w:rPr>
      </w:pPr>
      <w:r>
        <w:rPr>
          <w:sz w:val="24"/>
          <w:szCs w:val="24"/>
        </w:rPr>
        <w:tab/>
        <w:t>In the circumstances therefore this court orders as follows;</w:t>
      </w:r>
    </w:p>
    <w:p w:rsidR="00B463F9" w:rsidRDefault="00B463F9" w:rsidP="00B463F9">
      <w:pPr>
        <w:spacing w:after="0" w:line="240" w:lineRule="auto"/>
        <w:rPr>
          <w:sz w:val="24"/>
          <w:szCs w:val="24"/>
        </w:rPr>
      </w:pPr>
    </w:p>
    <w:p w:rsidR="00B463F9" w:rsidRDefault="00B463F9" w:rsidP="00B463F9">
      <w:pPr>
        <w:pStyle w:val="ListParagraph"/>
        <w:numPr>
          <w:ilvl w:val="0"/>
          <w:numId w:val="5"/>
        </w:numPr>
        <w:spacing w:after="0" w:line="240" w:lineRule="auto"/>
        <w:rPr>
          <w:sz w:val="24"/>
          <w:szCs w:val="24"/>
        </w:rPr>
      </w:pPr>
      <w:r>
        <w:rPr>
          <w:sz w:val="24"/>
          <w:szCs w:val="24"/>
        </w:rPr>
        <w:t>The application for stay of execution of the arbitral award pending appeal filed under Case No LC/H/877/15 be and is hereby granted.</w:t>
      </w:r>
    </w:p>
    <w:p w:rsidR="00B463F9" w:rsidRDefault="00B463F9" w:rsidP="00B463F9">
      <w:pPr>
        <w:pStyle w:val="ListParagraph"/>
        <w:spacing w:after="0" w:line="240" w:lineRule="auto"/>
        <w:rPr>
          <w:sz w:val="24"/>
          <w:szCs w:val="24"/>
        </w:rPr>
      </w:pPr>
    </w:p>
    <w:p w:rsidR="00B463F9" w:rsidRPr="00B463F9" w:rsidRDefault="00B463F9" w:rsidP="00B463F9">
      <w:pPr>
        <w:pStyle w:val="ListParagraph"/>
        <w:numPr>
          <w:ilvl w:val="0"/>
          <w:numId w:val="5"/>
        </w:numPr>
        <w:spacing w:after="0" w:line="240" w:lineRule="auto"/>
        <w:rPr>
          <w:sz w:val="24"/>
          <w:szCs w:val="24"/>
        </w:rPr>
      </w:pPr>
      <w:r>
        <w:rPr>
          <w:sz w:val="24"/>
          <w:szCs w:val="24"/>
        </w:rPr>
        <w:t>Each party bears its own costs</w:t>
      </w:r>
    </w:p>
    <w:p w:rsidR="00B463F9" w:rsidRPr="008449F7" w:rsidRDefault="00B463F9" w:rsidP="00B463F9">
      <w:pPr>
        <w:spacing w:after="0" w:line="240" w:lineRule="auto"/>
        <w:rPr>
          <w:sz w:val="24"/>
          <w:szCs w:val="24"/>
        </w:rPr>
      </w:pPr>
    </w:p>
    <w:p w:rsidR="008449F7" w:rsidRPr="008449F7" w:rsidRDefault="008449F7" w:rsidP="00B463F9">
      <w:pPr>
        <w:spacing w:line="240" w:lineRule="auto"/>
        <w:rPr>
          <w:sz w:val="24"/>
          <w:szCs w:val="24"/>
        </w:rPr>
      </w:pPr>
    </w:p>
    <w:p w:rsidR="008449F7" w:rsidRDefault="008449F7" w:rsidP="00B463F9">
      <w:pPr>
        <w:spacing w:line="240" w:lineRule="auto"/>
        <w:jc w:val="both"/>
      </w:pPr>
    </w:p>
    <w:p w:rsidR="00B463F9" w:rsidRPr="00B463F9" w:rsidRDefault="00B463F9" w:rsidP="00B463F9">
      <w:pPr>
        <w:spacing w:line="240" w:lineRule="auto"/>
        <w:jc w:val="both"/>
      </w:pPr>
      <w:r>
        <w:rPr>
          <w:i/>
        </w:rPr>
        <w:lastRenderedPageBreak/>
        <w:t xml:space="preserve">J </w:t>
      </w:r>
      <w:proofErr w:type="spellStart"/>
      <w:r>
        <w:rPr>
          <w:i/>
        </w:rPr>
        <w:t>Mambara</w:t>
      </w:r>
      <w:proofErr w:type="spellEnd"/>
      <w:r>
        <w:rPr>
          <w:i/>
        </w:rPr>
        <w:t xml:space="preserve"> &amp; Partners, </w:t>
      </w:r>
      <w:r>
        <w:t>respondent legal practitioners</w:t>
      </w:r>
    </w:p>
    <w:p w:rsidR="0027343A" w:rsidRPr="0027343A" w:rsidRDefault="0027343A">
      <w:pPr>
        <w:rPr>
          <w:b/>
          <w:sz w:val="24"/>
          <w:szCs w:val="24"/>
        </w:rPr>
      </w:pPr>
    </w:p>
    <w:sectPr w:rsidR="0027343A" w:rsidRPr="0027343A" w:rsidSect="008449F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16" w:rsidRDefault="00283E16" w:rsidP="008449F7">
      <w:pPr>
        <w:spacing w:after="0" w:line="240" w:lineRule="auto"/>
      </w:pPr>
      <w:r>
        <w:separator/>
      </w:r>
    </w:p>
  </w:endnote>
  <w:endnote w:type="continuationSeparator" w:id="0">
    <w:p w:rsidR="00283E16" w:rsidRDefault="00283E16" w:rsidP="0084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749827"/>
      <w:docPartObj>
        <w:docPartGallery w:val="Page Numbers (Bottom of Page)"/>
        <w:docPartUnique/>
      </w:docPartObj>
    </w:sdtPr>
    <w:sdtEndPr>
      <w:rPr>
        <w:noProof/>
      </w:rPr>
    </w:sdtEndPr>
    <w:sdtContent>
      <w:p w:rsidR="008449F7" w:rsidRDefault="008449F7">
        <w:pPr>
          <w:pStyle w:val="Footer"/>
          <w:jc w:val="right"/>
        </w:pPr>
        <w:r>
          <w:fldChar w:fldCharType="begin"/>
        </w:r>
        <w:r>
          <w:instrText xml:space="preserve"> PAGE   \* MERGEFORMAT </w:instrText>
        </w:r>
        <w:r>
          <w:fldChar w:fldCharType="separate"/>
        </w:r>
        <w:r w:rsidR="00DE638F">
          <w:rPr>
            <w:noProof/>
          </w:rPr>
          <w:t>2</w:t>
        </w:r>
        <w:r>
          <w:rPr>
            <w:noProof/>
          </w:rPr>
          <w:fldChar w:fldCharType="end"/>
        </w:r>
      </w:p>
    </w:sdtContent>
  </w:sdt>
  <w:p w:rsidR="008449F7" w:rsidRDefault="00844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16" w:rsidRDefault="00283E16" w:rsidP="008449F7">
      <w:pPr>
        <w:spacing w:after="0" w:line="240" w:lineRule="auto"/>
      </w:pPr>
      <w:r>
        <w:separator/>
      </w:r>
    </w:p>
  </w:footnote>
  <w:footnote w:type="continuationSeparator" w:id="0">
    <w:p w:rsidR="00283E16" w:rsidRDefault="00283E16" w:rsidP="00844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F7" w:rsidRDefault="00DE7825" w:rsidP="00DE7825">
    <w:pPr>
      <w:spacing w:line="360" w:lineRule="auto"/>
      <w:ind w:left="5760"/>
      <w:jc w:val="both"/>
      <w:rPr>
        <w:b/>
        <w:sz w:val="24"/>
        <w:szCs w:val="24"/>
      </w:rPr>
    </w:pPr>
    <w:r>
      <w:rPr>
        <w:b/>
        <w:sz w:val="24"/>
        <w:szCs w:val="24"/>
      </w:rPr>
      <w:t xml:space="preserve">    </w:t>
    </w:r>
    <w:r w:rsidR="008449F7">
      <w:rPr>
        <w:b/>
        <w:sz w:val="24"/>
        <w:szCs w:val="24"/>
      </w:rPr>
      <w:t>JUDGMENT NO LC/H/</w:t>
    </w:r>
    <w:r>
      <w:rPr>
        <w:b/>
        <w:sz w:val="24"/>
        <w:szCs w:val="24"/>
      </w:rPr>
      <w:t>71</w:t>
    </w:r>
    <w:r w:rsidR="008449F7">
      <w:rPr>
        <w:b/>
        <w:sz w:val="24"/>
        <w:szCs w:val="24"/>
      </w:rPr>
      <w:t>/16</w:t>
    </w:r>
  </w:p>
  <w:p w:rsidR="008449F7" w:rsidRDefault="00844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53AC"/>
    <w:multiLevelType w:val="hybridMultilevel"/>
    <w:tmpl w:val="817A94E8"/>
    <w:lvl w:ilvl="0" w:tplc="719CE35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1F5C69"/>
    <w:multiLevelType w:val="hybridMultilevel"/>
    <w:tmpl w:val="A2A2C7AA"/>
    <w:lvl w:ilvl="0" w:tplc="B5C28BA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416A6E"/>
    <w:multiLevelType w:val="hybridMultilevel"/>
    <w:tmpl w:val="6422C3FA"/>
    <w:lvl w:ilvl="0" w:tplc="00F4D5BE">
      <w:start w:val="1"/>
      <w:numFmt w:val="lowerRoman"/>
      <w:lvlText w:val="%1)"/>
      <w:lvlJc w:val="left"/>
      <w:pPr>
        <w:ind w:left="1440" w:hanging="72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3226D93"/>
    <w:multiLevelType w:val="hybridMultilevel"/>
    <w:tmpl w:val="61DCC5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33B69FB"/>
    <w:multiLevelType w:val="hybridMultilevel"/>
    <w:tmpl w:val="A3B6265C"/>
    <w:lvl w:ilvl="0" w:tplc="7DEE90B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AF"/>
    <w:rsid w:val="001D7FC7"/>
    <w:rsid w:val="0027343A"/>
    <w:rsid w:val="00283E16"/>
    <w:rsid w:val="003F68AF"/>
    <w:rsid w:val="004730E0"/>
    <w:rsid w:val="00482684"/>
    <w:rsid w:val="004834E9"/>
    <w:rsid w:val="008449F7"/>
    <w:rsid w:val="00B463F9"/>
    <w:rsid w:val="00D20BEE"/>
    <w:rsid w:val="00D56527"/>
    <w:rsid w:val="00DE638F"/>
    <w:rsid w:val="00DE78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43A"/>
    <w:pPr>
      <w:ind w:left="720"/>
      <w:contextualSpacing/>
    </w:pPr>
  </w:style>
  <w:style w:type="paragraph" w:styleId="Header">
    <w:name w:val="header"/>
    <w:basedOn w:val="Normal"/>
    <w:link w:val="HeaderChar"/>
    <w:uiPriority w:val="99"/>
    <w:unhideWhenUsed/>
    <w:rsid w:val="00844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9F7"/>
  </w:style>
  <w:style w:type="paragraph" w:styleId="Footer">
    <w:name w:val="footer"/>
    <w:basedOn w:val="Normal"/>
    <w:link w:val="FooterChar"/>
    <w:uiPriority w:val="99"/>
    <w:unhideWhenUsed/>
    <w:rsid w:val="00844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F7"/>
  </w:style>
  <w:style w:type="paragraph" w:styleId="BalloonText">
    <w:name w:val="Balloon Text"/>
    <w:basedOn w:val="Normal"/>
    <w:link w:val="BalloonTextChar"/>
    <w:uiPriority w:val="99"/>
    <w:semiHidden/>
    <w:unhideWhenUsed/>
    <w:rsid w:val="00DE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43A"/>
    <w:pPr>
      <w:ind w:left="720"/>
      <w:contextualSpacing/>
    </w:pPr>
  </w:style>
  <w:style w:type="paragraph" w:styleId="Header">
    <w:name w:val="header"/>
    <w:basedOn w:val="Normal"/>
    <w:link w:val="HeaderChar"/>
    <w:uiPriority w:val="99"/>
    <w:unhideWhenUsed/>
    <w:rsid w:val="00844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9F7"/>
  </w:style>
  <w:style w:type="paragraph" w:styleId="Footer">
    <w:name w:val="footer"/>
    <w:basedOn w:val="Normal"/>
    <w:link w:val="FooterChar"/>
    <w:uiPriority w:val="99"/>
    <w:unhideWhenUsed/>
    <w:rsid w:val="00844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F7"/>
  </w:style>
  <w:style w:type="paragraph" w:styleId="BalloonText">
    <w:name w:val="Balloon Text"/>
    <w:basedOn w:val="Normal"/>
    <w:link w:val="BalloonTextChar"/>
    <w:uiPriority w:val="99"/>
    <w:semiHidden/>
    <w:unhideWhenUsed/>
    <w:rsid w:val="00DE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2016-02-15T09:53:00Z</cp:lastPrinted>
  <dcterms:created xsi:type="dcterms:W3CDTF">2016-02-10T05:23:00Z</dcterms:created>
  <dcterms:modified xsi:type="dcterms:W3CDTF">2016-02-15T09:55:00Z</dcterms:modified>
</cp:coreProperties>
</file>