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D3" w:rsidRDefault="00B914D3" w:rsidP="00B914D3">
      <w:pPr>
        <w:spacing w:line="360" w:lineRule="auto"/>
        <w:jc w:val="both"/>
        <w:rPr>
          <w:b/>
        </w:rPr>
      </w:pPr>
      <w:proofErr w:type="gramStart"/>
      <w:r w:rsidRPr="00047C13">
        <w:rPr>
          <w:b/>
        </w:rPr>
        <w:t>IN T</w:t>
      </w:r>
      <w:r>
        <w:rPr>
          <w:b/>
        </w:rPr>
        <w:t>HE LABOUR COURT OF ZIMBABWE</w:t>
      </w:r>
      <w:r w:rsidR="00E723FE">
        <w:rPr>
          <w:b/>
        </w:rPr>
        <w:t xml:space="preserve">      JUDGMENT NO.</w:t>
      </w:r>
      <w:proofErr w:type="gramEnd"/>
      <w:r w:rsidR="00E723FE">
        <w:rPr>
          <w:b/>
        </w:rPr>
        <w:t xml:space="preserve"> LC/H/</w:t>
      </w:r>
      <w:r w:rsidR="002D5766">
        <w:rPr>
          <w:b/>
        </w:rPr>
        <w:t>05</w:t>
      </w:r>
      <w:r w:rsidR="00E723FE">
        <w:rPr>
          <w:b/>
        </w:rPr>
        <w:t>/2016</w:t>
      </w:r>
    </w:p>
    <w:p w:rsidR="00B914D3" w:rsidRDefault="00B914D3" w:rsidP="00B914D3">
      <w:pPr>
        <w:spacing w:line="360" w:lineRule="auto"/>
        <w:jc w:val="both"/>
        <w:rPr>
          <w:b/>
        </w:rPr>
      </w:pPr>
      <w:r w:rsidRPr="00047C13">
        <w:rPr>
          <w:b/>
        </w:rPr>
        <w:t xml:space="preserve">HARARE, </w:t>
      </w:r>
      <w:r>
        <w:rPr>
          <w:b/>
        </w:rPr>
        <w:t>29 SEPTEMBER 2015</w:t>
      </w:r>
      <w:r>
        <w:rPr>
          <w:b/>
        </w:rPr>
        <w:tab/>
      </w:r>
      <w:r w:rsidRPr="00047C13">
        <w:rPr>
          <w:b/>
        </w:rPr>
        <w:t xml:space="preserve">  </w:t>
      </w:r>
      <w:r w:rsidRPr="00047C13">
        <w:rPr>
          <w:b/>
        </w:rPr>
        <w:tab/>
      </w:r>
      <w:r w:rsidRPr="00047C13">
        <w:rPr>
          <w:b/>
        </w:rPr>
        <w:tab/>
      </w:r>
      <w:r>
        <w:rPr>
          <w:b/>
        </w:rPr>
        <w:t xml:space="preserve">   </w:t>
      </w:r>
      <w:r w:rsidRPr="00047C13">
        <w:rPr>
          <w:b/>
        </w:rPr>
        <w:t>CASE NO. LC/H/</w:t>
      </w:r>
      <w:r>
        <w:rPr>
          <w:b/>
        </w:rPr>
        <w:t>1107/14</w:t>
      </w:r>
    </w:p>
    <w:p w:rsidR="00B914D3" w:rsidRDefault="00B914D3" w:rsidP="00B914D3">
      <w:pPr>
        <w:spacing w:line="360" w:lineRule="auto"/>
        <w:jc w:val="both"/>
        <w:rPr>
          <w:b/>
        </w:rPr>
      </w:pPr>
      <w:r>
        <w:rPr>
          <w:b/>
        </w:rPr>
        <w:t xml:space="preserve">AND </w:t>
      </w:r>
      <w:r w:rsidR="002D5766">
        <w:rPr>
          <w:b/>
        </w:rPr>
        <w:t>08 JANUARY</w:t>
      </w:r>
      <w:bookmarkStart w:id="0" w:name="_GoBack"/>
      <w:bookmarkEnd w:id="0"/>
      <w:r w:rsidR="00E723FE">
        <w:rPr>
          <w:b/>
        </w:rPr>
        <w:t xml:space="preserve"> 2016</w:t>
      </w:r>
    </w:p>
    <w:p w:rsidR="00B914D3" w:rsidRPr="00047C13" w:rsidRDefault="00B914D3" w:rsidP="00B914D3">
      <w:pPr>
        <w:spacing w:line="360" w:lineRule="auto"/>
        <w:jc w:val="both"/>
      </w:pPr>
      <w:r w:rsidRPr="00047C13">
        <w:t>In the matter between</w:t>
      </w:r>
      <w:r>
        <w:t>:-</w:t>
      </w:r>
    </w:p>
    <w:p w:rsidR="00B914D3" w:rsidRPr="00047C13" w:rsidRDefault="00B914D3" w:rsidP="00B914D3">
      <w:pPr>
        <w:spacing w:line="360" w:lineRule="auto"/>
        <w:jc w:val="both"/>
      </w:pPr>
    </w:p>
    <w:p w:rsidR="00B914D3" w:rsidRDefault="00B914D3" w:rsidP="00B914D3">
      <w:pPr>
        <w:spacing w:line="360" w:lineRule="auto"/>
        <w:jc w:val="both"/>
        <w:rPr>
          <w:b/>
        </w:rPr>
      </w:pPr>
      <w:r>
        <w:rPr>
          <w:b/>
        </w:rPr>
        <w:t>CFI RETAIL LIMITED</w:t>
      </w:r>
      <w:r>
        <w:rPr>
          <w:b/>
        </w:rPr>
        <w:tab/>
      </w:r>
      <w:r>
        <w:rPr>
          <w:b/>
        </w:rPr>
        <w:tab/>
      </w:r>
      <w:r>
        <w:rPr>
          <w:b/>
        </w:rPr>
        <w:tab/>
      </w:r>
      <w:r>
        <w:rPr>
          <w:b/>
        </w:rPr>
        <w:tab/>
        <w:t>Appellant</w:t>
      </w:r>
    </w:p>
    <w:p w:rsidR="00B914D3" w:rsidRDefault="00B914D3" w:rsidP="00B914D3">
      <w:pPr>
        <w:spacing w:line="360" w:lineRule="auto"/>
        <w:jc w:val="both"/>
        <w:rPr>
          <w:b/>
        </w:rPr>
      </w:pPr>
      <w:proofErr w:type="gramStart"/>
      <w:r>
        <w:rPr>
          <w:b/>
        </w:rPr>
        <w:t>t/</w:t>
      </w:r>
      <w:proofErr w:type="gramEnd"/>
      <w:r>
        <w:rPr>
          <w:b/>
        </w:rPr>
        <w:t xml:space="preserve">a FARM &amp; CITY CENTRE </w:t>
      </w:r>
    </w:p>
    <w:p w:rsidR="00B914D3" w:rsidRDefault="00B914D3" w:rsidP="00B914D3">
      <w:pPr>
        <w:spacing w:line="360" w:lineRule="auto"/>
        <w:jc w:val="both"/>
      </w:pPr>
      <w:r>
        <w:t>And</w:t>
      </w:r>
    </w:p>
    <w:p w:rsidR="00B914D3" w:rsidRPr="00E4649E" w:rsidRDefault="00B914D3" w:rsidP="00B914D3">
      <w:pPr>
        <w:spacing w:line="360" w:lineRule="auto"/>
        <w:jc w:val="both"/>
        <w:rPr>
          <w:b/>
        </w:rPr>
      </w:pPr>
      <w:r>
        <w:rPr>
          <w:b/>
        </w:rPr>
        <w:t>OSCAR MBIRA</w:t>
      </w:r>
      <w:r>
        <w:rPr>
          <w:b/>
        </w:rPr>
        <w:tab/>
      </w:r>
      <w:r>
        <w:rPr>
          <w:b/>
        </w:rPr>
        <w:tab/>
      </w:r>
      <w:r>
        <w:rPr>
          <w:b/>
        </w:rPr>
        <w:tab/>
      </w:r>
      <w:r>
        <w:rPr>
          <w:b/>
        </w:rPr>
        <w:tab/>
      </w:r>
      <w:r>
        <w:rPr>
          <w:b/>
        </w:rPr>
        <w:tab/>
        <w:t>Respondent</w:t>
      </w:r>
    </w:p>
    <w:p w:rsidR="00B914D3" w:rsidRPr="00047C13" w:rsidRDefault="00B914D3" w:rsidP="00B914D3">
      <w:pPr>
        <w:spacing w:line="360" w:lineRule="auto"/>
        <w:jc w:val="both"/>
        <w:rPr>
          <w:b/>
        </w:rPr>
      </w:pPr>
    </w:p>
    <w:p w:rsidR="00B914D3" w:rsidRPr="00047C13" w:rsidRDefault="00B914D3" w:rsidP="00B914D3">
      <w:pPr>
        <w:spacing w:line="360" w:lineRule="auto"/>
        <w:jc w:val="both"/>
      </w:pPr>
      <w:r>
        <w:t xml:space="preserve">Before </w:t>
      </w:r>
      <w:r w:rsidRPr="00047C13">
        <w:t>Honourable</w:t>
      </w:r>
      <w:r>
        <w:t xml:space="preserve"> R. </w:t>
      </w:r>
      <w:proofErr w:type="spellStart"/>
      <w:r>
        <w:t>Manyangadze</w:t>
      </w:r>
      <w:proofErr w:type="spellEnd"/>
      <w:r>
        <w:t>, J</w:t>
      </w:r>
    </w:p>
    <w:p w:rsidR="00B914D3" w:rsidRPr="00047C13" w:rsidRDefault="00B914D3" w:rsidP="00B914D3">
      <w:pPr>
        <w:spacing w:line="360" w:lineRule="auto"/>
        <w:jc w:val="both"/>
      </w:pPr>
      <w:r w:rsidRPr="00047C13">
        <w:tab/>
      </w:r>
      <w:r w:rsidRPr="00047C13">
        <w:tab/>
      </w:r>
      <w:r w:rsidRPr="00047C13">
        <w:tab/>
      </w:r>
    </w:p>
    <w:p w:rsidR="00B914D3" w:rsidRDefault="00B914D3" w:rsidP="00B914D3">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proofErr w:type="spellStart"/>
      <w:r>
        <w:rPr>
          <w:b/>
        </w:rPr>
        <w:t>Mrs</w:t>
      </w:r>
      <w:proofErr w:type="spellEnd"/>
      <w:r>
        <w:rPr>
          <w:b/>
        </w:rPr>
        <w:t xml:space="preserve"> C.W. </w:t>
      </w:r>
      <w:proofErr w:type="spellStart"/>
      <w:r>
        <w:rPr>
          <w:b/>
        </w:rPr>
        <w:t>Mapfidza</w:t>
      </w:r>
      <w:proofErr w:type="spellEnd"/>
      <w:r>
        <w:rPr>
          <w:b/>
        </w:rPr>
        <w:t xml:space="preserve"> (Legal Practitioner)</w:t>
      </w:r>
    </w:p>
    <w:p w:rsidR="00B914D3" w:rsidRPr="00CF1210" w:rsidRDefault="00B914D3" w:rsidP="00436A6E">
      <w:pPr>
        <w:pStyle w:val="NoSpacing"/>
        <w:spacing w:line="360" w:lineRule="auto"/>
        <w:jc w:val="both"/>
        <w:rPr>
          <w:b/>
        </w:rPr>
      </w:pPr>
      <w:r w:rsidRPr="00494C95">
        <w:rPr>
          <w:b/>
        </w:rPr>
        <w:t>For Respondent</w:t>
      </w:r>
      <w:r>
        <w:tab/>
      </w:r>
      <w:r>
        <w:tab/>
        <w:t>-</w:t>
      </w:r>
      <w:r>
        <w:tab/>
      </w:r>
      <w:proofErr w:type="spellStart"/>
      <w:r w:rsidR="00524A4D">
        <w:rPr>
          <w:b/>
        </w:rPr>
        <w:t>Mr</w:t>
      </w:r>
      <w:proofErr w:type="spellEnd"/>
      <w:r w:rsidR="00524A4D">
        <w:rPr>
          <w:b/>
        </w:rPr>
        <w:t xml:space="preserve"> J. Koto (Legal Practitioner)</w:t>
      </w:r>
    </w:p>
    <w:p w:rsidR="00B914D3" w:rsidRDefault="00B914D3" w:rsidP="00B914D3">
      <w:pPr>
        <w:pStyle w:val="NoSpacing"/>
        <w:rPr>
          <w:b/>
        </w:rPr>
      </w:pPr>
      <w:r w:rsidRPr="00CF1210">
        <w:rPr>
          <w:b/>
        </w:rPr>
        <w:tab/>
      </w:r>
      <w:r w:rsidRPr="00CF1210">
        <w:rPr>
          <w:b/>
        </w:rPr>
        <w:tab/>
      </w:r>
      <w:r w:rsidRPr="00CF1210">
        <w:rPr>
          <w:b/>
        </w:rPr>
        <w:tab/>
      </w:r>
      <w:r w:rsidRPr="00CF1210">
        <w:rPr>
          <w:b/>
        </w:rPr>
        <w:tab/>
      </w:r>
      <w:r w:rsidRPr="00CF1210">
        <w:rPr>
          <w:b/>
        </w:rPr>
        <w:tab/>
      </w:r>
    </w:p>
    <w:p w:rsidR="00B914D3" w:rsidRPr="00CF1210" w:rsidRDefault="00B914D3" w:rsidP="00B914D3">
      <w:pPr>
        <w:pStyle w:val="NoSpacing"/>
        <w:rPr>
          <w:b/>
        </w:rPr>
      </w:pPr>
    </w:p>
    <w:p w:rsidR="00B914D3" w:rsidRDefault="00B914D3" w:rsidP="00B914D3">
      <w:pPr>
        <w:spacing w:line="360" w:lineRule="auto"/>
        <w:jc w:val="both"/>
        <w:rPr>
          <w:b/>
        </w:rPr>
      </w:pPr>
      <w:r>
        <w:rPr>
          <w:b/>
        </w:rPr>
        <w:t>MANYANGADZE, J:</w:t>
      </w:r>
    </w:p>
    <w:p w:rsidR="009D37A5" w:rsidRDefault="009D37A5"/>
    <w:p w:rsidR="00E0662E" w:rsidRDefault="00436A6E" w:rsidP="00436A6E">
      <w:pPr>
        <w:spacing w:line="360" w:lineRule="auto"/>
        <w:jc w:val="both"/>
      </w:pPr>
      <w:r>
        <w:tab/>
        <w:t>This is an appeal against</w:t>
      </w:r>
      <w:r w:rsidR="00E723FE">
        <w:t xml:space="preserve"> a</w:t>
      </w:r>
      <w:r>
        <w:t xml:space="preserve"> quantification award granted on 4 December 2014, in terms of which the respondent was awarded an amount of US$39 200</w:t>
      </w:r>
      <w:proofErr w:type="gramStart"/>
      <w:r>
        <w:t>,00</w:t>
      </w:r>
      <w:proofErr w:type="gramEnd"/>
      <w:r>
        <w:t xml:space="preserve"> as damages in lieu of reinstatement.</w:t>
      </w:r>
    </w:p>
    <w:p w:rsidR="00BC4197" w:rsidRDefault="00BC4197" w:rsidP="00BC4197">
      <w:pPr>
        <w:jc w:val="both"/>
      </w:pPr>
    </w:p>
    <w:p w:rsidR="00E0662E" w:rsidRDefault="00E0662E" w:rsidP="00436A6E">
      <w:pPr>
        <w:spacing w:line="360" w:lineRule="auto"/>
        <w:jc w:val="both"/>
      </w:pPr>
      <w:r>
        <w:tab/>
        <w:t xml:space="preserve">The quantification emanates from an earlier award granted on 4 December 2013.  The record shows that an appeal against that award was dismissed by this court on 6 June 2014.  This </w:t>
      </w:r>
      <w:r w:rsidR="00F04B89">
        <w:t>paved the way to the quantification proceedings which resulted in the award in contention.</w:t>
      </w:r>
    </w:p>
    <w:p w:rsidR="00BC4197" w:rsidRDefault="00BC4197" w:rsidP="00BC4197">
      <w:pPr>
        <w:jc w:val="both"/>
      </w:pPr>
    </w:p>
    <w:p w:rsidR="00F04B89" w:rsidRDefault="00F04B89" w:rsidP="00C708C8">
      <w:pPr>
        <w:spacing w:line="360" w:lineRule="auto"/>
        <w:ind w:firstLine="720"/>
        <w:jc w:val="both"/>
      </w:pPr>
      <w:r>
        <w:t xml:space="preserve">The award granted </w:t>
      </w:r>
      <w:r w:rsidR="00C708C8">
        <w:t>damages constituted as follows:</w:t>
      </w:r>
    </w:p>
    <w:p w:rsidR="00E723FE" w:rsidRPr="00E723FE" w:rsidRDefault="00E723FE" w:rsidP="00E723FE">
      <w:pPr>
        <w:spacing w:line="276" w:lineRule="auto"/>
        <w:ind w:firstLine="720"/>
        <w:jc w:val="both"/>
        <w:rPr>
          <w:sz w:val="22"/>
          <w:szCs w:val="22"/>
        </w:rPr>
      </w:pPr>
      <w:r w:rsidRPr="00E723FE">
        <w:rPr>
          <w:sz w:val="22"/>
          <w:szCs w:val="22"/>
        </w:rPr>
        <w:t>“Cash-in-lieu of leave days</w:t>
      </w:r>
      <w:r w:rsidRPr="00E723FE">
        <w:rPr>
          <w:sz w:val="22"/>
          <w:szCs w:val="22"/>
        </w:rPr>
        <w:tab/>
      </w:r>
      <w:r w:rsidRPr="00E723FE">
        <w:rPr>
          <w:sz w:val="22"/>
          <w:szCs w:val="22"/>
        </w:rPr>
        <w:tab/>
      </w:r>
      <w:r w:rsidRPr="00E723FE">
        <w:rPr>
          <w:sz w:val="22"/>
          <w:szCs w:val="22"/>
        </w:rPr>
        <w:tab/>
        <w:t>=</w:t>
      </w:r>
      <w:r w:rsidRPr="00E723FE">
        <w:rPr>
          <w:sz w:val="22"/>
          <w:szCs w:val="22"/>
        </w:rPr>
        <w:tab/>
        <w:t>$2 100</w:t>
      </w:r>
      <w:proofErr w:type="gramStart"/>
      <w:r w:rsidRPr="00E723FE">
        <w:rPr>
          <w:sz w:val="22"/>
          <w:szCs w:val="22"/>
        </w:rPr>
        <w:t>,00</w:t>
      </w:r>
      <w:proofErr w:type="gramEnd"/>
    </w:p>
    <w:p w:rsidR="00E723FE" w:rsidRPr="00E723FE" w:rsidRDefault="00E723FE" w:rsidP="00E723FE">
      <w:pPr>
        <w:spacing w:line="276" w:lineRule="auto"/>
        <w:ind w:firstLine="720"/>
        <w:jc w:val="both"/>
        <w:rPr>
          <w:sz w:val="22"/>
          <w:szCs w:val="22"/>
        </w:rPr>
      </w:pPr>
      <w:r w:rsidRPr="00E723FE">
        <w:rPr>
          <w:sz w:val="22"/>
          <w:szCs w:val="22"/>
        </w:rPr>
        <w:t>Back pay – 35 months</w:t>
      </w:r>
      <w:r w:rsidRPr="00E723FE">
        <w:rPr>
          <w:sz w:val="22"/>
          <w:szCs w:val="22"/>
        </w:rPr>
        <w:tab/>
      </w:r>
      <w:r w:rsidR="00064CDF">
        <w:rPr>
          <w:sz w:val="22"/>
          <w:szCs w:val="22"/>
        </w:rPr>
        <w:tab/>
      </w:r>
      <w:r w:rsidRPr="00E723FE">
        <w:rPr>
          <w:sz w:val="22"/>
          <w:szCs w:val="22"/>
        </w:rPr>
        <w:tab/>
      </w:r>
      <w:r w:rsidRPr="00E723FE">
        <w:rPr>
          <w:sz w:val="22"/>
          <w:szCs w:val="22"/>
        </w:rPr>
        <w:tab/>
        <w:t>=     $24 500</w:t>
      </w:r>
      <w:proofErr w:type="gramStart"/>
      <w:r w:rsidRPr="00E723FE">
        <w:rPr>
          <w:sz w:val="22"/>
          <w:szCs w:val="22"/>
        </w:rPr>
        <w:t>,00</w:t>
      </w:r>
      <w:proofErr w:type="gramEnd"/>
    </w:p>
    <w:p w:rsidR="00E723FE" w:rsidRPr="00E723FE" w:rsidRDefault="00E723FE" w:rsidP="00E723FE">
      <w:pPr>
        <w:spacing w:line="276" w:lineRule="auto"/>
        <w:ind w:firstLine="720"/>
        <w:jc w:val="both"/>
        <w:rPr>
          <w:sz w:val="22"/>
          <w:szCs w:val="22"/>
        </w:rPr>
      </w:pPr>
      <w:r w:rsidRPr="00E723FE">
        <w:rPr>
          <w:sz w:val="22"/>
          <w:szCs w:val="22"/>
        </w:rPr>
        <w:t xml:space="preserve">18 </w:t>
      </w:r>
      <w:proofErr w:type="spellStart"/>
      <w:r w:rsidRPr="00E723FE">
        <w:rPr>
          <w:sz w:val="22"/>
          <w:szCs w:val="22"/>
        </w:rPr>
        <w:t>months</w:t>
      </w:r>
      <w:proofErr w:type="spellEnd"/>
      <w:r w:rsidRPr="00E723FE">
        <w:rPr>
          <w:sz w:val="22"/>
          <w:szCs w:val="22"/>
        </w:rPr>
        <w:t xml:space="preserve"> salary as damages</w:t>
      </w:r>
      <w:r w:rsidRPr="00E723FE">
        <w:rPr>
          <w:sz w:val="22"/>
          <w:szCs w:val="22"/>
        </w:rPr>
        <w:tab/>
      </w:r>
      <w:r w:rsidRPr="00E723FE">
        <w:rPr>
          <w:sz w:val="22"/>
          <w:szCs w:val="22"/>
        </w:rPr>
        <w:tab/>
        <w:t>=     $12 600</w:t>
      </w:r>
      <w:proofErr w:type="gramStart"/>
      <w:r w:rsidRPr="00E723FE">
        <w:rPr>
          <w:sz w:val="22"/>
          <w:szCs w:val="22"/>
        </w:rPr>
        <w:t>,00</w:t>
      </w:r>
      <w:proofErr w:type="gramEnd"/>
    </w:p>
    <w:p w:rsidR="00E723FE" w:rsidRPr="00E723FE" w:rsidRDefault="00E723FE" w:rsidP="00E723FE">
      <w:pPr>
        <w:spacing w:line="276" w:lineRule="auto"/>
        <w:ind w:firstLine="720"/>
        <w:jc w:val="both"/>
        <w:rPr>
          <w:sz w:val="22"/>
          <w:szCs w:val="22"/>
        </w:rPr>
      </w:pPr>
      <w:proofErr w:type="gramStart"/>
      <w:r w:rsidRPr="00E723FE">
        <w:rPr>
          <w:sz w:val="22"/>
          <w:szCs w:val="22"/>
        </w:rPr>
        <w:t>for</w:t>
      </w:r>
      <w:proofErr w:type="gramEnd"/>
      <w:r w:rsidRPr="00E723FE">
        <w:rPr>
          <w:sz w:val="22"/>
          <w:szCs w:val="22"/>
        </w:rPr>
        <w:t xml:space="preserve"> loss of employment</w:t>
      </w:r>
    </w:p>
    <w:p w:rsidR="00E723FE" w:rsidRDefault="00E723FE" w:rsidP="00E723FE">
      <w:pPr>
        <w:spacing w:line="276" w:lineRule="auto"/>
        <w:ind w:firstLine="720"/>
        <w:jc w:val="both"/>
        <w:rPr>
          <w:sz w:val="22"/>
          <w:szCs w:val="22"/>
        </w:rPr>
      </w:pPr>
      <w:r w:rsidRPr="00E723FE">
        <w:rPr>
          <w:sz w:val="22"/>
          <w:szCs w:val="22"/>
        </w:rPr>
        <w:t>Total</w:t>
      </w:r>
      <w:r w:rsidRPr="00E723FE">
        <w:rPr>
          <w:sz w:val="22"/>
          <w:szCs w:val="22"/>
        </w:rPr>
        <w:tab/>
      </w:r>
      <w:r w:rsidRPr="00E723FE">
        <w:rPr>
          <w:sz w:val="22"/>
          <w:szCs w:val="22"/>
        </w:rPr>
        <w:tab/>
      </w:r>
      <w:r w:rsidRPr="00E723FE">
        <w:rPr>
          <w:sz w:val="22"/>
          <w:szCs w:val="22"/>
        </w:rPr>
        <w:tab/>
      </w:r>
      <w:r w:rsidRPr="00E723FE">
        <w:rPr>
          <w:sz w:val="22"/>
          <w:szCs w:val="22"/>
        </w:rPr>
        <w:tab/>
      </w:r>
      <w:r w:rsidRPr="00E723FE">
        <w:rPr>
          <w:sz w:val="22"/>
          <w:szCs w:val="22"/>
        </w:rPr>
        <w:tab/>
      </w:r>
      <w:r w:rsidRPr="00E723FE">
        <w:rPr>
          <w:sz w:val="22"/>
          <w:szCs w:val="22"/>
        </w:rPr>
        <w:tab/>
        <w:t xml:space="preserve">=    </w:t>
      </w:r>
      <w:r w:rsidRPr="00E723FE">
        <w:rPr>
          <w:b/>
          <w:sz w:val="22"/>
          <w:szCs w:val="22"/>
          <w:u w:val="single"/>
        </w:rPr>
        <w:t xml:space="preserve"> $39 200</w:t>
      </w:r>
      <w:proofErr w:type="gramStart"/>
      <w:r w:rsidRPr="00E723FE">
        <w:rPr>
          <w:b/>
          <w:sz w:val="22"/>
          <w:szCs w:val="22"/>
          <w:u w:val="single"/>
        </w:rPr>
        <w:t>,00</w:t>
      </w:r>
      <w:proofErr w:type="gramEnd"/>
      <w:r w:rsidRPr="00E723FE">
        <w:rPr>
          <w:sz w:val="22"/>
          <w:szCs w:val="22"/>
        </w:rPr>
        <w:t>”</w:t>
      </w:r>
    </w:p>
    <w:p w:rsidR="00064CDF" w:rsidRPr="00E723FE" w:rsidRDefault="00064CDF" w:rsidP="00064CDF">
      <w:pPr>
        <w:ind w:firstLine="720"/>
        <w:jc w:val="both"/>
        <w:rPr>
          <w:sz w:val="22"/>
          <w:szCs w:val="22"/>
        </w:rPr>
      </w:pPr>
    </w:p>
    <w:p w:rsidR="00C708C8" w:rsidRDefault="00C708C8" w:rsidP="00C708C8">
      <w:pPr>
        <w:spacing w:line="360" w:lineRule="auto"/>
        <w:ind w:firstLine="720"/>
        <w:jc w:val="both"/>
      </w:pPr>
      <w:r>
        <w:lastRenderedPageBreak/>
        <w:t>My reading of the grounds of appeal discloses three basic issues for determination.</w:t>
      </w:r>
    </w:p>
    <w:p w:rsidR="00BC4197" w:rsidRDefault="00BC4197" w:rsidP="00FF1969">
      <w:pPr>
        <w:ind w:firstLine="720"/>
        <w:jc w:val="both"/>
      </w:pPr>
    </w:p>
    <w:p w:rsidR="00C708C8" w:rsidRDefault="00C708C8" w:rsidP="00C708C8">
      <w:pPr>
        <w:spacing w:line="360" w:lineRule="auto"/>
        <w:ind w:firstLine="720"/>
        <w:jc w:val="both"/>
      </w:pPr>
      <w:r>
        <w:t>There are:</w:t>
      </w:r>
    </w:p>
    <w:p w:rsidR="00C708C8" w:rsidRDefault="009D76F3" w:rsidP="00C708C8">
      <w:pPr>
        <w:pStyle w:val="ListParagraph"/>
        <w:numPr>
          <w:ilvl w:val="0"/>
          <w:numId w:val="1"/>
        </w:numPr>
        <w:spacing w:line="360" w:lineRule="auto"/>
        <w:jc w:val="both"/>
      </w:pPr>
      <w:r>
        <w:t xml:space="preserve">The arbitrator did not rule on a </w:t>
      </w:r>
      <w:r w:rsidR="00681653">
        <w:t xml:space="preserve">point </w:t>
      </w:r>
      <w:r w:rsidR="00681653" w:rsidRPr="00681653">
        <w:rPr>
          <w:i/>
        </w:rPr>
        <w:t xml:space="preserve">in </w:t>
      </w:r>
      <w:proofErr w:type="spellStart"/>
      <w:r w:rsidR="00681653" w:rsidRPr="00681653">
        <w:rPr>
          <w:i/>
        </w:rPr>
        <w:t>limine</w:t>
      </w:r>
      <w:proofErr w:type="spellEnd"/>
      <w:r w:rsidR="00681653">
        <w:t xml:space="preserve"> raised by the appellant.</w:t>
      </w:r>
    </w:p>
    <w:p w:rsidR="00681653" w:rsidRDefault="00681653" w:rsidP="00C708C8">
      <w:pPr>
        <w:pStyle w:val="ListParagraph"/>
        <w:numPr>
          <w:ilvl w:val="0"/>
          <w:numId w:val="1"/>
        </w:numPr>
        <w:spacing w:line="360" w:lineRule="auto"/>
        <w:jc w:val="both"/>
      </w:pPr>
      <w:r>
        <w:t>The arbitrator erred by ruling that the appellant did not comply with the order to reinstate the respondent.</w:t>
      </w:r>
      <w:r w:rsidR="00303022">
        <w:t xml:space="preserve"> </w:t>
      </w:r>
    </w:p>
    <w:p w:rsidR="00807890" w:rsidRDefault="00CD1C92" w:rsidP="00807890">
      <w:pPr>
        <w:pStyle w:val="ListParagraph"/>
        <w:numPr>
          <w:ilvl w:val="0"/>
          <w:numId w:val="1"/>
        </w:numPr>
        <w:spacing w:line="360" w:lineRule="auto"/>
        <w:jc w:val="both"/>
      </w:pPr>
      <w:r>
        <w:t>The arbitrator awarded damages based on figures not supported by evidence.</w:t>
      </w:r>
    </w:p>
    <w:p w:rsidR="00FF1969" w:rsidRPr="00807890" w:rsidRDefault="00FF1969" w:rsidP="00FF1969">
      <w:pPr>
        <w:pStyle w:val="ListParagraph"/>
        <w:ind w:left="1080"/>
        <w:jc w:val="both"/>
      </w:pPr>
    </w:p>
    <w:p w:rsidR="00FF1969" w:rsidRDefault="00FF1969" w:rsidP="00807890">
      <w:pPr>
        <w:spacing w:line="360" w:lineRule="auto"/>
        <w:jc w:val="both"/>
      </w:pPr>
      <w:r>
        <w:t>It is difficult</w:t>
      </w:r>
      <w:r w:rsidR="00064CDF">
        <w:t xml:space="preserve"> to appreciate w</w:t>
      </w:r>
      <w:r w:rsidR="00807890">
        <w:t>hat the first ground of appeal seeks t</w:t>
      </w:r>
      <w:r>
        <w:t>o achieve.  Is the appellant say</w:t>
      </w:r>
      <w:r w:rsidR="00807890">
        <w:t xml:space="preserve">ing the arbitral award should be nullified, on the basis of failure to rule on the said point </w:t>
      </w:r>
      <w:r w:rsidR="00807890" w:rsidRPr="00807890">
        <w:rPr>
          <w:i/>
        </w:rPr>
        <w:t xml:space="preserve">in </w:t>
      </w:r>
      <w:proofErr w:type="spellStart"/>
      <w:r w:rsidR="00807890" w:rsidRPr="00807890">
        <w:rPr>
          <w:i/>
        </w:rPr>
        <w:t>limine</w:t>
      </w:r>
      <w:proofErr w:type="spellEnd"/>
      <w:r w:rsidR="004151AA">
        <w:t>?  Is appellant say</w:t>
      </w:r>
      <w:r w:rsidR="00807890">
        <w:t>ing its appeal should be allowed, on the basis of this ground alone</w:t>
      </w:r>
      <w:proofErr w:type="gramStart"/>
      <w:r w:rsidR="00807890">
        <w:t>?</w:t>
      </w:r>
      <w:r w:rsidR="004151AA">
        <w:t>.</w:t>
      </w:r>
      <w:proofErr w:type="gramEnd"/>
      <w:r w:rsidR="00705058">
        <w:t xml:space="preserve"> It is not clear</w:t>
      </w:r>
      <w:r w:rsidR="004151AA">
        <w:t>,</w:t>
      </w:r>
      <w:r w:rsidR="00705058">
        <w:t xml:space="preserve"> </w:t>
      </w:r>
      <w:r w:rsidR="00705058" w:rsidRPr="00FF1969">
        <w:rPr>
          <w:u w:val="single"/>
        </w:rPr>
        <w:t xml:space="preserve">ex </w:t>
      </w:r>
      <w:r w:rsidRPr="00FF1969">
        <w:rPr>
          <w:u w:val="single"/>
        </w:rPr>
        <w:t>f</w:t>
      </w:r>
      <w:r w:rsidR="004151AA" w:rsidRPr="00FF1969">
        <w:rPr>
          <w:u w:val="single"/>
        </w:rPr>
        <w:t>acie</w:t>
      </w:r>
      <w:r w:rsidR="004151AA">
        <w:t xml:space="preserve"> the ground of appeal, what its intended effect is</w:t>
      </w:r>
      <w:r w:rsidR="00705058">
        <w:t xml:space="preserve">.  It does not even state what it is all about.  It requires the court to go </w:t>
      </w:r>
      <w:r w:rsidR="004151AA">
        <w:t>back</w:t>
      </w:r>
      <w:r w:rsidR="00764BED">
        <w:t xml:space="preserve"> to the submissions made before the arbitrator, to </w:t>
      </w:r>
      <w:r w:rsidR="000B4886">
        <w:t>understand</w:t>
      </w:r>
      <w:r w:rsidR="00764BED">
        <w:t xml:space="preserve"> </w:t>
      </w:r>
      <w:r w:rsidR="000B4886">
        <w:t>what</w:t>
      </w:r>
      <w:r w:rsidR="00764BED">
        <w:t xml:space="preserve"> the issue was </w:t>
      </w:r>
      <w:r w:rsidR="004151AA">
        <w:t>all</w:t>
      </w:r>
      <w:r w:rsidR="00764BED">
        <w:t xml:space="preserve"> about. </w:t>
      </w:r>
    </w:p>
    <w:p w:rsidR="00945DBF" w:rsidRDefault="00764BED" w:rsidP="00FF1969">
      <w:pPr>
        <w:jc w:val="both"/>
      </w:pPr>
      <w:r>
        <w:t xml:space="preserve"> </w:t>
      </w:r>
    </w:p>
    <w:p w:rsidR="00807890" w:rsidRDefault="000B4886" w:rsidP="00945DBF">
      <w:pPr>
        <w:spacing w:line="360" w:lineRule="auto"/>
        <w:ind w:firstLine="720"/>
        <w:jc w:val="both"/>
      </w:pPr>
      <w:r>
        <w:t xml:space="preserve">Submissions made before the arbitrator, on quantification proceedings show that the appellant raised two points </w:t>
      </w:r>
      <w:r w:rsidRPr="004E3F3E">
        <w:rPr>
          <w:i/>
        </w:rPr>
        <w:t xml:space="preserve">in </w:t>
      </w:r>
      <w:proofErr w:type="spellStart"/>
      <w:r w:rsidRPr="004E3F3E">
        <w:rPr>
          <w:i/>
        </w:rPr>
        <w:t>limine</w:t>
      </w:r>
      <w:proofErr w:type="spellEnd"/>
      <w:r>
        <w:t xml:space="preserve">.  It is the first point </w:t>
      </w:r>
      <w:r w:rsidRPr="000B4886">
        <w:rPr>
          <w:i/>
        </w:rPr>
        <w:t xml:space="preserve">in </w:t>
      </w:r>
      <w:proofErr w:type="spellStart"/>
      <w:r w:rsidRPr="000B4886">
        <w:rPr>
          <w:i/>
        </w:rPr>
        <w:t>limine</w:t>
      </w:r>
      <w:proofErr w:type="spellEnd"/>
      <w:r>
        <w:t xml:space="preserve"> </w:t>
      </w:r>
      <w:r w:rsidR="004151AA">
        <w:t>that</w:t>
      </w:r>
      <w:r>
        <w:t xml:space="preserve"> is the subject of the first ground</w:t>
      </w:r>
      <w:r w:rsidR="00705058">
        <w:t xml:space="preserve"> </w:t>
      </w:r>
      <w:r w:rsidR="004E3F3E">
        <w:t>of appeal.</w:t>
      </w:r>
    </w:p>
    <w:p w:rsidR="00E80530" w:rsidRDefault="00E80530" w:rsidP="00E80530">
      <w:pPr>
        <w:ind w:firstLine="720"/>
        <w:jc w:val="both"/>
      </w:pPr>
    </w:p>
    <w:p w:rsidR="00801FE6" w:rsidRDefault="004E3F3E" w:rsidP="00807890">
      <w:pPr>
        <w:spacing w:line="360" w:lineRule="auto"/>
        <w:jc w:val="both"/>
      </w:pPr>
      <w:r>
        <w:tab/>
        <w:t xml:space="preserve">In the point </w:t>
      </w:r>
      <w:r w:rsidRPr="004E3F3E">
        <w:rPr>
          <w:i/>
        </w:rPr>
        <w:t xml:space="preserve">in </w:t>
      </w:r>
      <w:proofErr w:type="spellStart"/>
      <w:r w:rsidRPr="004E3F3E">
        <w:rPr>
          <w:i/>
        </w:rPr>
        <w:t>limine</w:t>
      </w:r>
      <w:proofErr w:type="spellEnd"/>
      <w:r>
        <w:t>, appellant refers to a letter addressed to the arbitrator, dated 6 March 2014</w:t>
      </w:r>
      <w:r w:rsidR="004151AA">
        <w:t>,</w:t>
      </w:r>
      <w:r>
        <w:t xml:space="preserve"> wherein it </w:t>
      </w:r>
      <w:r w:rsidR="004151AA">
        <w:t>sought</w:t>
      </w:r>
      <w:r>
        <w:t xml:space="preserve"> recusal of the arbitrator from the quantification proceedings.  The basis for this recusal is a letter dated 19 December 2013, again </w:t>
      </w:r>
      <w:r w:rsidR="00E80530">
        <w:t>addressed</w:t>
      </w:r>
      <w:r>
        <w:t xml:space="preserve"> to the arbitrator, wherein </w:t>
      </w:r>
      <w:r w:rsidR="00E80530">
        <w:t>appellant refers to</w:t>
      </w:r>
      <w:r w:rsidR="001F2B77">
        <w:t xml:space="preserve"> some</w:t>
      </w:r>
      <w:r>
        <w:t xml:space="preserve"> </w:t>
      </w:r>
      <w:r w:rsidR="00E80530">
        <w:t>“</w:t>
      </w:r>
      <w:proofErr w:type="gramStart"/>
      <w:r>
        <w:t xml:space="preserve">glaring </w:t>
      </w:r>
      <w:r w:rsidR="00801FE6">
        <w:t xml:space="preserve"> legal</w:t>
      </w:r>
      <w:proofErr w:type="gramEnd"/>
      <w:r w:rsidR="00801FE6">
        <w:t xml:space="preserve"> issues arising out of the Arbitral Award handed down by yourself.”</w:t>
      </w:r>
    </w:p>
    <w:p w:rsidR="00E80530" w:rsidRDefault="00E80530" w:rsidP="00E80530">
      <w:pPr>
        <w:jc w:val="both"/>
      </w:pPr>
    </w:p>
    <w:p w:rsidR="00710A29" w:rsidRDefault="00801FE6" w:rsidP="00807890">
      <w:pPr>
        <w:spacing w:line="360" w:lineRule="auto"/>
        <w:jc w:val="both"/>
      </w:pPr>
      <w:r>
        <w:tab/>
        <w:t xml:space="preserve">In his response to the appeal, the respondent indicated that the arbitrator dismissed the point </w:t>
      </w:r>
      <w:r w:rsidRPr="00801FE6">
        <w:rPr>
          <w:i/>
        </w:rPr>
        <w:t xml:space="preserve">in </w:t>
      </w:r>
      <w:proofErr w:type="spellStart"/>
      <w:r w:rsidRPr="00801FE6">
        <w:rPr>
          <w:i/>
        </w:rPr>
        <w:t>limine</w:t>
      </w:r>
      <w:proofErr w:type="spellEnd"/>
      <w:r w:rsidR="001F2B77">
        <w:t xml:space="preserve"> i</w:t>
      </w:r>
      <w:r>
        <w:t>n</w:t>
      </w:r>
      <w:r w:rsidR="001F2B77">
        <w:t xml:space="preserve"> an</w:t>
      </w:r>
      <w:r>
        <w:t xml:space="preserve"> </w:t>
      </w:r>
      <w:r w:rsidRPr="00801FE6">
        <w:rPr>
          <w:u w:val="single"/>
        </w:rPr>
        <w:t>ex tempore</w:t>
      </w:r>
      <w:r>
        <w:t xml:space="preserve"> ruling and proceeded to </w:t>
      </w:r>
      <w:r w:rsidR="00524A4D">
        <w:t>deal with</w:t>
      </w:r>
      <w:r w:rsidR="00DF0847">
        <w:t xml:space="preserve"> the merits of the quantification.  </w:t>
      </w:r>
    </w:p>
    <w:p w:rsidR="004376A8" w:rsidRDefault="004376A8" w:rsidP="00807890">
      <w:pPr>
        <w:spacing w:line="360" w:lineRule="auto"/>
        <w:jc w:val="both"/>
      </w:pPr>
    </w:p>
    <w:p w:rsidR="004E3F3E" w:rsidRDefault="00DF0847" w:rsidP="00710A29">
      <w:pPr>
        <w:spacing w:line="360" w:lineRule="auto"/>
        <w:ind w:firstLine="720"/>
        <w:jc w:val="both"/>
      </w:pPr>
      <w:r>
        <w:lastRenderedPageBreak/>
        <w:t xml:space="preserve">The </w:t>
      </w:r>
      <w:r w:rsidR="00710A29">
        <w:t>failure</w:t>
      </w:r>
      <w:r>
        <w:t xml:space="preserve"> by the arbitrator to reduce</w:t>
      </w:r>
      <w:r w:rsidR="001847E9">
        <w:t xml:space="preserve"> to writing</w:t>
      </w:r>
      <w:r w:rsidR="004376A8">
        <w:t xml:space="preserve"> </w:t>
      </w:r>
      <w:r>
        <w:t xml:space="preserve">his </w:t>
      </w:r>
      <w:r w:rsidRPr="001847E9">
        <w:rPr>
          <w:u w:val="single"/>
        </w:rPr>
        <w:t>ex tempore</w:t>
      </w:r>
      <w:r>
        <w:t xml:space="preserve"> dismissal of the preliminary point should not be the basis for nullifying the quantification proceedings.</w:t>
      </w:r>
    </w:p>
    <w:p w:rsidR="005C727C" w:rsidRDefault="005C727C" w:rsidP="005C727C">
      <w:pPr>
        <w:ind w:firstLine="720"/>
        <w:jc w:val="both"/>
      </w:pPr>
    </w:p>
    <w:p w:rsidR="00E40E42" w:rsidRDefault="00E40E42" w:rsidP="00807890">
      <w:pPr>
        <w:spacing w:line="360" w:lineRule="auto"/>
        <w:jc w:val="both"/>
      </w:pPr>
      <w:r>
        <w:tab/>
        <w:t>What I find mindboggling in this matter is that the preliminary point was persistent with after the initial arbitral award was upheld by this Court in its judgment of 6 June 2014.</w:t>
      </w:r>
    </w:p>
    <w:p w:rsidR="005C727C" w:rsidRDefault="005C727C" w:rsidP="005C727C">
      <w:pPr>
        <w:jc w:val="both"/>
      </w:pPr>
    </w:p>
    <w:p w:rsidR="000450B8" w:rsidRDefault="000450B8" w:rsidP="00807890">
      <w:pPr>
        <w:spacing w:line="360" w:lineRule="auto"/>
        <w:jc w:val="both"/>
      </w:pPr>
      <w:r>
        <w:tab/>
        <w:t xml:space="preserve">The preliminary point </w:t>
      </w:r>
      <w:r w:rsidR="00B82E90">
        <w:t>related</w:t>
      </w:r>
      <w:r>
        <w:t xml:space="preserve"> to issues emanating from that judgment.  It seems to me this is a</w:t>
      </w:r>
      <w:r w:rsidR="00B82E90">
        <w:t xml:space="preserve"> matter that has been overtaken</w:t>
      </w:r>
      <w:r>
        <w:t xml:space="preserve"> by events.  This ground of appeal is not serving any meaningful purpose and cannot be upheld.</w:t>
      </w:r>
    </w:p>
    <w:p w:rsidR="005C727C" w:rsidRDefault="005C727C" w:rsidP="005C727C">
      <w:pPr>
        <w:jc w:val="both"/>
      </w:pPr>
    </w:p>
    <w:p w:rsidR="00F54BCC" w:rsidRDefault="000450B8" w:rsidP="00807890">
      <w:pPr>
        <w:spacing w:line="360" w:lineRule="auto"/>
        <w:jc w:val="both"/>
      </w:pPr>
      <w:r>
        <w:tab/>
        <w:t>In the second ground o</w:t>
      </w:r>
      <w:r w:rsidR="00A86F76">
        <w:t xml:space="preserve">f </w:t>
      </w:r>
      <w:r w:rsidR="005C727C">
        <w:t>appeal, the appellant contends</w:t>
      </w:r>
      <w:r>
        <w:t xml:space="preserve"> that the respondent is not entitled to damages for </w:t>
      </w:r>
      <w:r w:rsidR="005C727C">
        <w:t>loss of employment.  Its reason</w:t>
      </w:r>
      <w:r>
        <w:t xml:space="preserve"> for so </w:t>
      </w:r>
      <w:r w:rsidR="005C727C">
        <w:t xml:space="preserve">contending </w:t>
      </w:r>
      <w:proofErr w:type="gramStart"/>
      <w:r w:rsidR="005C727C">
        <w:t xml:space="preserve">is </w:t>
      </w:r>
      <w:r>
        <w:t xml:space="preserve"> that</w:t>
      </w:r>
      <w:proofErr w:type="gramEnd"/>
      <w:r>
        <w:t xml:space="preserve"> it </w:t>
      </w:r>
      <w:r w:rsidR="006E3127">
        <w:t>did not decline to reinstate the respondent.  The respondent did not present himself for work.  He cannot, in the circumstances, opt for damages.  The appellant articulated its position in paragraphs 11 (iii) – (</w:t>
      </w:r>
      <w:proofErr w:type="gramStart"/>
      <w:r w:rsidR="006E3127">
        <w:t>iv</w:t>
      </w:r>
      <w:proofErr w:type="gramEnd"/>
      <w:r w:rsidR="006E3127">
        <w:t>) of its heads of argument, as</w:t>
      </w:r>
      <w:r w:rsidR="00F54BCC">
        <w:t xml:space="preserve"> follows:</w:t>
      </w:r>
    </w:p>
    <w:p w:rsidR="005C727C" w:rsidRDefault="005C727C" w:rsidP="005C727C">
      <w:pPr>
        <w:jc w:val="both"/>
      </w:pPr>
    </w:p>
    <w:p w:rsidR="00F54BCC" w:rsidRPr="00F54BCC" w:rsidRDefault="00F54BCC" w:rsidP="00F54BCC">
      <w:pPr>
        <w:spacing w:line="276" w:lineRule="auto"/>
        <w:ind w:left="1440" w:hanging="720"/>
        <w:jc w:val="both"/>
        <w:rPr>
          <w:sz w:val="22"/>
          <w:szCs w:val="22"/>
        </w:rPr>
      </w:pPr>
      <w:r w:rsidRPr="00F54BCC">
        <w:rPr>
          <w:sz w:val="22"/>
          <w:szCs w:val="22"/>
        </w:rPr>
        <w:t>“iii.</w:t>
      </w:r>
      <w:r w:rsidRPr="00F54BCC">
        <w:rPr>
          <w:sz w:val="22"/>
          <w:szCs w:val="22"/>
        </w:rPr>
        <w:tab/>
        <w:t>It is trite that in order for reinstatement to occur the formally dismissed employee has to present himself.  Surely the Respondent sat at home and did not come to work and now says he was no</w:t>
      </w:r>
      <w:r w:rsidR="009307A6">
        <w:rPr>
          <w:sz w:val="22"/>
          <w:szCs w:val="22"/>
        </w:rPr>
        <w:t>t</w:t>
      </w:r>
      <w:r w:rsidRPr="00F54BCC">
        <w:rPr>
          <w:sz w:val="22"/>
          <w:szCs w:val="22"/>
        </w:rPr>
        <w:t xml:space="preserve"> reinstated.</w:t>
      </w:r>
    </w:p>
    <w:p w:rsidR="00F54BCC" w:rsidRPr="00F54BCC" w:rsidRDefault="00F54BCC" w:rsidP="00F54BCC">
      <w:pPr>
        <w:spacing w:line="276" w:lineRule="auto"/>
        <w:ind w:left="1440" w:hanging="720"/>
        <w:jc w:val="both"/>
        <w:rPr>
          <w:sz w:val="22"/>
          <w:szCs w:val="22"/>
        </w:rPr>
      </w:pPr>
      <w:r w:rsidRPr="00F54BCC">
        <w:rPr>
          <w:sz w:val="22"/>
          <w:szCs w:val="22"/>
        </w:rPr>
        <w:t xml:space="preserve"> iv.</w:t>
      </w:r>
      <w:r w:rsidRPr="00F54BCC">
        <w:rPr>
          <w:sz w:val="22"/>
          <w:szCs w:val="22"/>
        </w:rPr>
        <w:tab/>
        <w:t>The prerogative to refuse reinstatement rests on the Appellant and the Appellant did not decline reinstatement.</w:t>
      </w:r>
    </w:p>
    <w:p w:rsidR="00F54BCC" w:rsidRPr="00F54BCC" w:rsidRDefault="00F54BCC" w:rsidP="00F54BCC">
      <w:pPr>
        <w:spacing w:line="276" w:lineRule="auto"/>
        <w:ind w:left="1440" w:hanging="720"/>
        <w:jc w:val="both"/>
        <w:rPr>
          <w:sz w:val="22"/>
          <w:szCs w:val="22"/>
        </w:rPr>
      </w:pPr>
      <w:r w:rsidRPr="00F54BCC">
        <w:rPr>
          <w:sz w:val="22"/>
          <w:szCs w:val="22"/>
        </w:rPr>
        <w:tab/>
      </w:r>
      <w:r w:rsidRPr="00F54BCC">
        <w:rPr>
          <w:b/>
          <w:sz w:val="22"/>
          <w:szCs w:val="22"/>
          <w:u w:val="single"/>
        </w:rPr>
        <w:t>See</w:t>
      </w:r>
      <w:r w:rsidRPr="00F54BCC">
        <w:rPr>
          <w:sz w:val="22"/>
          <w:szCs w:val="22"/>
        </w:rPr>
        <w:t>: see the Arbitral Award dated 4 December 2013</w:t>
      </w:r>
    </w:p>
    <w:p w:rsidR="000450B8" w:rsidRDefault="00F54BCC" w:rsidP="00F54BCC">
      <w:pPr>
        <w:spacing w:line="276" w:lineRule="auto"/>
        <w:ind w:left="1440" w:hanging="720"/>
        <w:jc w:val="both"/>
        <w:rPr>
          <w:sz w:val="22"/>
          <w:szCs w:val="22"/>
        </w:rPr>
      </w:pPr>
      <w:r w:rsidRPr="00F54BCC">
        <w:rPr>
          <w:sz w:val="22"/>
          <w:szCs w:val="22"/>
        </w:rPr>
        <w:tab/>
      </w:r>
      <w:r w:rsidRPr="00F54BCC">
        <w:rPr>
          <w:b/>
          <w:sz w:val="22"/>
          <w:szCs w:val="22"/>
          <w:u w:val="single"/>
        </w:rPr>
        <w:t>See also</w:t>
      </w:r>
      <w:r w:rsidRPr="00F54BCC">
        <w:rPr>
          <w:sz w:val="22"/>
          <w:szCs w:val="22"/>
        </w:rPr>
        <w:t>: section 12 (4) of the Labour Act (supra) which is ample proof of what the Respondent ought to have done should he not desire to be in the employ of the Applicant.</w:t>
      </w:r>
      <w:r w:rsidR="006E3127" w:rsidRPr="00F54BCC">
        <w:rPr>
          <w:sz w:val="22"/>
          <w:szCs w:val="22"/>
        </w:rPr>
        <w:t xml:space="preserve"> </w:t>
      </w:r>
      <w:r w:rsidRPr="00F54BCC">
        <w:rPr>
          <w:sz w:val="22"/>
          <w:szCs w:val="22"/>
        </w:rPr>
        <w:t>“</w:t>
      </w:r>
    </w:p>
    <w:p w:rsidR="009307A6" w:rsidRPr="00F54BCC" w:rsidRDefault="009307A6" w:rsidP="009307A6">
      <w:pPr>
        <w:ind w:left="1440" w:hanging="720"/>
        <w:jc w:val="both"/>
        <w:rPr>
          <w:sz w:val="22"/>
          <w:szCs w:val="22"/>
        </w:rPr>
      </w:pPr>
    </w:p>
    <w:p w:rsidR="00F54BCC" w:rsidRDefault="00F54BCC" w:rsidP="0057011E">
      <w:pPr>
        <w:spacing w:line="360" w:lineRule="auto"/>
        <w:ind w:firstLine="720"/>
        <w:jc w:val="both"/>
      </w:pPr>
      <w:r>
        <w:t xml:space="preserve">On the other hand, the respondent averred that there was no communication from the appellant, on what election it had made, following the arbitral award of 4 December 2013.  The award stipulated a 7 day time line within which it was to be implemented.  There was </w:t>
      </w:r>
      <w:r w:rsidR="009307A6">
        <w:t>no communication on what steps/</w:t>
      </w:r>
      <w:r>
        <w:t xml:space="preserve">measures appellant had </w:t>
      </w:r>
      <w:r w:rsidR="00086731">
        <w:t>taken</w:t>
      </w:r>
      <w:r>
        <w:t xml:space="preserve"> to implement the award. </w:t>
      </w:r>
    </w:p>
    <w:p w:rsidR="005C727C" w:rsidRDefault="005C727C" w:rsidP="0057011E">
      <w:pPr>
        <w:spacing w:line="360" w:lineRule="auto"/>
        <w:ind w:firstLine="720"/>
        <w:jc w:val="both"/>
      </w:pPr>
    </w:p>
    <w:p w:rsidR="0057011E" w:rsidRDefault="0057011E" w:rsidP="0057011E">
      <w:pPr>
        <w:spacing w:line="360" w:lineRule="auto"/>
        <w:ind w:firstLine="720"/>
        <w:jc w:val="both"/>
      </w:pPr>
      <w:r>
        <w:lastRenderedPageBreak/>
        <w:t>The letter calling upon the respondent to resume work was written on 10 June 2014.  The letter</w:t>
      </w:r>
      <w:r w:rsidR="006352D3">
        <w:t>,</w:t>
      </w:r>
      <w:r>
        <w:t xml:space="preserve"> </w:t>
      </w:r>
      <w:r w:rsidRPr="006352D3">
        <w:rPr>
          <w:i/>
        </w:rPr>
        <w:t>inter alia</w:t>
      </w:r>
      <w:r w:rsidR="006352D3">
        <w:t xml:space="preserve">, </w:t>
      </w:r>
      <w:r>
        <w:t>reads as follows;</w:t>
      </w:r>
    </w:p>
    <w:p w:rsidR="007B1E11" w:rsidRDefault="007B1E11" w:rsidP="007B1E11">
      <w:pPr>
        <w:ind w:firstLine="720"/>
        <w:jc w:val="both"/>
      </w:pPr>
    </w:p>
    <w:p w:rsidR="006352D3" w:rsidRPr="006352D3" w:rsidRDefault="006352D3" w:rsidP="00FF54B8">
      <w:pPr>
        <w:spacing w:line="276" w:lineRule="auto"/>
        <w:ind w:left="720"/>
        <w:jc w:val="both"/>
        <w:rPr>
          <w:sz w:val="22"/>
          <w:szCs w:val="22"/>
        </w:rPr>
      </w:pPr>
      <w:r w:rsidRPr="006352D3">
        <w:rPr>
          <w:sz w:val="22"/>
          <w:szCs w:val="22"/>
        </w:rPr>
        <w:t>“Please be advised that we have instructions that your client must present himself for work with immediate effect.</w:t>
      </w:r>
    </w:p>
    <w:p w:rsidR="006352D3" w:rsidRPr="006352D3" w:rsidRDefault="006352D3" w:rsidP="00FF54B8">
      <w:pPr>
        <w:spacing w:line="276" w:lineRule="auto"/>
        <w:ind w:left="720"/>
        <w:jc w:val="both"/>
        <w:rPr>
          <w:sz w:val="22"/>
          <w:szCs w:val="22"/>
        </w:rPr>
      </w:pPr>
      <w:r w:rsidRPr="006352D3">
        <w:rPr>
          <w:sz w:val="22"/>
          <w:szCs w:val="22"/>
        </w:rPr>
        <w:t xml:space="preserve">In that regard may he kindly attend at our client’s Head Office (Human Resources Department) at No. 1 Wynne Street, Harare, wherein he will be assigned his duties at one of our client’s branches within the </w:t>
      </w:r>
      <w:proofErr w:type="gramStart"/>
      <w:r w:rsidRPr="006352D3">
        <w:rPr>
          <w:sz w:val="22"/>
          <w:szCs w:val="22"/>
        </w:rPr>
        <w:t>country.</w:t>
      </w:r>
      <w:proofErr w:type="gramEnd"/>
    </w:p>
    <w:p w:rsidR="006352D3" w:rsidRDefault="006352D3" w:rsidP="00FF54B8">
      <w:pPr>
        <w:spacing w:line="276" w:lineRule="auto"/>
        <w:ind w:left="720"/>
        <w:jc w:val="both"/>
        <w:rPr>
          <w:sz w:val="22"/>
          <w:szCs w:val="22"/>
        </w:rPr>
      </w:pPr>
      <w:r w:rsidRPr="006352D3">
        <w:rPr>
          <w:sz w:val="22"/>
          <w:szCs w:val="22"/>
        </w:rPr>
        <w:t>Be advised that his contractual and statutory benefits will be calculated accordingly and paid out.  In addition a written warning will be handed down by the employer.”</w:t>
      </w:r>
    </w:p>
    <w:p w:rsidR="00FF54B8" w:rsidRPr="006352D3" w:rsidRDefault="00FF54B8" w:rsidP="00FF54B8">
      <w:pPr>
        <w:spacing w:line="276" w:lineRule="auto"/>
        <w:ind w:left="720"/>
        <w:jc w:val="both"/>
        <w:rPr>
          <w:sz w:val="22"/>
          <w:szCs w:val="22"/>
        </w:rPr>
      </w:pPr>
    </w:p>
    <w:p w:rsidR="0057011E" w:rsidRDefault="0057011E" w:rsidP="0057011E">
      <w:pPr>
        <w:spacing w:line="360" w:lineRule="auto"/>
        <w:ind w:firstLine="720"/>
        <w:jc w:val="both"/>
      </w:pPr>
      <w:r>
        <w:t xml:space="preserve">Given this sequence of events, the respondent formed the distinct impression </w:t>
      </w:r>
      <w:r w:rsidR="007B1E11">
        <w:t xml:space="preserve">that </w:t>
      </w:r>
      <w:r>
        <w:t>the appellant eventually elected to reinstate</w:t>
      </w:r>
      <w:r w:rsidR="007B1E11">
        <w:t xml:space="preserve"> him</w:t>
      </w:r>
      <w:r>
        <w:t xml:space="preserve"> because it was </w:t>
      </w:r>
      <w:r w:rsidR="00FF54B8">
        <w:t>cornered</w:t>
      </w:r>
      <w:r>
        <w:t>.  Reinstatement</w:t>
      </w:r>
      <w:r w:rsidR="00AE6DD6">
        <w:t>,</w:t>
      </w:r>
      <w:r>
        <w:t xml:space="preserve"> belatedly communicated, was not its preferred course of action.</w:t>
      </w:r>
    </w:p>
    <w:p w:rsidR="007B1E11" w:rsidRDefault="007B1E11" w:rsidP="007B1E11">
      <w:pPr>
        <w:ind w:firstLine="720"/>
        <w:jc w:val="both"/>
      </w:pPr>
    </w:p>
    <w:p w:rsidR="007B1E11" w:rsidRDefault="000B6D44" w:rsidP="007B1E11">
      <w:pPr>
        <w:spacing w:line="360" w:lineRule="auto"/>
        <w:ind w:firstLine="720"/>
        <w:jc w:val="both"/>
      </w:pPr>
      <w:r>
        <w:t>The respondent explained that he went for quantification in March 2014, upon realizing that the 7</w:t>
      </w:r>
      <w:r w:rsidR="00AE6DD6">
        <w:t xml:space="preserve"> day</w:t>
      </w:r>
      <w:r>
        <w:t xml:space="preserve"> deadline for </w:t>
      </w:r>
      <w:r w:rsidR="00AE6DD6">
        <w:t>implementation</w:t>
      </w:r>
      <w:r w:rsidR="0017535B">
        <w:t xml:space="preserve"> of the order to reinstate </w:t>
      </w:r>
      <w:r w:rsidR="00AE6DD6">
        <w:t>had</w:t>
      </w:r>
      <w:r>
        <w:t xml:space="preserve"> since passed.  It had passed with no indication from the appellant that it wanted to reinstate him</w:t>
      </w:r>
      <w:r w:rsidR="00873A69">
        <w:t xml:space="preserve">.  In the circumstances, the respondent felt that the decision to reinstate was not </w:t>
      </w:r>
      <w:r w:rsidR="00873A69" w:rsidRPr="00873A69">
        <w:rPr>
          <w:i/>
        </w:rPr>
        <w:t>bona fide</w:t>
      </w:r>
      <w:r w:rsidR="00873A69">
        <w:t>. In this regard, he averred, in paragraph 16 of his heads of argument;</w:t>
      </w:r>
      <w:r>
        <w:t xml:space="preserve"> </w:t>
      </w:r>
    </w:p>
    <w:p w:rsidR="007B1E11" w:rsidRDefault="007B1E11" w:rsidP="007B1E11">
      <w:pPr>
        <w:ind w:firstLine="720"/>
        <w:jc w:val="both"/>
      </w:pPr>
    </w:p>
    <w:p w:rsidR="007909C4" w:rsidRDefault="009D7418" w:rsidP="007909C4">
      <w:pPr>
        <w:spacing w:line="276" w:lineRule="auto"/>
        <w:ind w:left="1440" w:hanging="720"/>
        <w:jc w:val="both"/>
        <w:rPr>
          <w:sz w:val="22"/>
          <w:szCs w:val="22"/>
        </w:rPr>
      </w:pPr>
      <w:r w:rsidRPr="00176A59">
        <w:rPr>
          <w:sz w:val="22"/>
          <w:szCs w:val="22"/>
        </w:rPr>
        <w:t>“16.</w:t>
      </w:r>
      <w:r w:rsidRPr="00176A59">
        <w:rPr>
          <w:sz w:val="22"/>
          <w:szCs w:val="22"/>
        </w:rPr>
        <w:tab/>
        <w:t>In any event, while it is a general rule that the employer makes an election to reinstate or not, there are situations when the employee can at law choose damages instead of reinstatement especially where it is clear to him that the decision to reinstate is not made bona fide and there are no prospects of the continuation of an employer employee relationship.”</w:t>
      </w:r>
    </w:p>
    <w:p w:rsidR="007909C4" w:rsidRDefault="007909C4" w:rsidP="007909C4">
      <w:pPr>
        <w:ind w:left="1440" w:hanging="720"/>
        <w:jc w:val="both"/>
        <w:rPr>
          <w:sz w:val="22"/>
          <w:szCs w:val="22"/>
        </w:rPr>
      </w:pPr>
    </w:p>
    <w:p w:rsidR="007909C4" w:rsidRDefault="007909C4" w:rsidP="007909C4">
      <w:pPr>
        <w:spacing w:line="276" w:lineRule="auto"/>
        <w:ind w:firstLine="720"/>
        <w:jc w:val="both"/>
      </w:pPr>
      <w:r w:rsidRPr="007909C4">
        <w:t xml:space="preserve">In </w:t>
      </w:r>
      <w:r>
        <w:t xml:space="preserve">this regard, reference was made to the case of </w:t>
      </w:r>
      <w:r w:rsidRPr="007909C4">
        <w:rPr>
          <w:i/>
        </w:rPr>
        <w:t>BHP Minerals Zimbabwe</w:t>
      </w:r>
      <w:r>
        <w:t xml:space="preserve"> </w:t>
      </w:r>
      <w:r w:rsidRPr="007909C4">
        <w:rPr>
          <w:i/>
        </w:rPr>
        <w:t>(</w:t>
      </w:r>
      <w:proofErr w:type="spellStart"/>
      <w:r w:rsidRPr="007909C4">
        <w:rPr>
          <w:i/>
        </w:rPr>
        <w:t>Pvt</w:t>
      </w:r>
      <w:proofErr w:type="spellEnd"/>
      <w:r w:rsidRPr="007909C4">
        <w:rPr>
          <w:i/>
        </w:rPr>
        <w:t xml:space="preserve">) Ltd </w:t>
      </w:r>
      <w:r>
        <w:t xml:space="preserve">v </w:t>
      </w:r>
      <w:proofErr w:type="spellStart"/>
      <w:r w:rsidRPr="007909C4">
        <w:rPr>
          <w:i/>
        </w:rPr>
        <w:t>Takawira</w:t>
      </w:r>
      <w:proofErr w:type="spellEnd"/>
      <w:r>
        <w:t xml:space="preserve"> 1999 (2) ZLR 77 (S), where it was held that if the employee can show that the offer to reinstate him is not </w:t>
      </w:r>
      <w:r w:rsidRPr="00137855">
        <w:rPr>
          <w:i/>
        </w:rPr>
        <w:t>bona fide</w:t>
      </w:r>
      <w:r>
        <w:t>,</w:t>
      </w:r>
      <w:r w:rsidR="00137855">
        <w:t xml:space="preserve"> </w:t>
      </w:r>
      <w:r>
        <w:t>he may be entitled to damages in lieu of reinstatement.</w:t>
      </w:r>
    </w:p>
    <w:p w:rsidR="007B1E11" w:rsidRPr="007909C4" w:rsidRDefault="007B1E11" w:rsidP="007B1E11">
      <w:pPr>
        <w:ind w:firstLine="720"/>
        <w:jc w:val="both"/>
      </w:pPr>
    </w:p>
    <w:p w:rsidR="005E4E97" w:rsidRDefault="005E4E97" w:rsidP="00B468C1">
      <w:pPr>
        <w:spacing w:line="360" w:lineRule="auto"/>
        <w:ind w:firstLine="720"/>
        <w:jc w:val="both"/>
      </w:pPr>
      <w:r>
        <w:t>In the circumstances, it seems to me the respondent was</w:t>
      </w:r>
      <w:r w:rsidR="00214728">
        <w:t xml:space="preserve"> justified</w:t>
      </w:r>
      <w:r w:rsidR="00137855">
        <w:t xml:space="preserve"> in</w:t>
      </w:r>
      <w:r w:rsidR="00214728">
        <w:t xml:space="preserve"> instituting proceedings for quantification of damages.  The </w:t>
      </w:r>
      <w:r w:rsidR="000570FF">
        <w:t xml:space="preserve">second </w:t>
      </w:r>
      <w:r w:rsidR="00214728">
        <w:t>ground of appeal, wherein it is averred that</w:t>
      </w:r>
      <w:r w:rsidR="00B468C1">
        <w:t xml:space="preserve"> the respondent is</w:t>
      </w:r>
      <w:r w:rsidR="00BB4C14">
        <w:t xml:space="preserve"> not entitled to damages, cannot be upheld.</w:t>
      </w:r>
    </w:p>
    <w:p w:rsidR="00CC532C" w:rsidRDefault="00CC532C" w:rsidP="00B468C1">
      <w:pPr>
        <w:spacing w:line="360" w:lineRule="auto"/>
        <w:ind w:firstLine="720"/>
        <w:jc w:val="both"/>
      </w:pPr>
      <w:r>
        <w:lastRenderedPageBreak/>
        <w:t xml:space="preserve">In the third ground of appeal, the appellant contends that the </w:t>
      </w:r>
      <w:r w:rsidR="000570FF">
        <w:t>quantum</w:t>
      </w:r>
      <w:r>
        <w:t xml:space="preserve"> of damages awarded was </w:t>
      </w:r>
      <w:r w:rsidR="000570FF">
        <w:t>not supported by evidence.  This</w:t>
      </w:r>
      <w:r>
        <w:t xml:space="preserve">, it seems to me, is the </w:t>
      </w:r>
      <w:r w:rsidR="000570FF">
        <w:t>gravamen</w:t>
      </w:r>
      <w:r>
        <w:t xml:space="preserve"> of this appeal.  It is the averment that the arbitrator, </w:t>
      </w:r>
      <w:r w:rsidR="000570FF">
        <w:t>when</w:t>
      </w:r>
      <w:r>
        <w:t xml:space="preserve"> he arrived at the figure of US$39 200</w:t>
      </w:r>
      <w:proofErr w:type="gramStart"/>
      <w:r>
        <w:t>,00</w:t>
      </w:r>
      <w:proofErr w:type="gramEnd"/>
      <w:r>
        <w:t>, did not properly apply the principles relating to quantification of damages</w:t>
      </w:r>
      <w:r w:rsidR="000570FF">
        <w:t>.</w:t>
      </w:r>
      <w:r>
        <w:t xml:space="preserve"> </w:t>
      </w:r>
      <w:r w:rsidR="000570FF">
        <w:t>He</w:t>
      </w:r>
      <w:r>
        <w:t xml:space="preserve"> awarded amounts not supported by evidence.</w:t>
      </w:r>
    </w:p>
    <w:p w:rsidR="007B1E11" w:rsidRDefault="007B1E11" w:rsidP="007B1E11">
      <w:pPr>
        <w:ind w:firstLine="720"/>
        <w:jc w:val="both"/>
      </w:pPr>
    </w:p>
    <w:p w:rsidR="00BC372B" w:rsidRDefault="00CC532C" w:rsidP="00B468C1">
      <w:pPr>
        <w:spacing w:line="360" w:lineRule="auto"/>
        <w:ind w:firstLine="720"/>
        <w:jc w:val="both"/>
      </w:pPr>
      <w:r>
        <w:t>Each of the</w:t>
      </w:r>
      <w:r w:rsidR="00BC372B">
        <w:t xml:space="preserve"> amounts awarded by the arbitrator must be looked at, and it </w:t>
      </w:r>
      <w:proofErr w:type="gramStart"/>
      <w:r w:rsidR="00BC372B">
        <w:t>be</w:t>
      </w:r>
      <w:proofErr w:type="gramEnd"/>
      <w:r w:rsidR="00BC372B">
        <w:t xml:space="preserve"> determined whether it was supported by evidence.  The award has 3 items </w:t>
      </w:r>
      <w:proofErr w:type="spellStart"/>
      <w:r w:rsidR="00BC372B">
        <w:t>viz</w:t>
      </w:r>
      <w:proofErr w:type="spellEnd"/>
      <w:r w:rsidR="00BC372B">
        <w:t>;</w:t>
      </w:r>
    </w:p>
    <w:p w:rsidR="007B1E11" w:rsidRDefault="007B1E11" w:rsidP="007B1E11">
      <w:pPr>
        <w:ind w:firstLine="720"/>
        <w:jc w:val="both"/>
      </w:pPr>
    </w:p>
    <w:p w:rsidR="00BC372B" w:rsidRDefault="00BC372B" w:rsidP="00BC372B">
      <w:pPr>
        <w:pStyle w:val="ListParagraph"/>
        <w:numPr>
          <w:ilvl w:val="0"/>
          <w:numId w:val="2"/>
        </w:numPr>
        <w:spacing w:line="360" w:lineRule="auto"/>
        <w:jc w:val="both"/>
      </w:pPr>
      <w:r>
        <w:t>Cash-in-lieu of leave.</w:t>
      </w:r>
    </w:p>
    <w:p w:rsidR="00BC372B" w:rsidRDefault="00BC372B" w:rsidP="00BC372B">
      <w:pPr>
        <w:pStyle w:val="ListParagraph"/>
        <w:numPr>
          <w:ilvl w:val="0"/>
          <w:numId w:val="2"/>
        </w:numPr>
        <w:spacing w:line="360" w:lineRule="auto"/>
        <w:jc w:val="both"/>
      </w:pPr>
      <w:r>
        <w:t>Back pay.</w:t>
      </w:r>
    </w:p>
    <w:p w:rsidR="00BC372B" w:rsidRDefault="00BC372B" w:rsidP="00BC372B">
      <w:pPr>
        <w:pStyle w:val="ListParagraph"/>
        <w:numPr>
          <w:ilvl w:val="0"/>
          <w:numId w:val="2"/>
        </w:numPr>
        <w:spacing w:line="360" w:lineRule="auto"/>
        <w:jc w:val="both"/>
      </w:pPr>
      <w:r>
        <w:t>Damages for loss of employment.</w:t>
      </w:r>
    </w:p>
    <w:p w:rsidR="007B1E11" w:rsidRDefault="007B1E11" w:rsidP="007B1E11">
      <w:pPr>
        <w:pStyle w:val="ListParagraph"/>
        <w:ind w:left="1440"/>
        <w:jc w:val="both"/>
      </w:pPr>
    </w:p>
    <w:p w:rsidR="00CC532C" w:rsidRDefault="00BC372B" w:rsidP="00BC372B">
      <w:pPr>
        <w:spacing w:line="360" w:lineRule="auto"/>
        <w:jc w:val="both"/>
      </w:pPr>
      <w:r>
        <w:t xml:space="preserve">On cash-in-lieu of leave, the appellant averred that the </w:t>
      </w:r>
      <w:r w:rsidR="000570FF">
        <w:t>correct</w:t>
      </w:r>
      <w:r>
        <w:t xml:space="preserve"> amount i</w:t>
      </w:r>
      <w:r w:rsidR="000570FF">
        <w:t>s $1 175</w:t>
      </w:r>
      <w:proofErr w:type="gramStart"/>
      <w:r w:rsidR="000570FF">
        <w:t>,00</w:t>
      </w:r>
      <w:proofErr w:type="gramEnd"/>
      <w:r w:rsidR="000570FF">
        <w:t>, and not the $2 100</w:t>
      </w:r>
      <w:r>
        <w:t>,00</w:t>
      </w:r>
      <w:r w:rsidR="00CC532C">
        <w:t xml:space="preserve"> </w:t>
      </w:r>
      <w:r w:rsidR="00D95953">
        <w:t xml:space="preserve">that was awarded.  There is no averment to the </w:t>
      </w:r>
      <w:proofErr w:type="gramStart"/>
      <w:r w:rsidR="000570FF">
        <w:t>contrary</w:t>
      </w:r>
      <w:r w:rsidR="00D95953">
        <w:t xml:space="preserve">  </w:t>
      </w:r>
      <w:r w:rsidR="000570FF">
        <w:t>from</w:t>
      </w:r>
      <w:proofErr w:type="gramEnd"/>
      <w:r w:rsidR="00D95953">
        <w:t xml:space="preserve"> the respondent.  The Notice of </w:t>
      </w:r>
      <w:proofErr w:type="gramStart"/>
      <w:r w:rsidR="00D95953">
        <w:t>Response,</w:t>
      </w:r>
      <w:proofErr w:type="gramEnd"/>
      <w:r w:rsidR="00D95953">
        <w:t xml:space="preserve"> and the respondent’s Heads of Argument do not address this item.  In the circumstan</w:t>
      </w:r>
      <w:r w:rsidR="00C36E4F">
        <w:t>ces, the appellant’s submission</w:t>
      </w:r>
      <w:r w:rsidR="00D95953">
        <w:t xml:space="preserve"> on this item will be taken as undisputed.</w:t>
      </w:r>
    </w:p>
    <w:p w:rsidR="007B1E11" w:rsidRDefault="007B1E11" w:rsidP="007B1E11">
      <w:pPr>
        <w:jc w:val="both"/>
      </w:pPr>
    </w:p>
    <w:p w:rsidR="007E30CD" w:rsidRDefault="007E30CD" w:rsidP="00BC372B">
      <w:pPr>
        <w:spacing w:line="360" w:lineRule="auto"/>
        <w:jc w:val="both"/>
      </w:pPr>
      <w:r>
        <w:tab/>
        <w:t xml:space="preserve">The award for </w:t>
      </w:r>
      <w:proofErr w:type="spellStart"/>
      <w:r>
        <w:t>backpay</w:t>
      </w:r>
      <w:proofErr w:type="spellEnd"/>
      <w:r>
        <w:t xml:space="preserve"> was US $24 500</w:t>
      </w:r>
      <w:proofErr w:type="gramStart"/>
      <w:r>
        <w:t>,00</w:t>
      </w:r>
      <w:proofErr w:type="gramEnd"/>
      <w:r>
        <w:t xml:space="preserve">, </w:t>
      </w:r>
      <w:r w:rsidR="00C36E4F">
        <w:t>covering</w:t>
      </w:r>
      <w:r>
        <w:t xml:space="preserve"> a period </w:t>
      </w:r>
      <w:r w:rsidR="00A90950">
        <w:t xml:space="preserve">of 35 months.  This is by far the </w:t>
      </w:r>
      <w:r w:rsidR="006E2433">
        <w:t xml:space="preserve">biggest component of the award.  It was based </w:t>
      </w:r>
      <w:r w:rsidR="00E448C4">
        <w:t>on a monthly salary of US$700</w:t>
      </w:r>
      <w:proofErr w:type="gramStart"/>
      <w:r w:rsidR="00E448C4">
        <w:t>,00</w:t>
      </w:r>
      <w:proofErr w:type="gramEnd"/>
      <w:r w:rsidR="006E2433">
        <w:t>.</w:t>
      </w:r>
    </w:p>
    <w:p w:rsidR="007B1E11" w:rsidRDefault="007B1E11" w:rsidP="00B26670">
      <w:pPr>
        <w:jc w:val="both"/>
      </w:pPr>
    </w:p>
    <w:p w:rsidR="006E2433" w:rsidRDefault="006E2433" w:rsidP="002A5C8B">
      <w:pPr>
        <w:spacing w:line="360" w:lineRule="auto"/>
        <w:ind w:firstLine="720"/>
        <w:jc w:val="both"/>
      </w:pPr>
      <w:r>
        <w:t xml:space="preserve">The appellant averred that the respondent was receiving </w:t>
      </w:r>
      <w:r w:rsidR="00C36E4F">
        <w:t xml:space="preserve">a </w:t>
      </w:r>
      <w:r>
        <w:t>salary of US$400</w:t>
      </w:r>
      <w:proofErr w:type="gramStart"/>
      <w:r>
        <w:t>,00</w:t>
      </w:r>
      <w:proofErr w:type="gramEnd"/>
      <w:r>
        <w:t xml:space="preserve"> at the time of his dismissal.  A </w:t>
      </w:r>
      <w:proofErr w:type="spellStart"/>
      <w:r>
        <w:t>payslip</w:t>
      </w:r>
      <w:proofErr w:type="spellEnd"/>
      <w:r>
        <w:t xml:space="preserve"> reflecting that amount is filed of record.  The </w:t>
      </w:r>
      <w:proofErr w:type="spellStart"/>
      <w:r>
        <w:t>payslip</w:t>
      </w:r>
      <w:proofErr w:type="spellEnd"/>
      <w:r>
        <w:t xml:space="preserve"> is dated 28 January 2011.  The respondent was suspended on 8 February 2011, and dismissed from e</w:t>
      </w:r>
      <w:r w:rsidR="002A5C8B">
        <w:t xml:space="preserve">mployment on 17 March 2011.  Thus, at the time of dismissal, the respondent was on </w:t>
      </w:r>
      <w:r w:rsidR="00A04A4A">
        <w:t xml:space="preserve">a </w:t>
      </w:r>
      <w:r w:rsidR="002A5C8B">
        <w:t>salary of US$400</w:t>
      </w:r>
      <w:proofErr w:type="gramStart"/>
      <w:r w:rsidR="002A5C8B">
        <w:t>,00</w:t>
      </w:r>
      <w:proofErr w:type="gramEnd"/>
      <w:r w:rsidR="002A5C8B">
        <w:t>.</w:t>
      </w:r>
    </w:p>
    <w:p w:rsidR="00B26670" w:rsidRDefault="00B26670" w:rsidP="00B26670">
      <w:pPr>
        <w:ind w:firstLine="720"/>
        <w:jc w:val="both"/>
      </w:pPr>
    </w:p>
    <w:p w:rsidR="002A5C8B" w:rsidRDefault="002A5C8B" w:rsidP="002A5C8B">
      <w:pPr>
        <w:spacing w:line="360" w:lineRule="auto"/>
        <w:ind w:firstLine="720"/>
        <w:jc w:val="both"/>
      </w:pPr>
      <w:r>
        <w:t>It is significant this figure is not disputed by the respondent.  The respondent admits that</w:t>
      </w:r>
      <w:r w:rsidR="0040284E">
        <w:t xml:space="preserve"> that</w:t>
      </w:r>
      <w:r>
        <w:t xml:space="preserve"> was his last </w:t>
      </w:r>
      <w:proofErr w:type="spellStart"/>
      <w:r>
        <w:t>payslip</w:t>
      </w:r>
      <w:proofErr w:type="spellEnd"/>
      <w:r>
        <w:t>.  However, the respondent argued that that salary was not going to remain stagnant.  It was expected to rise, as US denominated salaries were gradually rising. This is what was submitted on behalf of the respondent during oral argument:</w:t>
      </w:r>
    </w:p>
    <w:p w:rsidR="002A5C8B" w:rsidRDefault="004E3F0C" w:rsidP="005D562C">
      <w:pPr>
        <w:spacing w:line="276" w:lineRule="auto"/>
        <w:ind w:left="720"/>
        <w:jc w:val="both"/>
        <w:rPr>
          <w:sz w:val="20"/>
          <w:szCs w:val="20"/>
        </w:rPr>
      </w:pPr>
      <w:r w:rsidRPr="005D562C">
        <w:rPr>
          <w:sz w:val="20"/>
          <w:szCs w:val="20"/>
        </w:rPr>
        <w:lastRenderedPageBreak/>
        <w:t>“</w:t>
      </w:r>
      <w:r w:rsidR="00191DBC">
        <w:rPr>
          <w:sz w:val="20"/>
          <w:szCs w:val="20"/>
        </w:rPr>
        <w:t>His</w:t>
      </w:r>
      <w:r w:rsidR="002A5C8B" w:rsidRPr="005D562C">
        <w:rPr>
          <w:sz w:val="20"/>
          <w:szCs w:val="20"/>
        </w:rPr>
        <w:t xml:space="preserve"> argument is that although his last </w:t>
      </w:r>
      <w:proofErr w:type="spellStart"/>
      <w:r w:rsidR="002A5C8B" w:rsidRPr="005D562C">
        <w:rPr>
          <w:sz w:val="20"/>
          <w:szCs w:val="20"/>
        </w:rPr>
        <w:t>payslip</w:t>
      </w:r>
      <w:proofErr w:type="spellEnd"/>
      <w:r w:rsidR="002A5C8B" w:rsidRPr="005D562C">
        <w:rPr>
          <w:sz w:val="20"/>
          <w:szCs w:val="20"/>
        </w:rPr>
        <w:t xml:space="preserve"> had $400</w:t>
      </w:r>
      <w:proofErr w:type="gramStart"/>
      <w:r w:rsidR="002A5C8B" w:rsidRPr="005D562C">
        <w:rPr>
          <w:sz w:val="20"/>
          <w:szCs w:val="20"/>
        </w:rPr>
        <w:t>,00</w:t>
      </w:r>
      <w:proofErr w:type="gramEnd"/>
      <w:r w:rsidR="002A5C8B" w:rsidRPr="005D562C">
        <w:rPr>
          <w:sz w:val="20"/>
          <w:szCs w:val="20"/>
        </w:rPr>
        <w:t>, that amount was not to remain stagnant given that we were still coming from introduction of US dollars, where salaries started at a lower range but rose with time.  It was a gradual rise.  T</w:t>
      </w:r>
      <w:r w:rsidR="00191DBC">
        <w:rPr>
          <w:sz w:val="20"/>
          <w:szCs w:val="20"/>
        </w:rPr>
        <w:t>here is no justification for say</w:t>
      </w:r>
      <w:r w:rsidR="002A5C8B" w:rsidRPr="005D562C">
        <w:rPr>
          <w:sz w:val="20"/>
          <w:szCs w:val="20"/>
        </w:rPr>
        <w:t>ing the rise</w:t>
      </w:r>
      <w:r w:rsidRPr="005D562C">
        <w:rPr>
          <w:sz w:val="20"/>
          <w:szCs w:val="20"/>
        </w:rPr>
        <w:t xml:space="preserve"> stopped in February</w:t>
      </w:r>
      <w:r w:rsidR="00191DBC">
        <w:rPr>
          <w:sz w:val="20"/>
          <w:szCs w:val="20"/>
        </w:rPr>
        <w:t>. I</w:t>
      </w:r>
      <w:r w:rsidRPr="005D562C">
        <w:rPr>
          <w:sz w:val="20"/>
          <w:szCs w:val="20"/>
        </w:rPr>
        <w:t xml:space="preserve">f my subordinate, </w:t>
      </w:r>
      <w:r w:rsidR="00D24084" w:rsidRPr="005D562C">
        <w:rPr>
          <w:sz w:val="20"/>
          <w:szCs w:val="20"/>
        </w:rPr>
        <w:t>who was always earning far less than myself ... is earning $457</w:t>
      </w:r>
      <w:proofErr w:type="gramStart"/>
      <w:r w:rsidR="00D24084" w:rsidRPr="005D562C">
        <w:rPr>
          <w:sz w:val="20"/>
          <w:szCs w:val="20"/>
        </w:rPr>
        <w:t>,00</w:t>
      </w:r>
      <w:proofErr w:type="gramEnd"/>
      <w:r w:rsidR="00D24084" w:rsidRPr="005D562C">
        <w:rPr>
          <w:sz w:val="20"/>
          <w:szCs w:val="20"/>
        </w:rPr>
        <w:t>, automatically I am entitled to a higher salary.  That was his reasoning.  He then stipulated names of other managers, all those people had been earning $700</w:t>
      </w:r>
      <w:proofErr w:type="gramStart"/>
      <w:r w:rsidR="00D24084" w:rsidRPr="005D562C">
        <w:rPr>
          <w:sz w:val="20"/>
          <w:szCs w:val="20"/>
        </w:rPr>
        <w:t>,00</w:t>
      </w:r>
      <w:proofErr w:type="gramEnd"/>
      <w:r w:rsidR="00D24084" w:rsidRPr="005D562C">
        <w:rPr>
          <w:sz w:val="20"/>
          <w:szCs w:val="20"/>
        </w:rPr>
        <w:t xml:space="preserve"> per month, who were in the same grade and started work at more or less the same time.”</w:t>
      </w:r>
    </w:p>
    <w:p w:rsidR="00B26670" w:rsidRPr="005D562C" w:rsidRDefault="00B26670" w:rsidP="00B26670">
      <w:pPr>
        <w:ind w:left="720"/>
        <w:jc w:val="both"/>
        <w:rPr>
          <w:sz w:val="20"/>
          <w:szCs w:val="20"/>
        </w:rPr>
      </w:pPr>
    </w:p>
    <w:p w:rsidR="00C87789" w:rsidRDefault="00C87789" w:rsidP="002A5C8B">
      <w:pPr>
        <w:spacing w:line="360" w:lineRule="auto"/>
        <w:ind w:firstLine="720"/>
        <w:jc w:val="both"/>
      </w:pPr>
      <w:r>
        <w:t>The respondent submitted a Collective Bargaining Agreement before the arbitrator, which had the figure of $457</w:t>
      </w:r>
      <w:proofErr w:type="gramStart"/>
      <w:r>
        <w:t>,00</w:t>
      </w:r>
      <w:proofErr w:type="gramEnd"/>
      <w:r>
        <w:t xml:space="preserve"> mentioned in the above cited submissions.  The Collective Bargaining Agreement did not apply to him, but to non-managerial employees.</w:t>
      </w:r>
    </w:p>
    <w:p w:rsidR="00B26670" w:rsidRDefault="00B26670" w:rsidP="00483A66">
      <w:pPr>
        <w:ind w:firstLine="720"/>
        <w:jc w:val="both"/>
      </w:pPr>
    </w:p>
    <w:p w:rsidR="00E916EB" w:rsidRDefault="00E916EB" w:rsidP="002A5C8B">
      <w:pPr>
        <w:spacing w:line="360" w:lineRule="auto"/>
        <w:ind w:firstLine="720"/>
        <w:jc w:val="both"/>
      </w:pPr>
      <w:r>
        <w:t>Basically, the respondent’s argument was that the admitted salary of $400</w:t>
      </w:r>
      <w:proofErr w:type="gramStart"/>
      <w:r>
        <w:t>,00</w:t>
      </w:r>
      <w:proofErr w:type="gramEnd"/>
      <w:r>
        <w:t xml:space="preserve"> was not what he was supposed to ea</w:t>
      </w:r>
      <w:r w:rsidR="00191DBC">
        <w:t>rn.  He was supposed to earn a n</w:t>
      </w:r>
      <w:r>
        <w:t xml:space="preserve">et salary in the </w:t>
      </w:r>
      <w:r w:rsidR="002740DF">
        <w:t>region</w:t>
      </w:r>
      <w:r>
        <w:t xml:space="preserve"> of $700</w:t>
      </w:r>
      <w:proofErr w:type="gramStart"/>
      <w:r>
        <w:t>,00</w:t>
      </w:r>
      <w:proofErr w:type="gramEnd"/>
      <w:r>
        <w:t xml:space="preserve"> per month.  This is what he would</w:t>
      </w:r>
      <w:r w:rsidR="002740DF">
        <w:t xml:space="preserve"> eventually</w:t>
      </w:r>
      <w:r>
        <w:t xml:space="preserve"> have earned had he </w:t>
      </w:r>
      <w:r w:rsidR="00166EE7">
        <w:t>remained in</w:t>
      </w:r>
      <w:r w:rsidR="005C1C02">
        <w:t xml:space="preserve"> employment.</w:t>
      </w:r>
    </w:p>
    <w:p w:rsidR="00483A66" w:rsidRDefault="00483A66" w:rsidP="00483A66">
      <w:pPr>
        <w:ind w:firstLine="720"/>
        <w:jc w:val="both"/>
      </w:pPr>
    </w:p>
    <w:p w:rsidR="005C1C02" w:rsidRDefault="005C1C02" w:rsidP="002A5C8B">
      <w:pPr>
        <w:spacing w:line="360" w:lineRule="auto"/>
        <w:ind w:firstLine="720"/>
        <w:jc w:val="both"/>
      </w:pPr>
      <w:r>
        <w:t xml:space="preserve">This was, in my view, a seriously </w:t>
      </w:r>
      <w:r w:rsidR="002740DF">
        <w:t xml:space="preserve">misplaced </w:t>
      </w:r>
      <w:r>
        <w:t xml:space="preserve">argument.  Undisputed proof of his earnings at the time of </w:t>
      </w:r>
      <w:proofErr w:type="gramStart"/>
      <w:r>
        <w:t>dismissal,</w:t>
      </w:r>
      <w:proofErr w:type="gramEnd"/>
      <w:r>
        <w:t xml:space="preserve"> was produced</w:t>
      </w:r>
      <w:r w:rsidR="0001686F">
        <w:t xml:space="preserve"> in the </w:t>
      </w:r>
      <w:r w:rsidR="002740DF">
        <w:t>form</w:t>
      </w:r>
      <w:r w:rsidR="0001686F">
        <w:t xml:space="preserve"> of the January 2011 </w:t>
      </w:r>
      <w:proofErr w:type="spellStart"/>
      <w:r w:rsidR="0001686F">
        <w:t>pays</w:t>
      </w:r>
      <w:r w:rsidR="002740DF">
        <w:t>lip</w:t>
      </w:r>
      <w:proofErr w:type="spellEnd"/>
      <w:r w:rsidR="002740DF">
        <w:t>.  The figure of $700</w:t>
      </w:r>
      <w:proofErr w:type="gramStart"/>
      <w:r w:rsidR="002740DF">
        <w:t>,00</w:t>
      </w:r>
      <w:proofErr w:type="gramEnd"/>
      <w:r w:rsidR="002740DF">
        <w:t xml:space="preserve"> is w</w:t>
      </w:r>
      <w:r w:rsidR="0001686F">
        <w:t xml:space="preserve">hat he expected to earn subsequent to February 2011.  It cannot </w:t>
      </w:r>
      <w:r w:rsidR="00522A68">
        <w:t>constitute</w:t>
      </w:r>
      <w:r w:rsidR="0001686F">
        <w:t xml:space="preserve"> proof</w:t>
      </w:r>
      <w:r w:rsidR="00522A68">
        <w:t xml:space="preserve"> of</w:t>
      </w:r>
      <w:r w:rsidR="0001686F">
        <w:t xml:space="preserve"> earnings for purposes of calculating, and awarding </w:t>
      </w:r>
      <w:proofErr w:type="spellStart"/>
      <w:r w:rsidR="0001686F">
        <w:t>backpay</w:t>
      </w:r>
      <w:proofErr w:type="spellEnd"/>
      <w:r w:rsidR="0001686F">
        <w:t>.</w:t>
      </w:r>
    </w:p>
    <w:p w:rsidR="00483A66" w:rsidRDefault="00483A66" w:rsidP="00483A66">
      <w:pPr>
        <w:ind w:firstLine="720"/>
        <w:jc w:val="both"/>
      </w:pPr>
    </w:p>
    <w:p w:rsidR="0016294A" w:rsidRDefault="0016294A" w:rsidP="002A5C8B">
      <w:pPr>
        <w:spacing w:line="360" w:lineRule="auto"/>
        <w:ind w:firstLine="720"/>
        <w:jc w:val="both"/>
      </w:pPr>
      <w:r>
        <w:t xml:space="preserve">The </w:t>
      </w:r>
      <w:r w:rsidR="00522A68">
        <w:t>appellant</w:t>
      </w:r>
      <w:r>
        <w:t xml:space="preserve"> correctly made reference to the case of </w:t>
      </w:r>
      <w:r w:rsidRPr="0016294A">
        <w:rPr>
          <w:i/>
        </w:rPr>
        <w:t>First Mutual Life</w:t>
      </w:r>
      <w:r>
        <w:t xml:space="preserve"> v </w:t>
      </w:r>
      <w:proofErr w:type="spellStart"/>
      <w:r w:rsidRPr="0016294A">
        <w:rPr>
          <w:i/>
        </w:rPr>
        <w:t>Muzivi</w:t>
      </w:r>
      <w:proofErr w:type="spellEnd"/>
      <w:r>
        <w:t xml:space="preserve"> </w:t>
      </w:r>
      <w:r w:rsidR="00522A68">
        <w:t>2007 (1) ZLR 325.</w:t>
      </w:r>
      <w:r>
        <w:t xml:space="preserve"> In that case, the Supreme Court made it clea</w:t>
      </w:r>
      <w:r w:rsidR="00522A68">
        <w:t>r the onus was on the employee</w:t>
      </w:r>
      <w:r>
        <w:t xml:space="preserve"> to prove his claim</w:t>
      </w:r>
      <w:r w:rsidR="00444398">
        <w:t>.</w:t>
      </w:r>
    </w:p>
    <w:p w:rsidR="00483A66" w:rsidRDefault="00483A66" w:rsidP="00483A66">
      <w:pPr>
        <w:ind w:firstLine="720"/>
        <w:jc w:val="both"/>
      </w:pPr>
    </w:p>
    <w:p w:rsidR="00444398" w:rsidRDefault="00444398" w:rsidP="002A5C8B">
      <w:pPr>
        <w:spacing w:line="360" w:lineRule="auto"/>
        <w:ind w:firstLine="720"/>
        <w:jc w:val="both"/>
      </w:pPr>
      <w:r>
        <w:t>In the instant case, the figure of $700</w:t>
      </w:r>
      <w:proofErr w:type="gramStart"/>
      <w:r>
        <w:t>,00</w:t>
      </w:r>
      <w:proofErr w:type="gramEnd"/>
      <w:r>
        <w:t xml:space="preserve"> was unsubst</w:t>
      </w:r>
      <w:r w:rsidR="00522A68">
        <w:t>antiated.</w:t>
      </w:r>
      <w:r>
        <w:t xml:space="preserve">  </w:t>
      </w:r>
      <w:r w:rsidR="00522A68">
        <w:t>The</w:t>
      </w:r>
      <w:r w:rsidR="00483A66">
        <w:t xml:space="preserve"> arbitral award does not ex</w:t>
      </w:r>
      <w:r>
        <w:t>plain why this figure was accepted.  All that is stated in the award is</w:t>
      </w:r>
      <w:r w:rsidR="00522A68">
        <w:t>:</w:t>
      </w:r>
    </w:p>
    <w:p w:rsidR="00444398" w:rsidRDefault="00444398" w:rsidP="004B6D85">
      <w:pPr>
        <w:spacing w:line="276" w:lineRule="auto"/>
        <w:ind w:left="720"/>
        <w:jc w:val="both"/>
        <w:rPr>
          <w:sz w:val="20"/>
          <w:szCs w:val="20"/>
        </w:rPr>
      </w:pPr>
      <w:r w:rsidRPr="004B6D85">
        <w:rPr>
          <w:sz w:val="20"/>
          <w:szCs w:val="20"/>
        </w:rPr>
        <w:t xml:space="preserve">“I concur with the claimant that </w:t>
      </w:r>
      <w:r w:rsidR="00175AF8" w:rsidRPr="004B6D85">
        <w:rPr>
          <w:sz w:val="20"/>
          <w:szCs w:val="20"/>
        </w:rPr>
        <w:t>this makes the period of 35 months at a salary of USD$700</w:t>
      </w:r>
      <w:proofErr w:type="gramStart"/>
      <w:r w:rsidR="00175AF8" w:rsidRPr="004B6D85">
        <w:rPr>
          <w:sz w:val="20"/>
          <w:szCs w:val="20"/>
        </w:rPr>
        <w:t>,00</w:t>
      </w:r>
      <w:proofErr w:type="gramEnd"/>
      <w:r w:rsidR="004B6D85" w:rsidRPr="004B6D85">
        <w:rPr>
          <w:sz w:val="20"/>
          <w:szCs w:val="20"/>
        </w:rPr>
        <w:t xml:space="preserve"> amounting to USD$</w:t>
      </w:r>
      <w:r w:rsidR="00175AF8" w:rsidRPr="004B6D85">
        <w:rPr>
          <w:sz w:val="20"/>
          <w:szCs w:val="20"/>
        </w:rPr>
        <w:t>24 500,00.”</w:t>
      </w:r>
    </w:p>
    <w:p w:rsidR="00522A68" w:rsidRPr="004B6D85" w:rsidRDefault="00522A68" w:rsidP="00522A68">
      <w:pPr>
        <w:ind w:left="720"/>
        <w:jc w:val="both"/>
        <w:rPr>
          <w:sz w:val="20"/>
          <w:szCs w:val="20"/>
        </w:rPr>
      </w:pPr>
    </w:p>
    <w:p w:rsidR="002F6DA3" w:rsidRDefault="002F6DA3" w:rsidP="002A5C8B">
      <w:pPr>
        <w:spacing w:line="360" w:lineRule="auto"/>
        <w:ind w:firstLine="720"/>
        <w:jc w:val="both"/>
      </w:pPr>
      <w:r>
        <w:t xml:space="preserve">There is no attempt by the arbitrator to explain </w:t>
      </w:r>
      <w:proofErr w:type="gramStart"/>
      <w:r w:rsidR="005E7BAF">
        <w:t>why</w:t>
      </w:r>
      <w:r w:rsidR="002D5766">
        <w:t xml:space="preserve"> </w:t>
      </w:r>
      <w:r>
        <w:t xml:space="preserve"> he</w:t>
      </w:r>
      <w:proofErr w:type="gramEnd"/>
      <w:r>
        <w:t xml:space="preserve"> accepted this as a</w:t>
      </w:r>
      <w:r w:rsidR="00522A68">
        <w:t xml:space="preserve"> basis for </w:t>
      </w:r>
      <w:r w:rsidR="004B6D85">
        <w:t xml:space="preserve">his award of </w:t>
      </w:r>
      <w:proofErr w:type="spellStart"/>
      <w:r w:rsidR="004B6D85">
        <w:t>backpay</w:t>
      </w:r>
      <w:proofErr w:type="spellEnd"/>
      <w:r w:rsidR="004B6D85">
        <w:t xml:space="preserve">.  </w:t>
      </w:r>
      <w:r w:rsidR="00842C0B">
        <w:t>He</w:t>
      </w:r>
      <w:r w:rsidR="00125821">
        <w:t xml:space="preserve"> awarded what he fe</w:t>
      </w:r>
      <w:r w:rsidR="004B6D85">
        <w:t>l</w:t>
      </w:r>
      <w:r w:rsidR="00125821">
        <w:t>t</w:t>
      </w:r>
      <w:r w:rsidR="004B6D85">
        <w:t xml:space="preserve"> was a proper salary for the </w:t>
      </w:r>
      <w:r w:rsidR="004B6D85">
        <w:lastRenderedPageBreak/>
        <w:t>respondent.  In this regard, it was submitted during oral argument, on behalf of the respondent:</w:t>
      </w:r>
    </w:p>
    <w:p w:rsidR="00070928" w:rsidRDefault="00070928" w:rsidP="00070928">
      <w:pPr>
        <w:ind w:firstLine="720"/>
        <w:jc w:val="both"/>
      </w:pPr>
    </w:p>
    <w:p w:rsidR="004B6D85" w:rsidRDefault="004B6D85" w:rsidP="00343204">
      <w:pPr>
        <w:spacing w:line="276" w:lineRule="auto"/>
        <w:ind w:left="720"/>
        <w:jc w:val="both"/>
        <w:rPr>
          <w:sz w:val="20"/>
          <w:szCs w:val="20"/>
        </w:rPr>
      </w:pPr>
      <w:r w:rsidRPr="00343204">
        <w:rPr>
          <w:sz w:val="20"/>
          <w:szCs w:val="20"/>
        </w:rPr>
        <w:t xml:space="preserve">”The salary of </w:t>
      </w:r>
      <w:r w:rsidR="000316B4" w:rsidRPr="00343204">
        <w:rPr>
          <w:sz w:val="20"/>
          <w:szCs w:val="20"/>
        </w:rPr>
        <w:t>$700</w:t>
      </w:r>
      <w:proofErr w:type="gramStart"/>
      <w:r w:rsidR="000316B4" w:rsidRPr="00343204">
        <w:rPr>
          <w:sz w:val="20"/>
          <w:szCs w:val="20"/>
        </w:rPr>
        <w:t>,00</w:t>
      </w:r>
      <w:proofErr w:type="gramEnd"/>
      <w:r w:rsidR="000316B4" w:rsidRPr="00343204">
        <w:rPr>
          <w:sz w:val="20"/>
          <w:szCs w:val="20"/>
        </w:rPr>
        <w:t xml:space="preserve"> was not supported by evidence.  It is absurd because it means the respondent </w:t>
      </w:r>
      <w:r w:rsidR="00F21E35">
        <w:rPr>
          <w:sz w:val="20"/>
          <w:szCs w:val="20"/>
        </w:rPr>
        <w:t>assumed</w:t>
      </w:r>
      <w:r w:rsidR="00397E45" w:rsidRPr="00343204">
        <w:rPr>
          <w:sz w:val="20"/>
          <w:szCs w:val="20"/>
        </w:rPr>
        <w:t xml:space="preserve"> the </w:t>
      </w:r>
      <w:r w:rsidR="00F21E35">
        <w:rPr>
          <w:sz w:val="20"/>
          <w:szCs w:val="20"/>
        </w:rPr>
        <w:t>right</w:t>
      </w:r>
      <w:r w:rsidR="00397E45" w:rsidRPr="00343204">
        <w:rPr>
          <w:sz w:val="20"/>
          <w:szCs w:val="20"/>
        </w:rPr>
        <w:t xml:space="preserve"> to earn $700</w:t>
      </w:r>
      <w:proofErr w:type="gramStart"/>
      <w:r w:rsidR="00397E45" w:rsidRPr="00343204">
        <w:rPr>
          <w:sz w:val="20"/>
          <w:szCs w:val="20"/>
        </w:rPr>
        <w:t>,00</w:t>
      </w:r>
      <w:proofErr w:type="gramEnd"/>
      <w:r w:rsidR="00397E45" w:rsidRPr="00343204">
        <w:rPr>
          <w:sz w:val="20"/>
          <w:szCs w:val="20"/>
        </w:rPr>
        <w:t xml:space="preserve"> when dismissed, yet his </w:t>
      </w:r>
      <w:proofErr w:type="spellStart"/>
      <w:r w:rsidR="00397E45" w:rsidRPr="00343204">
        <w:rPr>
          <w:sz w:val="20"/>
          <w:szCs w:val="20"/>
        </w:rPr>
        <w:t>payslip</w:t>
      </w:r>
      <w:proofErr w:type="spellEnd"/>
      <w:r w:rsidR="00397E45" w:rsidRPr="00343204">
        <w:rPr>
          <w:sz w:val="20"/>
          <w:szCs w:val="20"/>
        </w:rPr>
        <w:t xml:space="preserve"> shows a salary of $400,00.”</w:t>
      </w:r>
    </w:p>
    <w:p w:rsidR="00070928" w:rsidRPr="00343204" w:rsidRDefault="00070928" w:rsidP="00070928">
      <w:pPr>
        <w:ind w:left="720"/>
        <w:jc w:val="both"/>
        <w:rPr>
          <w:sz w:val="20"/>
          <w:szCs w:val="20"/>
        </w:rPr>
      </w:pPr>
    </w:p>
    <w:p w:rsidR="00343204" w:rsidRDefault="00343204" w:rsidP="002A5C8B">
      <w:pPr>
        <w:spacing w:line="360" w:lineRule="auto"/>
        <w:ind w:firstLine="720"/>
        <w:jc w:val="both"/>
      </w:pPr>
      <w:r>
        <w:t xml:space="preserve">Clearly, the arbitrator misdirected himself </w:t>
      </w:r>
      <w:r w:rsidR="00F21E35">
        <w:t>when</w:t>
      </w:r>
      <w:r>
        <w:t xml:space="preserve"> he disregarded the undisputed salary of $400</w:t>
      </w:r>
      <w:proofErr w:type="gramStart"/>
      <w:r>
        <w:t>,00</w:t>
      </w:r>
      <w:proofErr w:type="gramEnd"/>
      <w:r>
        <w:t xml:space="preserve">, and based his award on a salary of $700,00, not shown to be </w:t>
      </w:r>
      <w:r w:rsidR="00A677D1">
        <w:t>what the respondent earned when he was dismissed.</w:t>
      </w:r>
    </w:p>
    <w:p w:rsidR="00070928" w:rsidRDefault="00070928" w:rsidP="00070928">
      <w:pPr>
        <w:ind w:firstLine="720"/>
        <w:jc w:val="both"/>
      </w:pPr>
    </w:p>
    <w:p w:rsidR="00B25D0D" w:rsidRDefault="00A677D1" w:rsidP="00B25D0D">
      <w:pPr>
        <w:spacing w:line="360" w:lineRule="auto"/>
        <w:ind w:firstLine="720"/>
        <w:jc w:val="both"/>
      </w:pPr>
      <w:r>
        <w:t>The award will therefore have to be adjusted</w:t>
      </w:r>
      <w:r w:rsidR="00F21E35">
        <w:t>,</w:t>
      </w:r>
      <w:r>
        <w:t xml:space="preserve"> </w:t>
      </w:r>
      <w:r w:rsidR="00F21E35">
        <w:t xml:space="preserve">taking </w:t>
      </w:r>
      <w:r>
        <w:t xml:space="preserve">into </w:t>
      </w:r>
      <w:r w:rsidR="00070928">
        <w:t>account</w:t>
      </w:r>
      <w:r>
        <w:t xml:space="preserve"> the proven salary of $400</w:t>
      </w:r>
      <w:proofErr w:type="gramStart"/>
      <w:r>
        <w:t>,00</w:t>
      </w:r>
      <w:proofErr w:type="gramEnd"/>
      <w:r>
        <w:t xml:space="preserve"> per month.  Taking into account the date of suspension without pay, 8 February 2011, </w:t>
      </w:r>
      <w:r w:rsidR="002A2C38">
        <w:t>and the date of arbitral award, 4 December 2011</w:t>
      </w:r>
      <w:r w:rsidR="00F21E35">
        <w:t>,</w:t>
      </w:r>
      <w:r w:rsidR="002A2C38">
        <w:t xml:space="preserve"> that </w:t>
      </w:r>
      <w:r w:rsidR="00F21E35">
        <w:t>amounts</w:t>
      </w:r>
      <w:r w:rsidR="002A2C38">
        <w:t xml:space="preserve"> to 33 months 25 days </w:t>
      </w:r>
      <w:proofErr w:type="spellStart"/>
      <w:r w:rsidR="002A2C38">
        <w:t>backpay</w:t>
      </w:r>
      <w:proofErr w:type="spellEnd"/>
      <w:r w:rsidR="002A2C38">
        <w:t xml:space="preserve"> at the rate of $400</w:t>
      </w:r>
      <w:proofErr w:type="gramStart"/>
      <w:r w:rsidR="002A2C38">
        <w:t>,00</w:t>
      </w:r>
      <w:proofErr w:type="gramEnd"/>
      <w:r w:rsidR="002A2C38">
        <w:t xml:space="preserve"> per month.  That yields a figure of </w:t>
      </w:r>
      <w:r w:rsidR="000E2F53">
        <w:t>$1</w:t>
      </w:r>
      <w:r w:rsidR="00B25D0D">
        <w:t>3</w:t>
      </w:r>
      <w:r w:rsidR="000E2F53">
        <w:t xml:space="preserve"> </w:t>
      </w:r>
      <w:r w:rsidR="00B25D0D">
        <w:t>58</w:t>
      </w:r>
      <w:r w:rsidR="000E2F53">
        <w:t>4</w:t>
      </w:r>
      <w:proofErr w:type="gramStart"/>
      <w:r w:rsidR="00B25D0D">
        <w:t>,62</w:t>
      </w:r>
      <w:proofErr w:type="gramEnd"/>
      <w:r w:rsidR="00B25D0D">
        <w:t>.</w:t>
      </w:r>
    </w:p>
    <w:p w:rsidR="00070928" w:rsidRDefault="00070928" w:rsidP="00070928">
      <w:pPr>
        <w:ind w:firstLine="720"/>
        <w:jc w:val="both"/>
      </w:pPr>
    </w:p>
    <w:p w:rsidR="00B25D0D" w:rsidRDefault="00B25D0D" w:rsidP="002A5C8B">
      <w:pPr>
        <w:spacing w:line="360" w:lineRule="auto"/>
        <w:ind w:firstLine="720"/>
        <w:jc w:val="both"/>
      </w:pPr>
      <w:r>
        <w:t>The last item is damages for loss of employment.  The respondent was awarded an amount of $12 600</w:t>
      </w:r>
      <w:proofErr w:type="gramStart"/>
      <w:r>
        <w:t>,00</w:t>
      </w:r>
      <w:proofErr w:type="gramEnd"/>
      <w:r>
        <w:t>, covering a period of 18 months.</w:t>
      </w:r>
    </w:p>
    <w:p w:rsidR="00B25D0D" w:rsidRDefault="00B25D0D" w:rsidP="002A5C8B">
      <w:pPr>
        <w:spacing w:line="360" w:lineRule="auto"/>
        <w:ind w:firstLine="720"/>
        <w:jc w:val="both"/>
      </w:pPr>
      <w:r>
        <w:t xml:space="preserve">On this item, </w:t>
      </w:r>
      <w:proofErr w:type="gramStart"/>
      <w:r>
        <w:t>all the</w:t>
      </w:r>
      <w:proofErr w:type="gramEnd"/>
      <w:r>
        <w:t xml:space="preserve"> arbitrator stated was;</w:t>
      </w:r>
    </w:p>
    <w:p w:rsidR="00B25D0D" w:rsidRDefault="00B25D0D" w:rsidP="000702DD">
      <w:pPr>
        <w:spacing w:line="276" w:lineRule="auto"/>
        <w:ind w:left="720"/>
        <w:jc w:val="both"/>
        <w:rPr>
          <w:sz w:val="20"/>
          <w:szCs w:val="20"/>
        </w:rPr>
      </w:pPr>
      <w:r w:rsidRPr="000702DD">
        <w:rPr>
          <w:sz w:val="20"/>
          <w:szCs w:val="20"/>
        </w:rPr>
        <w:t>“</w:t>
      </w:r>
      <w:proofErr w:type="gramStart"/>
      <w:r w:rsidRPr="000702DD">
        <w:rPr>
          <w:sz w:val="20"/>
          <w:szCs w:val="20"/>
        </w:rPr>
        <w:t>the</w:t>
      </w:r>
      <w:proofErr w:type="gramEnd"/>
      <w:r w:rsidRPr="000702DD">
        <w:rPr>
          <w:sz w:val="20"/>
          <w:szCs w:val="20"/>
        </w:rPr>
        <w:t xml:space="preserve"> claimant is no longer employed and considering his position and the harsh economic environment, damages to the </w:t>
      </w:r>
      <w:r w:rsidR="00F92763">
        <w:rPr>
          <w:sz w:val="20"/>
          <w:szCs w:val="20"/>
        </w:rPr>
        <w:t>tune of</w:t>
      </w:r>
      <w:r w:rsidRPr="000702DD">
        <w:rPr>
          <w:sz w:val="20"/>
          <w:szCs w:val="20"/>
        </w:rPr>
        <w:t xml:space="preserve"> 18 months would</w:t>
      </w:r>
      <w:r w:rsidR="000702DD" w:rsidRPr="000702DD">
        <w:rPr>
          <w:sz w:val="20"/>
          <w:szCs w:val="20"/>
        </w:rPr>
        <w:t xml:space="preserve"> suffice for loss of employment.”</w:t>
      </w:r>
    </w:p>
    <w:p w:rsidR="005622F8" w:rsidRPr="000702DD" w:rsidRDefault="005622F8" w:rsidP="005622F8">
      <w:pPr>
        <w:ind w:left="720"/>
        <w:jc w:val="both"/>
        <w:rPr>
          <w:sz w:val="20"/>
          <w:szCs w:val="20"/>
        </w:rPr>
      </w:pPr>
    </w:p>
    <w:p w:rsidR="000702DD" w:rsidRDefault="000702DD" w:rsidP="002A5C8B">
      <w:pPr>
        <w:spacing w:line="360" w:lineRule="auto"/>
        <w:ind w:firstLine="720"/>
        <w:jc w:val="both"/>
      </w:pPr>
      <w:r>
        <w:t>T</w:t>
      </w:r>
      <w:r w:rsidR="00B64CAF">
        <w:t>he arbitrator did not explain wh</w:t>
      </w:r>
      <w:r>
        <w:t xml:space="preserve">y he settled for 18 months.  He simply </w:t>
      </w:r>
      <w:r w:rsidR="005622F8">
        <w:t>referred</w:t>
      </w:r>
      <w:r>
        <w:t xml:space="preserve"> to the harsh economic environment, without further clarification or analysis.</w:t>
      </w:r>
    </w:p>
    <w:p w:rsidR="000C25BC" w:rsidRDefault="000C25BC" w:rsidP="002A5C8B">
      <w:pPr>
        <w:spacing w:line="360" w:lineRule="auto"/>
        <w:ind w:firstLine="720"/>
        <w:jc w:val="both"/>
      </w:pPr>
      <w:r>
        <w:t>The record shows no evidence substantiating respondent’s damages.  The record also shows no evidence of any attempt to mitigate the damages sought.  The</w:t>
      </w:r>
      <w:r w:rsidR="00863AD9">
        <w:t xml:space="preserve"> respondent concedes he did no</w:t>
      </w:r>
      <w:r w:rsidR="00867B24">
        <w:t>t look for alternative employment</w:t>
      </w:r>
      <w:r w:rsidR="00863AD9">
        <w:t xml:space="preserve">.  He </w:t>
      </w:r>
      <w:r w:rsidR="00867B24">
        <w:t>explained that he was on rema</w:t>
      </w:r>
      <w:r w:rsidR="00863AD9">
        <w:t>nd at the Magistrates Court.  H</w:t>
      </w:r>
      <w:r w:rsidR="00867B24">
        <w:t>e reasoned that no employer would</w:t>
      </w:r>
      <w:r w:rsidR="00863AD9">
        <w:t xml:space="preserve"> be prepared to accept someone who had to attend a criminal court from time to time, as he was on remand.</w:t>
      </w:r>
    </w:p>
    <w:p w:rsidR="00070928" w:rsidRDefault="00070928" w:rsidP="00070928">
      <w:pPr>
        <w:ind w:firstLine="720"/>
        <w:jc w:val="both"/>
      </w:pPr>
    </w:p>
    <w:p w:rsidR="00863AD9" w:rsidRDefault="00863AD9" w:rsidP="002A5C8B">
      <w:pPr>
        <w:spacing w:line="360" w:lineRule="auto"/>
        <w:ind w:firstLine="720"/>
        <w:jc w:val="both"/>
      </w:pPr>
      <w:r>
        <w:t xml:space="preserve">The respondent was on </w:t>
      </w:r>
      <w:r w:rsidR="00791F28">
        <w:t>remand</w:t>
      </w:r>
      <w:r>
        <w:t xml:space="preserve"> out </w:t>
      </w:r>
      <w:r w:rsidR="00791F28">
        <w:t>of custody. He</w:t>
      </w:r>
      <w:r>
        <w:t xml:space="preserve"> simply </w:t>
      </w:r>
      <w:r w:rsidR="00791F28">
        <w:t>sat at home,</w:t>
      </w:r>
      <w:r>
        <w:t xml:space="preserve"> with no attempt made at securing alternative employment.  It is t</w:t>
      </w:r>
      <w:r w:rsidR="00791F28">
        <w:t>he court’s considered view there should</w:t>
      </w:r>
      <w:r>
        <w:t xml:space="preserve"> </w:t>
      </w:r>
      <w:r w:rsidR="00791F28">
        <w:t>have been evidence of such a</w:t>
      </w:r>
      <w:r w:rsidR="00086E40">
        <w:t>n at</w:t>
      </w:r>
      <w:r>
        <w:t>tempt.  If he was turned down by reason of his being on remand, that</w:t>
      </w:r>
      <w:r w:rsidR="00086E40">
        <w:t xml:space="preserve"> would then be a </w:t>
      </w:r>
      <w:r w:rsidR="008C2948">
        <w:t xml:space="preserve">factor the court will duly </w:t>
      </w:r>
      <w:r w:rsidR="008C2948">
        <w:lastRenderedPageBreak/>
        <w:t xml:space="preserve">consider, among other factors, on what quantum of damages to offer.  That sort of evidence is not before the court.  The respondent turned himself down before </w:t>
      </w:r>
      <w:r w:rsidR="00A34AE3">
        <w:t xml:space="preserve">even </w:t>
      </w:r>
      <w:r w:rsidR="008C2948">
        <w:t>making any job application.</w:t>
      </w:r>
    </w:p>
    <w:p w:rsidR="00070928" w:rsidRDefault="00070928" w:rsidP="00070928">
      <w:pPr>
        <w:ind w:firstLine="720"/>
        <w:jc w:val="both"/>
      </w:pPr>
    </w:p>
    <w:p w:rsidR="008C2948" w:rsidRDefault="003334E5" w:rsidP="002A5C8B">
      <w:pPr>
        <w:spacing w:line="360" w:lineRule="auto"/>
        <w:ind w:firstLine="720"/>
        <w:jc w:val="both"/>
      </w:pPr>
      <w:r>
        <w:t>The need for</w:t>
      </w:r>
      <w:r w:rsidR="008C2948">
        <w:t xml:space="preserve"> evidence to substantiate damages was </w:t>
      </w:r>
      <w:r>
        <w:t>emphasized</w:t>
      </w:r>
      <w:r w:rsidR="008C2948">
        <w:t xml:space="preserve"> in </w:t>
      </w:r>
      <w:r w:rsidR="008C2948" w:rsidRPr="008C2948">
        <w:rPr>
          <w:i/>
        </w:rPr>
        <w:t>First Mutual Life Assurance</w:t>
      </w:r>
      <w:r w:rsidR="008C2948">
        <w:t xml:space="preserve"> </w:t>
      </w:r>
      <w:proofErr w:type="spellStart"/>
      <w:r w:rsidR="008C2948">
        <w:t>vs</w:t>
      </w:r>
      <w:proofErr w:type="spellEnd"/>
      <w:r w:rsidR="008C2948">
        <w:t xml:space="preserve"> </w:t>
      </w:r>
      <w:proofErr w:type="spellStart"/>
      <w:r w:rsidR="008C2948" w:rsidRPr="008C2948">
        <w:rPr>
          <w:i/>
        </w:rPr>
        <w:t>Muzivizi</w:t>
      </w:r>
      <w:proofErr w:type="spellEnd"/>
      <w:r w:rsidR="008C2948">
        <w:t xml:space="preserve"> 2007 (1) ZLR 325, and </w:t>
      </w:r>
      <w:r w:rsidR="008C2948" w:rsidRPr="008C2948">
        <w:rPr>
          <w:i/>
        </w:rPr>
        <w:t>Heywood Investment</w:t>
      </w:r>
      <w:r w:rsidR="008C2948">
        <w:t xml:space="preserve"> v </w:t>
      </w:r>
      <w:proofErr w:type="spellStart"/>
      <w:r w:rsidR="008C2948" w:rsidRPr="008C2948">
        <w:rPr>
          <w:i/>
        </w:rPr>
        <w:t>Zakeyo</w:t>
      </w:r>
      <w:proofErr w:type="spellEnd"/>
      <w:r w:rsidR="008C2948" w:rsidRPr="008C2948">
        <w:rPr>
          <w:i/>
        </w:rPr>
        <w:t xml:space="preserve"> </w:t>
      </w:r>
      <w:r w:rsidR="008C2948">
        <w:t>SC 32/13</w:t>
      </w:r>
      <w:r w:rsidR="00164F7A">
        <w:t>.</w:t>
      </w:r>
    </w:p>
    <w:p w:rsidR="00070928" w:rsidRDefault="00070928" w:rsidP="00070928">
      <w:pPr>
        <w:ind w:firstLine="720"/>
        <w:jc w:val="both"/>
      </w:pPr>
    </w:p>
    <w:p w:rsidR="00164F7A" w:rsidRDefault="00164F7A" w:rsidP="002A5C8B">
      <w:pPr>
        <w:spacing w:line="360" w:lineRule="auto"/>
        <w:ind w:firstLine="720"/>
        <w:jc w:val="both"/>
      </w:pPr>
      <w:r>
        <w:t xml:space="preserve">Further to that, the need for mitigating one’s damages </w:t>
      </w:r>
      <w:r w:rsidR="00DB6135">
        <w:t>was emphasized</w:t>
      </w:r>
      <w:r w:rsidR="00DB761B">
        <w:t xml:space="preserve"> in </w:t>
      </w:r>
      <w:proofErr w:type="spellStart"/>
      <w:r w:rsidR="00DB761B" w:rsidRPr="00524A4D">
        <w:rPr>
          <w:i/>
        </w:rPr>
        <w:t>Ambali</w:t>
      </w:r>
      <w:proofErr w:type="spellEnd"/>
      <w:r w:rsidR="00DB761B" w:rsidRPr="00524A4D">
        <w:rPr>
          <w:i/>
        </w:rPr>
        <w:t xml:space="preserve"> </w:t>
      </w:r>
      <w:proofErr w:type="spellStart"/>
      <w:r w:rsidR="00DB761B">
        <w:t>vs</w:t>
      </w:r>
      <w:proofErr w:type="spellEnd"/>
      <w:r w:rsidR="00DB761B">
        <w:t xml:space="preserve"> </w:t>
      </w:r>
      <w:r w:rsidR="00DB761B" w:rsidRPr="00524A4D">
        <w:rPr>
          <w:i/>
        </w:rPr>
        <w:t>Bata Shoe Company</w:t>
      </w:r>
      <w:r w:rsidR="00DB761B">
        <w:t xml:space="preserve"> 1999 (1) ZLR 417.  As already </w:t>
      </w:r>
      <w:r w:rsidR="007F23C9">
        <w:t xml:space="preserve">indicated, </w:t>
      </w:r>
      <w:r w:rsidR="00DB6135">
        <w:t>it is a</w:t>
      </w:r>
      <w:r w:rsidR="007F23C9">
        <w:t>n undisputed fact that the r</w:t>
      </w:r>
      <w:r w:rsidR="006A500E">
        <w:t xml:space="preserve">espondent made </w:t>
      </w:r>
      <w:r w:rsidR="00DB6135">
        <w:t>no</w:t>
      </w:r>
      <w:r w:rsidR="006A500E">
        <w:t xml:space="preserve"> effort at all</w:t>
      </w:r>
      <w:r w:rsidR="007F23C9">
        <w:t xml:space="preserve"> to look for alternative employment.</w:t>
      </w:r>
    </w:p>
    <w:p w:rsidR="00070928" w:rsidRDefault="00070928" w:rsidP="00070928">
      <w:pPr>
        <w:ind w:firstLine="720"/>
        <w:jc w:val="both"/>
      </w:pPr>
    </w:p>
    <w:p w:rsidR="007E573A" w:rsidRDefault="006A500E" w:rsidP="002A5C8B">
      <w:pPr>
        <w:spacing w:line="360" w:lineRule="auto"/>
        <w:ind w:firstLine="720"/>
        <w:jc w:val="both"/>
      </w:pPr>
      <w:r>
        <w:t xml:space="preserve">The </w:t>
      </w:r>
      <w:r w:rsidR="007E573A">
        <w:t>appellant,</w:t>
      </w:r>
      <w:r>
        <w:t xml:space="preserve"> on the other hand, placed before the arbitrator some new pape</w:t>
      </w:r>
      <w:r w:rsidR="007E573A">
        <w:t>r</w:t>
      </w:r>
      <w:r>
        <w:t xml:space="preserve"> cuttings of job advertisements in the sales and marketing sector.  It also attached respondent’s curriculum vitae, showing respondent</w:t>
      </w:r>
      <w:r w:rsidR="007F6FB1">
        <w:t>’s</w:t>
      </w:r>
      <w:r>
        <w:t xml:space="preserve"> track record in the sales and marketing field.  The appellant then averred that the respondent was in a position to secure</w:t>
      </w:r>
      <w:r w:rsidR="00B6046B">
        <w:t xml:space="preserve"> suitable alternative employment</w:t>
      </w:r>
      <w:r w:rsidR="007E573A">
        <w:t xml:space="preserve"> within 3 months.</w:t>
      </w:r>
    </w:p>
    <w:p w:rsidR="00070928" w:rsidRDefault="00070928" w:rsidP="00070928">
      <w:pPr>
        <w:ind w:firstLine="720"/>
        <w:jc w:val="both"/>
      </w:pPr>
    </w:p>
    <w:p w:rsidR="00AF6658" w:rsidRDefault="007E573A" w:rsidP="002A5C8B">
      <w:pPr>
        <w:spacing w:line="360" w:lineRule="auto"/>
        <w:ind w:firstLine="720"/>
        <w:jc w:val="both"/>
      </w:pPr>
      <w:r>
        <w:t xml:space="preserve"> </w:t>
      </w:r>
      <w:r w:rsidR="002D4259">
        <w:t>What</w:t>
      </w:r>
      <w:r>
        <w:t xml:space="preserve"> was before the court was appellant’s information on prospects of securing alternative </w:t>
      </w:r>
      <w:r w:rsidR="00404328">
        <w:t>employment.  There was no information to the c</w:t>
      </w:r>
      <w:r w:rsidR="00CF7546">
        <w:t>ontrary from the respondent, sav</w:t>
      </w:r>
      <w:r w:rsidR="00404328">
        <w:t xml:space="preserve">e for the bald averment that the economic environment was harsh.  </w:t>
      </w:r>
      <w:r w:rsidR="00AF6658">
        <w:t>Under</w:t>
      </w:r>
      <w:r w:rsidR="00404328">
        <w:t xml:space="preserve"> the circumstances, it is difficult to uphold the 18 months compensation awarded to the respondent.  The court is therefore inclined to </w:t>
      </w:r>
      <w:r w:rsidR="00AF6658">
        <w:t>proceed</w:t>
      </w:r>
      <w:r w:rsidR="00404328">
        <w:t xml:space="preserve"> on the</w:t>
      </w:r>
      <w:r w:rsidR="00AF6658">
        <w:t xml:space="preserve"> basis of the</w:t>
      </w:r>
      <w:r w:rsidR="00404328">
        <w:t xml:space="preserve"> appellant’s submissions.  </w:t>
      </w:r>
    </w:p>
    <w:p w:rsidR="00070928" w:rsidRDefault="00070928" w:rsidP="00070928">
      <w:pPr>
        <w:ind w:firstLine="720"/>
        <w:jc w:val="both"/>
      </w:pPr>
    </w:p>
    <w:p w:rsidR="00963799" w:rsidRDefault="00AF6658" w:rsidP="002A5C8B">
      <w:pPr>
        <w:spacing w:line="360" w:lineRule="auto"/>
        <w:ind w:firstLine="720"/>
        <w:jc w:val="both"/>
      </w:pPr>
      <w:r>
        <w:t>The only</w:t>
      </w:r>
      <w:r w:rsidR="00404328">
        <w:t xml:space="preserve"> concern the court has is that</w:t>
      </w:r>
      <w:r w:rsidR="00BC7534">
        <w:t xml:space="preserve"> the </w:t>
      </w:r>
      <w:r>
        <w:t xml:space="preserve">3 </w:t>
      </w:r>
      <w:r w:rsidR="00BC7534">
        <w:t xml:space="preserve">month period, proposed by the appellant, appears too </w:t>
      </w:r>
      <w:r w:rsidR="00715A9F">
        <w:t xml:space="preserve">optimistic.  Even though job advertisements were </w:t>
      </w:r>
      <w:proofErr w:type="spellStart"/>
      <w:r w:rsidR="00715A9F">
        <w:t>flighted</w:t>
      </w:r>
      <w:proofErr w:type="spellEnd"/>
      <w:r w:rsidR="00715A9F">
        <w:t xml:space="preserve"> </w:t>
      </w:r>
      <w:r w:rsidR="00070928">
        <w:t>around</w:t>
      </w:r>
      <w:r w:rsidR="00715A9F">
        <w:t xml:space="preserve"> the time of dismissal, it is unlikely a job applicant will be offered a </w:t>
      </w:r>
      <w:r>
        <w:t xml:space="preserve">job and </w:t>
      </w:r>
      <w:proofErr w:type="gramStart"/>
      <w:r>
        <w:t>commence</w:t>
      </w:r>
      <w:proofErr w:type="gramEnd"/>
      <w:r>
        <w:t xml:space="preserve"> working within the 3 months. Proc</w:t>
      </w:r>
      <w:r w:rsidR="00715A9F">
        <w:t xml:space="preserve">esses and logistics involved in submitting applications, </w:t>
      </w:r>
      <w:r w:rsidR="00AF4986">
        <w:t>waiting</w:t>
      </w:r>
      <w:r w:rsidR="00715A9F">
        <w:t xml:space="preserve"> for responses, </w:t>
      </w:r>
      <w:r w:rsidR="00AF4986">
        <w:t>attending</w:t>
      </w:r>
      <w:r w:rsidR="00715A9F">
        <w:t xml:space="preserve"> interviews, may go beyond such a period.  The period can, in </w:t>
      </w:r>
      <w:r w:rsidR="00AF4986">
        <w:t>the</w:t>
      </w:r>
      <w:r w:rsidR="00715A9F">
        <w:t xml:space="preserve"> circumstances be </w:t>
      </w:r>
      <w:r w:rsidR="006743A5">
        <w:t>reasonably stretched</w:t>
      </w:r>
      <w:r w:rsidR="00715A9F">
        <w:t xml:space="preserve"> a little further to 6 months.  The damages payable would resultantly </w:t>
      </w:r>
      <w:r w:rsidR="00C61D1B">
        <w:t>be $400 x 6, yielding an amount of $2 400</w:t>
      </w:r>
      <w:proofErr w:type="gramStart"/>
      <w:r w:rsidR="00C61D1B">
        <w:t>,00</w:t>
      </w:r>
      <w:proofErr w:type="gramEnd"/>
    </w:p>
    <w:p w:rsidR="00963799" w:rsidRDefault="00963799" w:rsidP="002A5C8B">
      <w:pPr>
        <w:spacing w:line="360" w:lineRule="auto"/>
        <w:ind w:firstLine="720"/>
        <w:jc w:val="both"/>
      </w:pPr>
      <w:r>
        <w:lastRenderedPageBreak/>
        <w:t>The appeal, in the circumstances</w:t>
      </w:r>
      <w:r w:rsidR="00AF4986">
        <w:t>,</w:t>
      </w:r>
      <w:r>
        <w:t xml:space="preserve"> succeeds to the extent to which the amounts awarded in the arbitral award have been varied.</w:t>
      </w:r>
    </w:p>
    <w:p w:rsidR="00963799" w:rsidRDefault="00963799" w:rsidP="00963799">
      <w:pPr>
        <w:spacing w:line="360" w:lineRule="auto"/>
        <w:jc w:val="both"/>
      </w:pPr>
    </w:p>
    <w:p w:rsidR="00963799" w:rsidRDefault="00963799" w:rsidP="00963799">
      <w:pPr>
        <w:spacing w:line="360" w:lineRule="auto"/>
        <w:jc w:val="both"/>
      </w:pPr>
      <w:r>
        <w:t>In the result, it is ordered that:</w:t>
      </w:r>
    </w:p>
    <w:p w:rsidR="00963799" w:rsidRDefault="00963799" w:rsidP="00963799">
      <w:pPr>
        <w:pStyle w:val="ListParagraph"/>
        <w:numPr>
          <w:ilvl w:val="0"/>
          <w:numId w:val="3"/>
        </w:numPr>
        <w:spacing w:line="360" w:lineRule="auto"/>
        <w:jc w:val="both"/>
      </w:pPr>
      <w:r>
        <w:t>The appeal be and is hereby allowed.</w:t>
      </w:r>
    </w:p>
    <w:p w:rsidR="00695DB2" w:rsidRDefault="00963799" w:rsidP="00695DB2">
      <w:pPr>
        <w:pStyle w:val="ListParagraph"/>
        <w:numPr>
          <w:ilvl w:val="0"/>
          <w:numId w:val="3"/>
        </w:numPr>
        <w:spacing w:line="360" w:lineRule="auto"/>
        <w:jc w:val="both"/>
      </w:pPr>
      <w:r>
        <w:t>The arbitral award granted on 4 December 2014 be and is hereby set aside and is substituted by the following:</w:t>
      </w:r>
    </w:p>
    <w:p w:rsidR="00963799" w:rsidRPr="00FB6577" w:rsidRDefault="00963799" w:rsidP="00FB6577">
      <w:pPr>
        <w:pStyle w:val="ListParagraph"/>
        <w:spacing w:line="276" w:lineRule="auto"/>
        <w:jc w:val="both"/>
        <w:rPr>
          <w:sz w:val="20"/>
          <w:szCs w:val="20"/>
        </w:rPr>
      </w:pPr>
      <w:r w:rsidRPr="00FB6577">
        <w:rPr>
          <w:sz w:val="20"/>
          <w:szCs w:val="20"/>
        </w:rPr>
        <w:t>“The appellant shall pay damages to the respondent constituted as follows:</w:t>
      </w:r>
    </w:p>
    <w:p w:rsidR="00963799" w:rsidRPr="00FB6577" w:rsidRDefault="00963799" w:rsidP="00FB6577">
      <w:pPr>
        <w:pStyle w:val="ListParagraph"/>
        <w:spacing w:line="276" w:lineRule="auto"/>
        <w:jc w:val="both"/>
        <w:rPr>
          <w:sz w:val="20"/>
          <w:szCs w:val="20"/>
        </w:rPr>
      </w:pPr>
      <w:r w:rsidRPr="00FB6577">
        <w:rPr>
          <w:sz w:val="20"/>
          <w:szCs w:val="20"/>
        </w:rPr>
        <w:t>Cash-in-lieu of leave</w:t>
      </w:r>
      <w:r w:rsidRPr="00FB6577">
        <w:rPr>
          <w:sz w:val="20"/>
          <w:szCs w:val="20"/>
        </w:rPr>
        <w:tab/>
      </w:r>
      <w:r w:rsidRPr="00FB6577">
        <w:rPr>
          <w:sz w:val="20"/>
          <w:szCs w:val="20"/>
        </w:rPr>
        <w:tab/>
      </w:r>
      <w:r w:rsidRPr="00FB6577">
        <w:rPr>
          <w:sz w:val="20"/>
          <w:szCs w:val="20"/>
        </w:rPr>
        <w:tab/>
        <w:t>=</w:t>
      </w:r>
      <w:r w:rsidRPr="00FB6577">
        <w:rPr>
          <w:sz w:val="20"/>
          <w:szCs w:val="20"/>
        </w:rPr>
        <w:tab/>
      </w:r>
      <w:proofErr w:type="gramStart"/>
      <w:r w:rsidRPr="00FB6577">
        <w:rPr>
          <w:sz w:val="20"/>
          <w:szCs w:val="20"/>
        </w:rPr>
        <w:t>$  1</w:t>
      </w:r>
      <w:proofErr w:type="gramEnd"/>
      <w:r w:rsidRPr="00FB6577">
        <w:rPr>
          <w:sz w:val="20"/>
          <w:szCs w:val="20"/>
        </w:rPr>
        <w:t xml:space="preserve"> 175,00</w:t>
      </w:r>
    </w:p>
    <w:p w:rsidR="00963799" w:rsidRPr="00FB6577" w:rsidRDefault="00963799" w:rsidP="00FB6577">
      <w:pPr>
        <w:pStyle w:val="ListParagraph"/>
        <w:spacing w:line="276" w:lineRule="auto"/>
        <w:jc w:val="both"/>
        <w:rPr>
          <w:sz w:val="20"/>
          <w:szCs w:val="20"/>
        </w:rPr>
      </w:pPr>
      <w:r w:rsidRPr="00FB6577">
        <w:rPr>
          <w:sz w:val="20"/>
          <w:szCs w:val="20"/>
        </w:rPr>
        <w:t>Back pay</w:t>
      </w:r>
      <w:r w:rsidRPr="00FB6577">
        <w:rPr>
          <w:sz w:val="20"/>
          <w:szCs w:val="20"/>
        </w:rPr>
        <w:tab/>
      </w:r>
      <w:r w:rsidRPr="00FB6577">
        <w:rPr>
          <w:sz w:val="20"/>
          <w:szCs w:val="20"/>
        </w:rPr>
        <w:tab/>
      </w:r>
      <w:r w:rsidRPr="00FB6577">
        <w:rPr>
          <w:sz w:val="20"/>
          <w:szCs w:val="20"/>
        </w:rPr>
        <w:tab/>
      </w:r>
      <w:r w:rsidRPr="00FB6577">
        <w:rPr>
          <w:sz w:val="20"/>
          <w:szCs w:val="20"/>
        </w:rPr>
        <w:tab/>
        <w:t>=</w:t>
      </w:r>
      <w:r w:rsidRPr="00FB6577">
        <w:rPr>
          <w:sz w:val="20"/>
          <w:szCs w:val="20"/>
        </w:rPr>
        <w:tab/>
        <w:t>$13 584</w:t>
      </w:r>
      <w:proofErr w:type="gramStart"/>
      <w:r w:rsidRPr="00FB6577">
        <w:rPr>
          <w:sz w:val="20"/>
          <w:szCs w:val="20"/>
        </w:rPr>
        <w:t>,62</w:t>
      </w:r>
      <w:proofErr w:type="gramEnd"/>
    </w:p>
    <w:p w:rsidR="006A500E" w:rsidRPr="00FB6577" w:rsidRDefault="00963799" w:rsidP="00FB6577">
      <w:pPr>
        <w:pStyle w:val="ListParagraph"/>
        <w:spacing w:line="276" w:lineRule="auto"/>
        <w:jc w:val="both"/>
        <w:rPr>
          <w:sz w:val="20"/>
          <w:szCs w:val="20"/>
        </w:rPr>
      </w:pPr>
      <w:r w:rsidRPr="00FB6577">
        <w:rPr>
          <w:sz w:val="20"/>
          <w:szCs w:val="20"/>
        </w:rPr>
        <w:t>Loss of employment</w:t>
      </w:r>
      <w:r w:rsidRPr="00FB6577">
        <w:rPr>
          <w:sz w:val="20"/>
          <w:szCs w:val="20"/>
        </w:rPr>
        <w:tab/>
      </w:r>
      <w:r w:rsidRPr="00FB6577">
        <w:rPr>
          <w:sz w:val="20"/>
          <w:szCs w:val="20"/>
        </w:rPr>
        <w:tab/>
      </w:r>
      <w:r w:rsidRPr="00FB6577">
        <w:rPr>
          <w:sz w:val="20"/>
          <w:szCs w:val="20"/>
        </w:rPr>
        <w:tab/>
        <w:t>=</w:t>
      </w:r>
      <w:r w:rsidRPr="00FB6577">
        <w:rPr>
          <w:sz w:val="20"/>
          <w:szCs w:val="20"/>
        </w:rPr>
        <w:tab/>
      </w:r>
      <w:proofErr w:type="gramStart"/>
      <w:r w:rsidRPr="00FB6577">
        <w:rPr>
          <w:sz w:val="20"/>
          <w:szCs w:val="20"/>
        </w:rPr>
        <w:t>$  2</w:t>
      </w:r>
      <w:proofErr w:type="gramEnd"/>
      <w:r w:rsidRPr="00FB6577">
        <w:rPr>
          <w:sz w:val="20"/>
          <w:szCs w:val="20"/>
        </w:rPr>
        <w:t xml:space="preserve"> 400,00</w:t>
      </w:r>
      <w:r w:rsidR="00715A9F" w:rsidRPr="00FB6577">
        <w:rPr>
          <w:sz w:val="20"/>
          <w:szCs w:val="20"/>
        </w:rPr>
        <w:t xml:space="preserve"> </w:t>
      </w:r>
    </w:p>
    <w:p w:rsidR="004A5643" w:rsidRPr="00FB6577" w:rsidRDefault="004A5643" w:rsidP="00FB6577">
      <w:pPr>
        <w:pStyle w:val="ListParagraph"/>
        <w:spacing w:line="276" w:lineRule="auto"/>
        <w:jc w:val="both"/>
        <w:rPr>
          <w:b/>
          <w:sz w:val="20"/>
          <w:szCs w:val="20"/>
        </w:rPr>
      </w:pPr>
      <w:r w:rsidRPr="00FB6577">
        <w:rPr>
          <w:sz w:val="20"/>
          <w:szCs w:val="20"/>
        </w:rPr>
        <w:t>Total</w:t>
      </w:r>
      <w:r w:rsidRPr="00FB6577">
        <w:rPr>
          <w:sz w:val="20"/>
          <w:szCs w:val="20"/>
        </w:rPr>
        <w:tab/>
      </w:r>
      <w:r w:rsidRPr="00FB6577">
        <w:rPr>
          <w:sz w:val="20"/>
          <w:szCs w:val="20"/>
        </w:rPr>
        <w:tab/>
      </w:r>
      <w:r w:rsidRPr="00FB6577">
        <w:rPr>
          <w:sz w:val="20"/>
          <w:szCs w:val="20"/>
        </w:rPr>
        <w:tab/>
      </w:r>
      <w:r w:rsidRPr="00FB6577">
        <w:rPr>
          <w:sz w:val="20"/>
          <w:szCs w:val="20"/>
        </w:rPr>
        <w:tab/>
      </w:r>
      <w:r w:rsidRPr="00FB6577">
        <w:rPr>
          <w:sz w:val="20"/>
          <w:szCs w:val="20"/>
        </w:rPr>
        <w:tab/>
        <w:t>=</w:t>
      </w:r>
      <w:r w:rsidRPr="00FB6577">
        <w:rPr>
          <w:sz w:val="20"/>
          <w:szCs w:val="20"/>
        </w:rPr>
        <w:tab/>
      </w:r>
      <w:r w:rsidRPr="00FB6577">
        <w:rPr>
          <w:b/>
          <w:sz w:val="20"/>
          <w:szCs w:val="20"/>
          <w:u w:val="single"/>
        </w:rPr>
        <w:t>$17 159</w:t>
      </w:r>
      <w:proofErr w:type="gramStart"/>
      <w:r w:rsidRPr="00FB6577">
        <w:rPr>
          <w:b/>
          <w:sz w:val="20"/>
          <w:szCs w:val="20"/>
          <w:u w:val="single"/>
        </w:rPr>
        <w:t>,62</w:t>
      </w:r>
      <w:proofErr w:type="gramEnd"/>
      <w:r w:rsidR="00DB06CD" w:rsidRPr="00FB6577">
        <w:rPr>
          <w:sz w:val="20"/>
          <w:szCs w:val="20"/>
        </w:rPr>
        <w:t>”</w:t>
      </w:r>
    </w:p>
    <w:p w:rsidR="004A5643" w:rsidRPr="00FB6577" w:rsidRDefault="004A5643" w:rsidP="00963799">
      <w:pPr>
        <w:pStyle w:val="ListParagraph"/>
        <w:spacing w:line="360" w:lineRule="auto"/>
        <w:jc w:val="both"/>
        <w:rPr>
          <w:sz w:val="20"/>
          <w:szCs w:val="20"/>
        </w:rPr>
      </w:pPr>
    </w:p>
    <w:p w:rsidR="004A5643" w:rsidRDefault="004A5643" w:rsidP="004A5643">
      <w:pPr>
        <w:pStyle w:val="ListParagraph"/>
        <w:numPr>
          <w:ilvl w:val="0"/>
          <w:numId w:val="3"/>
        </w:numPr>
        <w:spacing w:line="360" w:lineRule="auto"/>
        <w:jc w:val="both"/>
      </w:pPr>
      <w:r>
        <w:t>Each party shall bear its own costs.</w:t>
      </w:r>
    </w:p>
    <w:p w:rsidR="002A5C8B" w:rsidRDefault="002A5C8B" w:rsidP="00BC372B">
      <w:pPr>
        <w:spacing w:line="360" w:lineRule="auto"/>
        <w:jc w:val="both"/>
      </w:pPr>
    </w:p>
    <w:p w:rsidR="00FB6577" w:rsidRDefault="00FB6577" w:rsidP="00BC372B">
      <w:pPr>
        <w:spacing w:line="360" w:lineRule="auto"/>
        <w:jc w:val="both"/>
      </w:pPr>
    </w:p>
    <w:p w:rsidR="00FB6577" w:rsidRDefault="00FB6577" w:rsidP="00BC372B">
      <w:pPr>
        <w:spacing w:line="360" w:lineRule="auto"/>
        <w:jc w:val="both"/>
      </w:pPr>
      <w:proofErr w:type="spellStart"/>
      <w:r w:rsidRPr="00E63EEA">
        <w:rPr>
          <w:i/>
        </w:rPr>
        <w:t>Dzoro</w:t>
      </w:r>
      <w:proofErr w:type="spellEnd"/>
      <w:r w:rsidRPr="00E63EEA">
        <w:rPr>
          <w:i/>
        </w:rPr>
        <w:t xml:space="preserve"> &amp; Partners</w:t>
      </w:r>
      <w:r>
        <w:t>, appellant’s legal practitioners</w:t>
      </w:r>
    </w:p>
    <w:p w:rsidR="00FB6577" w:rsidRDefault="00FB6577" w:rsidP="00BC372B">
      <w:pPr>
        <w:spacing w:line="360" w:lineRule="auto"/>
        <w:jc w:val="both"/>
      </w:pPr>
      <w:r w:rsidRPr="00E63EEA">
        <w:rPr>
          <w:i/>
        </w:rPr>
        <w:t>Koto &amp; Company</w:t>
      </w:r>
      <w:r>
        <w:t>, respondent’s legal practitioners</w:t>
      </w:r>
    </w:p>
    <w:p w:rsidR="009D7418" w:rsidRPr="00F54BCC" w:rsidRDefault="009D7418" w:rsidP="009D7418">
      <w:pPr>
        <w:spacing w:line="360" w:lineRule="auto"/>
        <w:ind w:left="1440" w:hanging="720"/>
        <w:jc w:val="both"/>
      </w:pPr>
    </w:p>
    <w:sectPr w:rsidR="009D7418" w:rsidRPr="00F54BCC" w:rsidSect="00764BE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CB" w:rsidRDefault="009845CB" w:rsidP="00764BED">
      <w:r>
        <w:separator/>
      </w:r>
    </w:p>
  </w:endnote>
  <w:endnote w:type="continuationSeparator" w:id="0">
    <w:p w:rsidR="009845CB" w:rsidRDefault="009845CB" w:rsidP="007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175753"/>
      <w:docPartObj>
        <w:docPartGallery w:val="Page Numbers (Bottom of Page)"/>
        <w:docPartUnique/>
      </w:docPartObj>
    </w:sdtPr>
    <w:sdtEndPr>
      <w:rPr>
        <w:noProof/>
      </w:rPr>
    </w:sdtEndPr>
    <w:sdtContent>
      <w:p w:rsidR="00764BED" w:rsidRDefault="00764BED">
        <w:pPr>
          <w:pStyle w:val="Footer"/>
          <w:jc w:val="center"/>
        </w:pPr>
        <w:r>
          <w:fldChar w:fldCharType="begin"/>
        </w:r>
        <w:r>
          <w:instrText xml:space="preserve"> PAGE   \* MERGEFORMAT </w:instrText>
        </w:r>
        <w:r>
          <w:fldChar w:fldCharType="separate"/>
        </w:r>
        <w:r w:rsidR="006926F0">
          <w:rPr>
            <w:noProof/>
          </w:rPr>
          <w:t>2</w:t>
        </w:r>
        <w:r>
          <w:rPr>
            <w:noProof/>
          </w:rPr>
          <w:fldChar w:fldCharType="end"/>
        </w:r>
      </w:p>
    </w:sdtContent>
  </w:sdt>
  <w:p w:rsidR="00764BED" w:rsidRDefault="00764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CB" w:rsidRDefault="009845CB" w:rsidP="00764BED">
      <w:r>
        <w:separator/>
      </w:r>
    </w:p>
  </w:footnote>
  <w:footnote w:type="continuationSeparator" w:id="0">
    <w:p w:rsidR="009845CB" w:rsidRDefault="009845CB" w:rsidP="007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ED" w:rsidRDefault="00E723FE">
    <w:pPr>
      <w:pStyle w:val="Header"/>
    </w:pPr>
    <w:r>
      <w:tab/>
    </w:r>
    <w:r>
      <w:tab/>
      <w:t>JUDGMENT NO. LC/H/</w:t>
    </w:r>
    <w:r w:rsidR="006926F0">
      <w:t>05</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53053"/>
    <w:multiLevelType w:val="hybridMultilevel"/>
    <w:tmpl w:val="84C613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A615139"/>
    <w:multiLevelType w:val="hybridMultilevel"/>
    <w:tmpl w:val="9FB46BD6"/>
    <w:lvl w:ilvl="0" w:tplc="AA88D8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4D55984"/>
    <w:multiLevelType w:val="hybridMultilevel"/>
    <w:tmpl w:val="1D7EDA36"/>
    <w:lvl w:ilvl="0" w:tplc="3AD8E4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4D3"/>
    <w:rsid w:val="0001686F"/>
    <w:rsid w:val="000316B4"/>
    <w:rsid w:val="000450B8"/>
    <w:rsid w:val="000570FF"/>
    <w:rsid w:val="00064CDF"/>
    <w:rsid w:val="000702DD"/>
    <w:rsid w:val="00070928"/>
    <w:rsid w:val="00086731"/>
    <w:rsid w:val="00086E40"/>
    <w:rsid w:val="000B4886"/>
    <w:rsid w:val="000B6D44"/>
    <w:rsid w:val="000C25BC"/>
    <w:rsid w:val="000E2F53"/>
    <w:rsid w:val="00125821"/>
    <w:rsid w:val="00137855"/>
    <w:rsid w:val="0016294A"/>
    <w:rsid w:val="00164F7A"/>
    <w:rsid w:val="00166EE7"/>
    <w:rsid w:val="0017535B"/>
    <w:rsid w:val="00175AF8"/>
    <w:rsid w:val="00176A59"/>
    <w:rsid w:val="001847E9"/>
    <w:rsid w:val="00191DBC"/>
    <w:rsid w:val="001C211B"/>
    <w:rsid w:val="001D128D"/>
    <w:rsid w:val="001F2B77"/>
    <w:rsid w:val="00214728"/>
    <w:rsid w:val="002245FF"/>
    <w:rsid w:val="002740DF"/>
    <w:rsid w:val="0028533A"/>
    <w:rsid w:val="002A2C38"/>
    <w:rsid w:val="002A5C8B"/>
    <w:rsid w:val="002D4259"/>
    <w:rsid w:val="002D5766"/>
    <w:rsid w:val="002F6DA3"/>
    <w:rsid w:val="00303022"/>
    <w:rsid w:val="003334E5"/>
    <w:rsid w:val="00343204"/>
    <w:rsid w:val="003641D0"/>
    <w:rsid w:val="00397E45"/>
    <w:rsid w:val="003F3A54"/>
    <w:rsid w:val="0040284E"/>
    <w:rsid w:val="00404328"/>
    <w:rsid w:val="004151AA"/>
    <w:rsid w:val="00436A6E"/>
    <w:rsid w:val="004376A8"/>
    <w:rsid w:val="00444398"/>
    <w:rsid w:val="004767F1"/>
    <w:rsid w:val="00483A66"/>
    <w:rsid w:val="004A5643"/>
    <w:rsid w:val="004B6D85"/>
    <w:rsid w:val="004E3F0C"/>
    <w:rsid w:val="004E3F3E"/>
    <w:rsid w:val="004F4672"/>
    <w:rsid w:val="00522A68"/>
    <w:rsid w:val="00524A4D"/>
    <w:rsid w:val="005622F8"/>
    <w:rsid w:val="0057011E"/>
    <w:rsid w:val="005C1C02"/>
    <w:rsid w:val="005C727C"/>
    <w:rsid w:val="005D562C"/>
    <w:rsid w:val="005E4E97"/>
    <w:rsid w:val="005E7BAF"/>
    <w:rsid w:val="006352D3"/>
    <w:rsid w:val="006743A5"/>
    <w:rsid w:val="00681653"/>
    <w:rsid w:val="006926F0"/>
    <w:rsid w:val="00695DB2"/>
    <w:rsid w:val="006A500E"/>
    <w:rsid w:val="006E2433"/>
    <w:rsid w:val="006E3127"/>
    <w:rsid w:val="006F4258"/>
    <w:rsid w:val="00705058"/>
    <w:rsid w:val="00710A29"/>
    <w:rsid w:val="00715A9F"/>
    <w:rsid w:val="00721EC1"/>
    <w:rsid w:val="00764BED"/>
    <w:rsid w:val="007909C4"/>
    <w:rsid w:val="00791F28"/>
    <w:rsid w:val="007B1E11"/>
    <w:rsid w:val="007C121D"/>
    <w:rsid w:val="007E30CD"/>
    <w:rsid w:val="007E573A"/>
    <w:rsid w:val="007F23C9"/>
    <w:rsid w:val="007F6FB1"/>
    <w:rsid w:val="00801FE6"/>
    <w:rsid w:val="00807890"/>
    <w:rsid w:val="00842C0B"/>
    <w:rsid w:val="00863AD9"/>
    <w:rsid w:val="00867B24"/>
    <w:rsid w:val="00873A69"/>
    <w:rsid w:val="00886F48"/>
    <w:rsid w:val="008A1F66"/>
    <w:rsid w:val="008C2948"/>
    <w:rsid w:val="0092645D"/>
    <w:rsid w:val="009307A6"/>
    <w:rsid w:val="00945DBF"/>
    <w:rsid w:val="00963799"/>
    <w:rsid w:val="009845CB"/>
    <w:rsid w:val="00994E20"/>
    <w:rsid w:val="009D37A5"/>
    <w:rsid w:val="009D7418"/>
    <w:rsid w:val="009D76F3"/>
    <w:rsid w:val="00A04A4A"/>
    <w:rsid w:val="00A34AE3"/>
    <w:rsid w:val="00A677D1"/>
    <w:rsid w:val="00A86F76"/>
    <w:rsid w:val="00A90950"/>
    <w:rsid w:val="00AE6DD6"/>
    <w:rsid w:val="00AF4986"/>
    <w:rsid w:val="00AF6658"/>
    <w:rsid w:val="00B25D0D"/>
    <w:rsid w:val="00B26670"/>
    <w:rsid w:val="00B468C1"/>
    <w:rsid w:val="00B6046B"/>
    <w:rsid w:val="00B64CAF"/>
    <w:rsid w:val="00B82E90"/>
    <w:rsid w:val="00B914D3"/>
    <w:rsid w:val="00BB4C14"/>
    <w:rsid w:val="00BC372B"/>
    <w:rsid w:val="00BC4197"/>
    <w:rsid w:val="00BC7534"/>
    <w:rsid w:val="00C36E4F"/>
    <w:rsid w:val="00C61D1B"/>
    <w:rsid w:val="00C708C8"/>
    <w:rsid w:val="00C87789"/>
    <w:rsid w:val="00CC532C"/>
    <w:rsid w:val="00CD1C92"/>
    <w:rsid w:val="00CF7546"/>
    <w:rsid w:val="00D24084"/>
    <w:rsid w:val="00D9055E"/>
    <w:rsid w:val="00D95953"/>
    <w:rsid w:val="00DB06CD"/>
    <w:rsid w:val="00DB6135"/>
    <w:rsid w:val="00DB761B"/>
    <w:rsid w:val="00DF0847"/>
    <w:rsid w:val="00E0662E"/>
    <w:rsid w:val="00E34011"/>
    <w:rsid w:val="00E36DF4"/>
    <w:rsid w:val="00E40E42"/>
    <w:rsid w:val="00E448C4"/>
    <w:rsid w:val="00E63EEA"/>
    <w:rsid w:val="00E723FE"/>
    <w:rsid w:val="00E80530"/>
    <w:rsid w:val="00E916EB"/>
    <w:rsid w:val="00F04B89"/>
    <w:rsid w:val="00F21E35"/>
    <w:rsid w:val="00F54BCC"/>
    <w:rsid w:val="00F92763"/>
    <w:rsid w:val="00FB6577"/>
    <w:rsid w:val="00FE1A4A"/>
    <w:rsid w:val="00FF1969"/>
    <w:rsid w:val="00FF5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4D3"/>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C708C8"/>
    <w:pPr>
      <w:ind w:left="720"/>
      <w:contextualSpacing/>
    </w:pPr>
  </w:style>
  <w:style w:type="paragraph" w:styleId="Header">
    <w:name w:val="header"/>
    <w:basedOn w:val="Normal"/>
    <w:link w:val="HeaderChar"/>
    <w:uiPriority w:val="99"/>
    <w:unhideWhenUsed/>
    <w:rsid w:val="00764BED"/>
    <w:pPr>
      <w:tabs>
        <w:tab w:val="center" w:pos="4513"/>
        <w:tab w:val="right" w:pos="9026"/>
      </w:tabs>
    </w:pPr>
  </w:style>
  <w:style w:type="character" w:customStyle="1" w:styleId="HeaderChar">
    <w:name w:val="Header Char"/>
    <w:basedOn w:val="DefaultParagraphFont"/>
    <w:link w:val="Header"/>
    <w:uiPriority w:val="99"/>
    <w:rsid w:val="00764BED"/>
    <w:rPr>
      <w:rFonts w:ascii="Tahoma" w:eastAsia="Times New Roman" w:hAnsi="Tahoma" w:cs="Times New Roman"/>
      <w:sz w:val="24"/>
      <w:szCs w:val="24"/>
      <w:lang w:val="en-US"/>
    </w:rPr>
  </w:style>
  <w:style w:type="paragraph" w:styleId="Footer">
    <w:name w:val="footer"/>
    <w:basedOn w:val="Normal"/>
    <w:link w:val="FooterChar"/>
    <w:uiPriority w:val="99"/>
    <w:unhideWhenUsed/>
    <w:rsid w:val="00764BED"/>
    <w:pPr>
      <w:tabs>
        <w:tab w:val="center" w:pos="4513"/>
        <w:tab w:val="right" w:pos="9026"/>
      </w:tabs>
    </w:pPr>
  </w:style>
  <w:style w:type="character" w:customStyle="1" w:styleId="FooterChar">
    <w:name w:val="Footer Char"/>
    <w:basedOn w:val="DefaultParagraphFont"/>
    <w:link w:val="Footer"/>
    <w:uiPriority w:val="99"/>
    <w:rsid w:val="00764BE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95DB2"/>
    <w:rPr>
      <w:rFonts w:cs="Tahoma"/>
      <w:sz w:val="16"/>
      <w:szCs w:val="16"/>
    </w:rPr>
  </w:style>
  <w:style w:type="character" w:customStyle="1" w:styleId="BalloonTextChar">
    <w:name w:val="Balloon Text Char"/>
    <w:basedOn w:val="DefaultParagraphFont"/>
    <w:link w:val="BalloonText"/>
    <w:uiPriority w:val="99"/>
    <w:semiHidden/>
    <w:rsid w:val="00695DB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4D3"/>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C708C8"/>
    <w:pPr>
      <w:ind w:left="720"/>
      <w:contextualSpacing/>
    </w:pPr>
  </w:style>
  <w:style w:type="paragraph" w:styleId="Header">
    <w:name w:val="header"/>
    <w:basedOn w:val="Normal"/>
    <w:link w:val="HeaderChar"/>
    <w:uiPriority w:val="99"/>
    <w:unhideWhenUsed/>
    <w:rsid w:val="00764BED"/>
    <w:pPr>
      <w:tabs>
        <w:tab w:val="center" w:pos="4513"/>
        <w:tab w:val="right" w:pos="9026"/>
      </w:tabs>
    </w:pPr>
  </w:style>
  <w:style w:type="character" w:customStyle="1" w:styleId="HeaderChar">
    <w:name w:val="Header Char"/>
    <w:basedOn w:val="DefaultParagraphFont"/>
    <w:link w:val="Header"/>
    <w:uiPriority w:val="99"/>
    <w:rsid w:val="00764BED"/>
    <w:rPr>
      <w:rFonts w:ascii="Tahoma" w:eastAsia="Times New Roman" w:hAnsi="Tahoma" w:cs="Times New Roman"/>
      <w:sz w:val="24"/>
      <w:szCs w:val="24"/>
      <w:lang w:val="en-US"/>
    </w:rPr>
  </w:style>
  <w:style w:type="paragraph" w:styleId="Footer">
    <w:name w:val="footer"/>
    <w:basedOn w:val="Normal"/>
    <w:link w:val="FooterChar"/>
    <w:uiPriority w:val="99"/>
    <w:unhideWhenUsed/>
    <w:rsid w:val="00764BED"/>
    <w:pPr>
      <w:tabs>
        <w:tab w:val="center" w:pos="4513"/>
        <w:tab w:val="right" w:pos="9026"/>
      </w:tabs>
    </w:pPr>
  </w:style>
  <w:style w:type="character" w:customStyle="1" w:styleId="FooterChar">
    <w:name w:val="Footer Char"/>
    <w:basedOn w:val="DefaultParagraphFont"/>
    <w:link w:val="Footer"/>
    <w:uiPriority w:val="99"/>
    <w:rsid w:val="00764BE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95DB2"/>
    <w:rPr>
      <w:rFonts w:cs="Tahoma"/>
      <w:sz w:val="16"/>
      <w:szCs w:val="16"/>
    </w:rPr>
  </w:style>
  <w:style w:type="character" w:customStyle="1" w:styleId="BalloonTextChar">
    <w:name w:val="Balloon Text Char"/>
    <w:basedOn w:val="DefaultParagraphFont"/>
    <w:link w:val="BalloonText"/>
    <w:uiPriority w:val="99"/>
    <w:semiHidden/>
    <w:rsid w:val="00695DB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5DFB-BA7F-4058-8FFE-AC2E318A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53</cp:revision>
  <cp:lastPrinted>2015-12-18T09:37:00Z</cp:lastPrinted>
  <dcterms:created xsi:type="dcterms:W3CDTF">2016-01-04T13:39:00Z</dcterms:created>
  <dcterms:modified xsi:type="dcterms:W3CDTF">2016-01-06T10:13:00Z</dcterms:modified>
</cp:coreProperties>
</file>