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10" w:rsidRDefault="00100481" w:rsidP="00B26910">
      <w:pPr>
        <w:jc w:val="both"/>
      </w:pPr>
      <w:bookmarkStart w:id="0" w:name="_GoBack"/>
      <w:bookmarkEnd w:id="0"/>
      <w:r>
        <w:t>CBZ BANK LIMITED</w:t>
      </w:r>
    </w:p>
    <w:p w:rsidR="00B26910" w:rsidRDefault="00B26910" w:rsidP="00B26910">
      <w:pPr>
        <w:jc w:val="both"/>
      </w:pPr>
      <w:proofErr w:type="gramStart"/>
      <w:r>
        <w:t>versus</w:t>
      </w:r>
      <w:proofErr w:type="gramEnd"/>
    </w:p>
    <w:p w:rsidR="00B26910" w:rsidRDefault="00100481" w:rsidP="00B26910">
      <w:pPr>
        <w:jc w:val="both"/>
      </w:pPr>
      <w:r>
        <w:t>EUNIGOLD TOURS AND SAFARIS</w:t>
      </w:r>
    </w:p>
    <w:p w:rsidR="00B87CE6" w:rsidRDefault="00B87CE6" w:rsidP="00B26910">
      <w:pPr>
        <w:jc w:val="both"/>
      </w:pPr>
      <w:proofErr w:type="gramStart"/>
      <w:r>
        <w:t>and</w:t>
      </w:r>
      <w:proofErr w:type="gramEnd"/>
    </w:p>
    <w:p w:rsidR="00B87CE6" w:rsidRDefault="00B87CE6" w:rsidP="00B26910">
      <w:pPr>
        <w:jc w:val="both"/>
      </w:pPr>
      <w:r>
        <w:t>EUNICE TAMBUDZAI MANGWENDE</w:t>
      </w:r>
    </w:p>
    <w:p w:rsidR="00B87CE6" w:rsidRDefault="00B87CE6" w:rsidP="00B26910">
      <w:pPr>
        <w:jc w:val="both"/>
      </w:pPr>
      <w:proofErr w:type="gramStart"/>
      <w:r>
        <w:t>and</w:t>
      </w:r>
      <w:proofErr w:type="gramEnd"/>
    </w:p>
    <w:p w:rsidR="00B87CE6" w:rsidRDefault="00B87CE6" w:rsidP="00B26910">
      <w:pPr>
        <w:jc w:val="both"/>
      </w:pPr>
      <w:r>
        <w:t>MR KANDODO MANGWENDE</w:t>
      </w:r>
    </w:p>
    <w:p w:rsidR="00B87CE6" w:rsidRDefault="00B87CE6" w:rsidP="00B26910">
      <w:pPr>
        <w:jc w:val="both"/>
      </w:pPr>
    </w:p>
    <w:p w:rsidR="00B26910" w:rsidRDefault="00B26910" w:rsidP="00B26910">
      <w:pPr>
        <w:spacing w:line="360" w:lineRule="auto"/>
        <w:jc w:val="both"/>
      </w:pPr>
    </w:p>
    <w:p w:rsidR="00B26910" w:rsidRDefault="00B26910" w:rsidP="00B26910">
      <w:pPr>
        <w:jc w:val="both"/>
      </w:pPr>
      <w:r>
        <w:t>HIGH COURT OF ZIMBABWE</w:t>
      </w:r>
    </w:p>
    <w:p w:rsidR="00B26910" w:rsidRDefault="00B26910" w:rsidP="00B26910">
      <w:pPr>
        <w:jc w:val="both"/>
      </w:pPr>
      <w:r>
        <w:t>MTSHIYA J</w:t>
      </w:r>
    </w:p>
    <w:p w:rsidR="00B26910" w:rsidRDefault="00B26910" w:rsidP="00B26910">
      <w:pPr>
        <w:jc w:val="both"/>
      </w:pPr>
      <w:r>
        <w:t xml:space="preserve">HARARE, </w:t>
      </w:r>
      <w:r w:rsidR="00E55B66">
        <w:t xml:space="preserve">3 </w:t>
      </w:r>
      <w:r w:rsidR="005A34D5">
        <w:t>October</w:t>
      </w:r>
      <w:r w:rsidR="00E55B66">
        <w:t xml:space="preserve"> </w:t>
      </w:r>
      <w:r w:rsidR="00D35ABD">
        <w:t>2013</w:t>
      </w:r>
      <w:r>
        <w:t xml:space="preserve"> and </w:t>
      </w:r>
      <w:r w:rsidR="00D35ABD">
        <w:t>18 December 2013</w:t>
      </w:r>
    </w:p>
    <w:p w:rsidR="00B26910" w:rsidRPr="003E058A" w:rsidRDefault="00B26910" w:rsidP="00B26910">
      <w:pPr>
        <w:spacing w:line="360" w:lineRule="auto"/>
        <w:jc w:val="both"/>
        <w:rPr>
          <w:b/>
        </w:rPr>
      </w:pPr>
    </w:p>
    <w:p w:rsidR="00100481" w:rsidRPr="003E058A" w:rsidRDefault="003E058A" w:rsidP="00B26910">
      <w:pPr>
        <w:spacing w:line="360" w:lineRule="auto"/>
        <w:jc w:val="both"/>
        <w:rPr>
          <w:b/>
        </w:rPr>
      </w:pPr>
      <w:r w:rsidRPr="003E058A">
        <w:rPr>
          <w:b/>
        </w:rPr>
        <w:t>Opposed matter</w:t>
      </w:r>
    </w:p>
    <w:p w:rsidR="00E55B66" w:rsidRDefault="00E55B66" w:rsidP="00B26910">
      <w:pPr>
        <w:spacing w:line="360" w:lineRule="auto"/>
        <w:jc w:val="both"/>
      </w:pPr>
    </w:p>
    <w:p w:rsidR="00B26910" w:rsidRDefault="0067012E" w:rsidP="00B26910">
      <w:pPr>
        <w:jc w:val="both"/>
      </w:pPr>
      <w:r w:rsidRPr="0067012E">
        <w:rPr>
          <w:i/>
        </w:rPr>
        <w:t>B.</w:t>
      </w:r>
      <w:r w:rsidR="00E55B66" w:rsidRPr="0067012E">
        <w:rPr>
          <w:i/>
        </w:rPr>
        <w:t xml:space="preserve"> </w:t>
      </w:r>
      <w:proofErr w:type="spellStart"/>
      <w:r w:rsidR="00E55B66" w:rsidRPr="0067012E">
        <w:rPr>
          <w:i/>
        </w:rPr>
        <w:t>Mugomeza</w:t>
      </w:r>
      <w:proofErr w:type="spellEnd"/>
      <w:r w:rsidR="00B26910">
        <w:rPr>
          <w:i/>
        </w:rPr>
        <w:t xml:space="preserve">, </w:t>
      </w:r>
      <w:r w:rsidR="00B26910">
        <w:t>for the</w:t>
      </w:r>
      <w:r w:rsidR="00D35ABD">
        <w:t xml:space="preserve"> </w:t>
      </w:r>
      <w:r w:rsidR="00E55B66">
        <w:t>plaintiff</w:t>
      </w:r>
    </w:p>
    <w:p w:rsidR="00B26910" w:rsidRPr="005B57DD" w:rsidRDefault="00E55B66" w:rsidP="00B26910">
      <w:pPr>
        <w:jc w:val="both"/>
      </w:pPr>
      <w:proofErr w:type="spellStart"/>
      <w:r w:rsidRPr="00E55B66">
        <w:t>Ms</w:t>
      </w:r>
      <w:proofErr w:type="spellEnd"/>
      <w:r>
        <w:rPr>
          <w:i/>
        </w:rPr>
        <w:t xml:space="preserve"> Z. </w:t>
      </w:r>
      <w:proofErr w:type="spellStart"/>
      <w:r>
        <w:rPr>
          <w:i/>
        </w:rPr>
        <w:t>Takawira</w:t>
      </w:r>
      <w:proofErr w:type="spellEnd"/>
      <w:r w:rsidR="00B26910">
        <w:rPr>
          <w:i/>
        </w:rPr>
        <w:t xml:space="preserve">, </w:t>
      </w:r>
      <w:r w:rsidR="00B26910">
        <w:t xml:space="preserve">for the </w:t>
      </w:r>
      <w:r>
        <w:t>defendant</w:t>
      </w:r>
    </w:p>
    <w:p w:rsidR="00B26910" w:rsidRDefault="00B26910" w:rsidP="00B26910">
      <w:pPr>
        <w:spacing w:line="360" w:lineRule="auto"/>
        <w:jc w:val="both"/>
      </w:pPr>
    </w:p>
    <w:p w:rsidR="00B26910" w:rsidRDefault="00B26910" w:rsidP="00E55B66">
      <w:pPr>
        <w:spacing w:line="360" w:lineRule="auto"/>
        <w:ind w:firstLine="720"/>
        <w:jc w:val="both"/>
      </w:pPr>
      <w:r>
        <w:t xml:space="preserve">MTSHIYA J: </w:t>
      </w:r>
      <w:r w:rsidR="0071150C">
        <w:t>On 7 November 2012 the respondent (plaintiff in</w:t>
      </w:r>
      <w:r w:rsidR="0037329F">
        <w:t xml:space="preserve"> the</w:t>
      </w:r>
      <w:r w:rsidR="0071150C">
        <w:t xml:space="preserve"> main matter) issued summons against the excipients</w:t>
      </w:r>
      <w:r w:rsidR="00F14B17">
        <w:t xml:space="preserve"> </w:t>
      </w:r>
      <w:r w:rsidR="00CB607E">
        <w:t>(second and third defendants in the main matter).  The respondent</w:t>
      </w:r>
      <w:r w:rsidR="0037329F">
        <w:t>’s</w:t>
      </w:r>
      <w:r w:rsidR="00CB607E">
        <w:t xml:space="preserve"> claim was for:-</w:t>
      </w:r>
    </w:p>
    <w:p w:rsidR="00CB607E" w:rsidRDefault="00CB607E" w:rsidP="00F14B17">
      <w:pPr>
        <w:ind w:left="720"/>
        <w:jc w:val="both"/>
      </w:pPr>
      <w:r>
        <w:t xml:space="preserve">“(a) Payment by all </w:t>
      </w:r>
      <w:r w:rsidR="00F14B17">
        <w:t>defendants jointly</w:t>
      </w:r>
      <w:r>
        <w:t xml:space="preserve"> and severally the one paying the other to be absolved in the sum of US$345 910.53 (Three hundred and forty five thousand nine hundred and ten United States dollars and fifty three cents) with interest at a rate of 36% per annum calculated daily on any daily balance and capitalized monthly from 18</w:t>
      </w:r>
      <w:r w:rsidRPr="00CB607E">
        <w:rPr>
          <w:vertAlign w:val="superscript"/>
        </w:rPr>
        <w:t>th</w:t>
      </w:r>
      <w:r>
        <w:t xml:space="preserve"> October 2012 until the date of issuing of summons.</w:t>
      </w:r>
    </w:p>
    <w:p w:rsidR="00CB607E" w:rsidRDefault="00CB607E" w:rsidP="00F14B17">
      <w:pPr>
        <w:ind w:left="720"/>
        <w:jc w:val="both"/>
      </w:pPr>
      <w:r>
        <w:t>(b) Payment of costs of suit on a legal practitioner and client scale.</w:t>
      </w:r>
    </w:p>
    <w:p w:rsidR="00CB607E" w:rsidRDefault="00CB607E" w:rsidP="00F14B17">
      <w:pPr>
        <w:ind w:left="720"/>
        <w:jc w:val="both"/>
      </w:pPr>
      <w:r>
        <w:t>(c)</w:t>
      </w:r>
      <w:r w:rsidR="00231564">
        <w:t xml:space="preserve"> I</w:t>
      </w:r>
      <w:r>
        <w:t>nterest at a prescribed rate.</w:t>
      </w:r>
    </w:p>
    <w:p w:rsidR="00CB607E" w:rsidRDefault="00CB607E" w:rsidP="00F14B17">
      <w:pPr>
        <w:ind w:left="720"/>
        <w:jc w:val="both"/>
      </w:pPr>
      <w:r>
        <w:tab/>
      </w:r>
      <w:r>
        <w:tab/>
      </w:r>
      <w:r>
        <w:tab/>
        <w:t>Or</w:t>
      </w:r>
    </w:p>
    <w:p w:rsidR="00CB607E" w:rsidRDefault="00CB607E" w:rsidP="00F14B17">
      <w:pPr>
        <w:pStyle w:val="ListParagraph"/>
        <w:numPr>
          <w:ilvl w:val="0"/>
          <w:numId w:val="15"/>
        </w:numPr>
        <w:jc w:val="both"/>
      </w:pPr>
      <w:r>
        <w:t xml:space="preserve">An order </w:t>
      </w:r>
      <w:r w:rsidR="00231564">
        <w:t>declaring</w:t>
      </w:r>
      <w:r>
        <w:t xml:space="preserve"> movable property which is subject of a </w:t>
      </w:r>
      <w:r w:rsidR="00231564">
        <w:t>National</w:t>
      </w:r>
      <w:r>
        <w:t xml:space="preserve"> </w:t>
      </w:r>
      <w:r w:rsidR="00231564">
        <w:t>General</w:t>
      </w:r>
      <w:r>
        <w:t xml:space="preserve"> Covering Bond No. 4123/2011 dated 10</w:t>
      </w:r>
      <w:r w:rsidRPr="00CB607E">
        <w:rPr>
          <w:vertAlign w:val="superscript"/>
        </w:rPr>
        <w:t>th</w:t>
      </w:r>
      <w:r>
        <w:t xml:space="preserve"> June 2011 registered in </w:t>
      </w:r>
      <w:proofErr w:type="spellStart"/>
      <w:r>
        <w:t>favour</w:t>
      </w:r>
      <w:proofErr w:type="spellEnd"/>
      <w:r>
        <w:t xml:space="preserve"> of plaintiff to be executable.</w:t>
      </w:r>
    </w:p>
    <w:p w:rsidR="00CB607E" w:rsidRDefault="00CB607E" w:rsidP="00F14B17">
      <w:pPr>
        <w:pStyle w:val="ListParagraph"/>
        <w:numPr>
          <w:ilvl w:val="0"/>
          <w:numId w:val="15"/>
        </w:numPr>
        <w:jc w:val="both"/>
      </w:pPr>
      <w:r>
        <w:t>Payment of costs of suit on a legal practitioner and client scale.</w:t>
      </w:r>
    </w:p>
    <w:p w:rsidR="00CB607E" w:rsidRDefault="00CB607E" w:rsidP="00F14B17">
      <w:pPr>
        <w:pStyle w:val="ListParagraph"/>
        <w:numPr>
          <w:ilvl w:val="0"/>
          <w:numId w:val="15"/>
        </w:numPr>
        <w:jc w:val="both"/>
      </w:pPr>
      <w:r>
        <w:t>Interest at the prescribed rate</w:t>
      </w:r>
      <w:r w:rsidR="00EF5F5A">
        <w:t>”</w:t>
      </w:r>
    </w:p>
    <w:p w:rsidR="00EF5F5A" w:rsidRDefault="00EF5F5A" w:rsidP="00EF5F5A">
      <w:pPr>
        <w:spacing w:line="360" w:lineRule="auto"/>
        <w:jc w:val="both"/>
      </w:pPr>
    </w:p>
    <w:p w:rsidR="00EF5F5A" w:rsidRDefault="00EF5F5A" w:rsidP="00EF5F5A">
      <w:pPr>
        <w:spacing w:line="360" w:lineRule="auto"/>
        <w:jc w:val="both"/>
      </w:pPr>
      <w:r>
        <w:t xml:space="preserve">In </w:t>
      </w:r>
      <w:proofErr w:type="spellStart"/>
      <w:r>
        <w:t>para</w:t>
      </w:r>
      <w:proofErr w:type="spellEnd"/>
      <w:r>
        <w:t>(s) 4-9 of its declaration</w:t>
      </w:r>
      <w:r w:rsidR="0037329F">
        <w:t>,</w:t>
      </w:r>
      <w:r>
        <w:t xml:space="preserve"> the respondent states as follows:-</w:t>
      </w:r>
    </w:p>
    <w:p w:rsidR="00EF5F5A" w:rsidRDefault="00F14B17" w:rsidP="009F3B90">
      <w:pPr>
        <w:ind w:left="720"/>
        <w:jc w:val="both"/>
      </w:pPr>
      <w:r>
        <w:t>”4. On two (2) different dates, being 9</w:t>
      </w:r>
      <w:r w:rsidRPr="00F14B17">
        <w:rPr>
          <w:vertAlign w:val="superscript"/>
        </w:rPr>
        <w:t>th</w:t>
      </w:r>
      <w:r>
        <w:t xml:space="preserve"> May 2011 and 19</w:t>
      </w:r>
      <w:r w:rsidRPr="00F14B17">
        <w:rPr>
          <w:vertAlign w:val="superscript"/>
        </w:rPr>
        <w:t>th</w:t>
      </w:r>
      <w:r>
        <w:t xml:space="preserve"> October 2011 the plaintiff and the1st defendant (being duly represented by the 2</w:t>
      </w:r>
      <w:r w:rsidRPr="00F14B17">
        <w:rPr>
          <w:vertAlign w:val="superscript"/>
        </w:rPr>
        <w:t>nd</w:t>
      </w:r>
      <w:r>
        <w:t xml:space="preserve"> defendant) entered into two (2) Loan agreements in terms of which the plaintiff lent and advanced to the 1</w:t>
      </w:r>
      <w:r w:rsidRPr="00F14B17">
        <w:rPr>
          <w:vertAlign w:val="superscript"/>
        </w:rPr>
        <w:t>st</w:t>
      </w:r>
      <w:r>
        <w:t xml:space="preserve"> defendant sums of money in total sum of US$487,300-00(Four </w:t>
      </w:r>
      <w:r>
        <w:lastRenderedPageBreak/>
        <w:t xml:space="preserve">hundred and </w:t>
      </w:r>
      <w:r w:rsidR="009F3B90">
        <w:t>eighty</w:t>
      </w:r>
      <w:r>
        <w:t xml:space="preserve"> seven thousand three hundred United States dollars), being loan and overdraft facilities.  The interest accruing on the said loans would be payable on a monthly basis.</w:t>
      </w:r>
    </w:p>
    <w:p w:rsidR="00F14B17" w:rsidRDefault="00F14B17" w:rsidP="009F3B90">
      <w:pPr>
        <w:ind w:left="720"/>
        <w:jc w:val="both"/>
      </w:pPr>
      <w:r>
        <w:t xml:space="preserve">5. </w:t>
      </w:r>
      <w:proofErr w:type="gramStart"/>
      <w:r>
        <w:t>it</w:t>
      </w:r>
      <w:proofErr w:type="gramEnd"/>
      <w:r>
        <w:t xml:space="preserve"> was a term of the Parties agreement</w:t>
      </w:r>
      <w:r w:rsidR="009F3B90">
        <w:t xml:space="preserve"> </w:t>
      </w:r>
      <w:r>
        <w:t>that the following interest rates were</w:t>
      </w:r>
      <w:r w:rsidR="009F3B90">
        <w:t xml:space="preserve"> </w:t>
      </w:r>
      <w:r>
        <w:t>to be originally charged on the two (2) loan facilities.</w:t>
      </w:r>
    </w:p>
    <w:p w:rsidR="00F14B17" w:rsidRDefault="00F14B17" w:rsidP="009F3B90">
      <w:pPr>
        <w:ind w:left="720"/>
        <w:jc w:val="both"/>
      </w:pPr>
      <w:r>
        <w:tab/>
        <w:t>5.1 9</w:t>
      </w:r>
      <w:r w:rsidRPr="00F14B17">
        <w:rPr>
          <w:vertAlign w:val="superscript"/>
        </w:rPr>
        <w:t>th</w:t>
      </w:r>
      <w:r>
        <w:t xml:space="preserve"> May 2011- interest at a rate of 11% per annum</w:t>
      </w:r>
    </w:p>
    <w:p w:rsidR="00F14B17" w:rsidRDefault="00F14B17" w:rsidP="009F3B90">
      <w:pPr>
        <w:ind w:left="720"/>
        <w:jc w:val="both"/>
      </w:pPr>
      <w:r>
        <w:tab/>
        <w:t>5.2 19</w:t>
      </w:r>
      <w:r w:rsidRPr="00F14B17">
        <w:rPr>
          <w:vertAlign w:val="superscript"/>
        </w:rPr>
        <w:t>th</w:t>
      </w:r>
      <w:r>
        <w:t xml:space="preserve"> October 2011 – interest at the rate of 14 % per annum</w:t>
      </w:r>
    </w:p>
    <w:p w:rsidR="00F14B17" w:rsidRDefault="00F14B17" w:rsidP="009F3B90">
      <w:pPr>
        <w:ind w:left="720"/>
        <w:jc w:val="both"/>
      </w:pPr>
      <w:r>
        <w:t>6. Sometime in May 2011, the 2</w:t>
      </w:r>
      <w:r w:rsidRPr="00F14B17">
        <w:rPr>
          <w:vertAlign w:val="superscript"/>
        </w:rPr>
        <w:t>nd</w:t>
      </w:r>
      <w:r>
        <w:t xml:space="preserve"> and 3</w:t>
      </w:r>
      <w:r w:rsidRPr="00F14B17">
        <w:rPr>
          <w:vertAlign w:val="superscript"/>
        </w:rPr>
        <w:t>rd</w:t>
      </w:r>
      <w:r>
        <w:t xml:space="preserve"> defendants issued an </w:t>
      </w:r>
      <w:r w:rsidR="009F3B90">
        <w:t>unlimited</w:t>
      </w:r>
      <w:r>
        <w:t xml:space="preserve"> guarantee in </w:t>
      </w:r>
      <w:proofErr w:type="spellStart"/>
      <w:r>
        <w:t>favour</w:t>
      </w:r>
      <w:proofErr w:type="spellEnd"/>
      <w:r>
        <w:t xml:space="preserve"> of the plaintiff with regards to the financial obligations in terms of the loan agreements, wherein they bound themselves jointly and severally liable as sureties and co-principal debtors to any amount owing on the loans lent and advanced to the 1</w:t>
      </w:r>
      <w:r w:rsidRPr="00F14B17">
        <w:rPr>
          <w:vertAlign w:val="superscript"/>
        </w:rPr>
        <w:t>st</w:t>
      </w:r>
      <w:r>
        <w:t xml:space="preserve"> defendant.</w:t>
      </w:r>
    </w:p>
    <w:p w:rsidR="00F14B17" w:rsidRDefault="00F14B17" w:rsidP="009F3B90">
      <w:pPr>
        <w:ind w:left="720"/>
        <w:jc w:val="both"/>
      </w:pPr>
      <w:r>
        <w:t>7. In pursuance of the abovementioned sum of money lent and advanced to the 1</w:t>
      </w:r>
      <w:r w:rsidRPr="00F14B17">
        <w:rPr>
          <w:vertAlign w:val="superscript"/>
        </w:rPr>
        <w:t>st</w:t>
      </w:r>
      <w:r>
        <w:t xml:space="preserve"> defendant the 2</w:t>
      </w:r>
      <w:r w:rsidRPr="00F14B17">
        <w:rPr>
          <w:vertAlign w:val="superscript"/>
        </w:rPr>
        <w:t>nd</w:t>
      </w:r>
      <w:r>
        <w:t xml:space="preserve"> </w:t>
      </w:r>
      <w:r w:rsidR="009F3B90">
        <w:t>defendant</w:t>
      </w:r>
      <w:r>
        <w:t xml:space="preserve"> resolved to pass a Notarial </w:t>
      </w:r>
      <w:r w:rsidR="009F3B90">
        <w:t>General</w:t>
      </w:r>
      <w:r>
        <w:t xml:space="preserve"> Covering Bond No. 4123/2011 in the Office of the Registrar of Deeds at Harare on 10</w:t>
      </w:r>
      <w:r w:rsidRPr="00F14B17">
        <w:rPr>
          <w:vertAlign w:val="superscript"/>
        </w:rPr>
        <w:t>th</w:t>
      </w:r>
      <w:r>
        <w:t xml:space="preserve"> June 2011.</w:t>
      </w:r>
    </w:p>
    <w:p w:rsidR="00F14B17" w:rsidRDefault="00330AE6" w:rsidP="009F3B90">
      <w:pPr>
        <w:ind w:left="720"/>
        <w:jc w:val="both"/>
      </w:pPr>
      <w:r>
        <w:t>8. The plaintiff was empowered by the said agreements to give notice of any alteration in the rate of interest and thereafter was entitled to charge such other interest rate.</w:t>
      </w:r>
    </w:p>
    <w:p w:rsidR="009F3B90" w:rsidRDefault="00330AE6" w:rsidP="003E058A">
      <w:pPr>
        <w:ind w:left="720"/>
        <w:jc w:val="both"/>
      </w:pPr>
      <w:r>
        <w:t xml:space="preserve">9. </w:t>
      </w:r>
      <w:r w:rsidR="009F3B90">
        <w:t>Subsequently</w:t>
      </w:r>
      <w:r>
        <w:t xml:space="preserve">, </w:t>
      </w:r>
      <w:r w:rsidR="009F3B90">
        <w:t>through</w:t>
      </w:r>
      <w:r>
        <w:t xml:space="preserve"> the subs</w:t>
      </w:r>
      <w:r w:rsidR="009F3B90">
        <w:t>is</w:t>
      </w:r>
      <w:r>
        <w:t>t</w:t>
      </w:r>
      <w:r w:rsidR="009F3B90">
        <w:t>ence of the Loan Overdraft agreement, the 1</w:t>
      </w:r>
      <w:r w:rsidR="009F3B90" w:rsidRPr="009F3B90">
        <w:rPr>
          <w:vertAlign w:val="superscript"/>
        </w:rPr>
        <w:t>st</w:t>
      </w:r>
      <w:r w:rsidR="009F3B90">
        <w:t xml:space="preserve"> defendant made various transactions in terms of withdrawals, accruing interest, administration fees, insurance premiums, stamp duty, service charges and </w:t>
      </w:r>
      <w:proofErr w:type="spellStart"/>
      <w:r w:rsidR="009F3B90">
        <w:t>unserviced</w:t>
      </w:r>
      <w:proofErr w:type="spellEnd"/>
      <w:r w:rsidR="009F3B90">
        <w:t xml:space="preserve"> monthly charges. The aforementioned withdrawals were not matched with deposits into the Bank Account to service the debt outstanding.  In that respect the balance on the account has continued to increase, thus presently, attracts the total sum of US$345 910.53 (Three hundred and forty five thousand nine hundred and ten United States dollars and fifty three cents)”</w:t>
      </w:r>
    </w:p>
    <w:p w:rsidR="003E058A" w:rsidRDefault="003E058A" w:rsidP="003E058A">
      <w:pPr>
        <w:ind w:left="720"/>
        <w:jc w:val="both"/>
      </w:pPr>
    </w:p>
    <w:p w:rsidR="009F3B90" w:rsidRDefault="009F3B90" w:rsidP="009F3B90">
      <w:pPr>
        <w:spacing w:line="360" w:lineRule="auto"/>
        <w:ind w:firstLine="720"/>
        <w:jc w:val="both"/>
      </w:pPr>
      <w:r>
        <w:t>The summons was served on the excipients who</w:t>
      </w:r>
      <w:r w:rsidR="0037329F">
        <w:t xml:space="preserve"> did not deny the loan advances to first defendant</w:t>
      </w:r>
      <w:r w:rsidR="0067012E">
        <w:t xml:space="preserve"> but</w:t>
      </w:r>
      <w:r>
        <w:t xml:space="preserve"> responded by filing an exception in the following terms.</w:t>
      </w:r>
    </w:p>
    <w:p w:rsidR="009F3B90" w:rsidRDefault="009F3B90" w:rsidP="002F072E">
      <w:pPr>
        <w:ind w:left="720"/>
        <w:jc w:val="both"/>
      </w:pPr>
      <w:r>
        <w:t>“1. There is no cause of action disclosed against 1</w:t>
      </w:r>
      <w:r w:rsidRPr="009F3B90">
        <w:rPr>
          <w:vertAlign w:val="superscript"/>
        </w:rPr>
        <w:t>st</w:t>
      </w:r>
      <w:r>
        <w:t xml:space="preserve"> and 2</w:t>
      </w:r>
      <w:r w:rsidRPr="009F3B90">
        <w:rPr>
          <w:vertAlign w:val="superscript"/>
        </w:rPr>
        <w:t>nd</w:t>
      </w:r>
      <w:r>
        <w:t xml:space="preserve"> excipients as they did not sign any</w:t>
      </w:r>
      <w:r w:rsidR="005C37F5">
        <w:t xml:space="preserve"> </w:t>
      </w:r>
      <w:r>
        <w:t xml:space="preserve">unlimited guarantees in </w:t>
      </w:r>
      <w:proofErr w:type="spellStart"/>
      <w:r>
        <w:t>favour</w:t>
      </w:r>
      <w:proofErr w:type="spellEnd"/>
      <w:r>
        <w:t xml:space="preserve"> of respondent binding themselves as sure</w:t>
      </w:r>
      <w:r w:rsidR="005C37F5">
        <w:t xml:space="preserve">ties and co-principal debtors with </w:t>
      </w:r>
      <w:proofErr w:type="spellStart"/>
      <w:r w:rsidR="005C37F5">
        <w:t>Eugniod</w:t>
      </w:r>
      <w:proofErr w:type="spellEnd"/>
      <w:r w:rsidR="005C37F5">
        <w:t xml:space="preserve"> Tours and Safaris ( Private) Limited for any sums due to the respondent.</w:t>
      </w:r>
    </w:p>
    <w:p w:rsidR="005C37F5" w:rsidRDefault="005C37F5" w:rsidP="002F072E">
      <w:pPr>
        <w:ind w:left="720"/>
        <w:jc w:val="both"/>
      </w:pPr>
      <w:r>
        <w:t>2. 1</w:t>
      </w:r>
      <w:r w:rsidRPr="005C37F5">
        <w:rPr>
          <w:vertAlign w:val="superscript"/>
        </w:rPr>
        <w:t>st</w:t>
      </w:r>
      <w:r>
        <w:t xml:space="preserve"> and 2</w:t>
      </w:r>
      <w:r w:rsidRPr="005C37F5">
        <w:rPr>
          <w:vertAlign w:val="superscript"/>
        </w:rPr>
        <w:t>nd</w:t>
      </w:r>
      <w:r w:rsidR="003E058A">
        <w:t xml:space="preserve"> exci</w:t>
      </w:r>
      <w:r>
        <w:t xml:space="preserve">pients are only directors of </w:t>
      </w:r>
      <w:proofErr w:type="spellStart"/>
      <w:r>
        <w:t>Eunigod</w:t>
      </w:r>
      <w:proofErr w:type="spellEnd"/>
      <w:r>
        <w:t xml:space="preserve"> Tours and Safaris (Private) Limited and they cannot </w:t>
      </w:r>
      <w:proofErr w:type="spellStart"/>
      <w:r>
        <w:t>de</w:t>
      </w:r>
      <w:proofErr w:type="spellEnd"/>
      <w:r>
        <w:t xml:space="preserve"> held liable for its debts, neither can they be sued for any debts owed by </w:t>
      </w:r>
      <w:proofErr w:type="spellStart"/>
      <w:r>
        <w:t>Eunigod</w:t>
      </w:r>
      <w:proofErr w:type="spellEnd"/>
      <w:r>
        <w:t xml:space="preserve"> Tours and Safaris (Private) Limited.</w:t>
      </w:r>
    </w:p>
    <w:p w:rsidR="005C37F5" w:rsidRDefault="003E058A" w:rsidP="002F072E">
      <w:pPr>
        <w:ind w:left="720"/>
        <w:jc w:val="both"/>
      </w:pPr>
      <w:r>
        <w:t>Wherefore the exci</w:t>
      </w:r>
      <w:r w:rsidR="005C37F5">
        <w:t xml:space="preserve">pients pray the exception </w:t>
      </w:r>
      <w:proofErr w:type="gramStart"/>
      <w:r w:rsidR="005C37F5">
        <w:t>be</w:t>
      </w:r>
      <w:proofErr w:type="gramEnd"/>
      <w:r w:rsidR="005C37F5">
        <w:t xml:space="preserve"> upheld and the claim against them be dismissed with costs on a legal practitioner and client scale.”</w:t>
      </w:r>
    </w:p>
    <w:p w:rsidR="002F072E" w:rsidRDefault="002F072E" w:rsidP="002F072E">
      <w:pPr>
        <w:ind w:left="720"/>
        <w:jc w:val="both"/>
      </w:pPr>
    </w:p>
    <w:p w:rsidR="005C37F5" w:rsidRDefault="003E0CD4" w:rsidP="002F072E">
      <w:pPr>
        <w:spacing w:line="360" w:lineRule="auto"/>
        <w:ind w:firstLine="720"/>
        <w:jc w:val="both"/>
      </w:pPr>
      <w:r>
        <w:t>As I have already indicated, there</w:t>
      </w:r>
      <w:r w:rsidR="005C37F5">
        <w:t xml:space="preserve"> is no denial that</w:t>
      </w:r>
      <w:r w:rsidR="0067012E">
        <w:t>,</w:t>
      </w:r>
      <w:r w:rsidR="005C37F5">
        <w:t xml:space="preserve"> following the signing </w:t>
      </w:r>
      <w:r w:rsidR="002F072E">
        <w:t>of the Loan Agreement</w:t>
      </w:r>
      <w:r>
        <w:t>s, t</w:t>
      </w:r>
      <w:r w:rsidR="002F072E">
        <w:t xml:space="preserve">he respondent advanced funds to </w:t>
      </w:r>
      <w:proofErr w:type="spellStart"/>
      <w:r w:rsidR="002F072E">
        <w:t>Eunigod</w:t>
      </w:r>
      <w:proofErr w:type="spellEnd"/>
      <w:r w:rsidR="002F072E">
        <w:t xml:space="preserve"> Tours and Safaris (</w:t>
      </w:r>
      <w:proofErr w:type="spellStart"/>
      <w:r w:rsidR="002F072E">
        <w:t>Pvt</w:t>
      </w:r>
      <w:proofErr w:type="spellEnd"/>
      <w:r w:rsidR="002F072E">
        <w:t>) Limited (</w:t>
      </w:r>
      <w:proofErr w:type="spellStart"/>
      <w:r w:rsidR="002F072E">
        <w:t>Eunigod</w:t>
      </w:r>
      <w:proofErr w:type="spellEnd"/>
      <w:r w:rsidR="002F072E">
        <w:t>) (the first defendant in the main matter).</w:t>
      </w:r>
    </w:p>
    <w:p w:rsidR="002F072E" w:rsidRDefault="002F072E" w:rsidP="002F072E">
      <w:pPr>
        <w:tabs>
          <w:tab w:val="left" w:pos="630"/>
        </w:tabs>
        <w:spacing w:line="360" w:lineRule="auto"/>
        <w:ind w:firstLine="720"/>
        <w:jc w:val="both"/>
      </w:pPr>
      <w:r>
        <w:lastRenderedPageBreak/>
        <w:t>The main reason for the exception is that the exc</w:t>
      </w:r>
      <w:r w:rsidR="003E058A">
        <w:t>i</w:t>
      </w:r>
      <w:r>
        <w:t>pients did not sign the guarantees as provided for in the Loan Agreement</w:t>
      </w:r>
      <w:r w:rsidR="003E0CD4">
        <w:t>s</w:t>
      </w:r>
      <w:r>
        <w:t>.</w:t>
      </w:r>
    </w:p>
    <w:p w:rsidR="002F072E" w:rsidRDefault="002F072E" w:rsidP="002F072E">
      <w:pPr>
        <w:tabs>
          <w:tab w:val="left" w:pos="630"/>
        </w:tabs>
        <w:spacing w:line="360" w:lineRule="auto"/>
        <w:ind w:firstLine="720"/>
        <w:jc w:val="both"/>
      </w:pPr>
      <w:r>
        <w:t xml:space="preserve">Let me start by accepting that </w:t>
      </w:r>
      <w:proofErr w:type="spellStart"/>
      <w:r>
        <w:t>Eunigod</w:t>
      </w:r>
      <w:proofErr w:type="spellEnd"/>
      <w:r>
        <w:t xml:space="preserve"> has a separate legal identity from the</w:t>
      </w:r>
      <w:r w:rsidR="00672089">
        <w:t xml:space="preserve"> </w:t>
      </w:r>
      <w:r w:rsidR="00A8271E">
        <w:t>excipients who are</w:t>
      </w:r>
      <w:r w:rsidR="003E0CD4">
        <w:t xml:space="preserve"> only</w:t>
      </w:r>
      <w:r w:rsidR="00A8271E">
        <w:t xml:space="preserve"> its shareholders.  However, every corporate entity speaks through its agents</w:t>
      </w:r>
      <w:r w:rsidR="003E0CD4">
        <w:t>,</w:t>
      </w:r>
      <w:r w:rsidR="00A8271E">
        <w:t xml:space="preserve"> who</w:t>
      </w:r>
      <w:r w:rsidR="003E0CD4">
        <w:t>,</w:t>
      </w:r>
      <w:r w:rsidR="00A8271E">
        <w:t xml:space="preserve"> </w:t>
      </w:r>
      <w:r w:rsidR="00A8271E" w:rsidRPr="00147978">
        <w:rPr>
          <w:i/>
        </w:rPr>
        <w:t xml:space="preserve">in </w:t>
      </w:r>
      <w:proofErr w:type="spellStart"/>
      <w:r w:rsidR="00A8271E" w:rsidRPr="00147978">
        <w:rPr>
          <w:i/>
        </w:rPr>
        <w:t>casu</w:t>
      </w:r>
      <w:proofErr w:type="spellEnd"/>
      <w:r w:rsidR="003E0CD4">
        <w:rPr>
          <w:i/>
        </w:rPr>
        <w:t>,</w:t>
      </w:r>
      <w:r w:rsidR="00A8271E">
        <w:t xml:space="preserve"> </w:t>
      </w:r>
      <w:r w:rsidR="003E058A">
        <w:t>are the exci</w:t>
      </w:r>
      <w:r w:rsidR="00147978">
        <w:t>pients</w:t>
      </w:r>
      <w:r w:rsidR="003E0CD4">
        <w:t>,</w:t>
      </w:r>
      <w:r w:rsidR="00147978">
        <w:t xml:space="preserve"> particularly the first exc</w:t>
      </w:r>
      <w:r w:rsidR="003E058A">
        <w:t>i</w:t>
      </w:r>
      <w:r w:rsidR="003E0CD4">
        <w:t>pient</w:t>
      </w:r>
      <w:r w:rsidR="00147978">
        <w:t xml:space="preserve"> who executed all the documents relating to the financial transactions between </w:t>
      </w:r>
      <w:proofErr w:type="spellStart"/>
      <w:r w:rsidR="00147978">
        <w:t>Eunigod</w:t>
      </w:r>
      <w:proofErr w:type="spellEnd"/>
      <w:r w:rsidR="00147978">
        <w:t xml:space="preserve"> and the respondent.</w:t>
      </w:r>
    </w:p>
    <w:p w:rsidR="00147978" w:rsidRDefault="00147978" w:rsidP="002F072E">
      <w:pPr>
        <w:tabs>
          <w:tab w:val="left" w:pos="630"/>
        </w:tabs>
        <w:spacing w:line="360" w:lineRule="auto"/>
        <w:ind w:firstLine="720"/>
        <w:jc w:val="both"/>
      </w:pPr>
      <w:r>
        <w:t>On</w:t>
      </w:r>
      <w:r w:rsidR="003E058A">
        <w:t xml:space="preserve"> 21 November 2012 the first exci</w:t>
      </w:r>
      <w:r>
        <w:t xml:space="preserve">pient, as agent of the </w:t>
      </w:r>
      <w:proofErr w:type="spellStart"/>
      <w:r>
        <w:t>Eunigod</w:t>
      </w:r>
      <w:proofErr w:type="spellEnd"/>
      <w:r>
        <w:t>, was able to write to the respondent’s legal practitioners in the following terms:-</w:t>
      </w:r>
    </w:p>
    <w:p w:rsidR="00FD7A76" w:rsidRDefault="00FD7A76" w:rsidP="00A6518D">
      <w:pPr>
        <w:tabs>
          <w:tab w:val="left" w:pos="630"/>
        </w:tabs>
        <w:ind w:left="720"/>
        <w:jc w:val="both"/>
        <w:rPr>
          <w:b/>
        </w:rPr>
      </w:pPr>
      <w:r>
        <w:t>“</w:t>
      </w:r>
      <w:r w:rsidRPr="0050331D">
        <w:rPr>
          <w:b/>
        </w:rPr>
        <w:t xml:space="preserve">CBZ BANK LIMITED TOURS AND SAFARIS AND 2 OTHERS CASE </w:t>
      </w:r>
      <w:proofErr w:type="gramStart"/>
      <w:r w:rsidRPr="0050331D">
        <w:rPr>
          <w:b/>
        </w:rPr>
        <w:t>NUMBER  13074</w:t>
      </w:r>
      <w:proofErr w:type="gramEnd"/>
      <w:r w:rsidRPr="0050331D">
        <w:rPr>
          <w:b/>
        </w:rPr>
        <w:t>/12</w:t>
      </w:r>
    </w:p>
    <w:p w:rsidR="0050331D" w:rsidRPr="0050331D" w:rsidRDefault="0050331D" w:rsidP="00A6518D">
      <w:pPr>
        <w:tabs>
          <w:tab w:val="left" w:pos="630"/>
        </w:tabs>
        <w:ind w:left="720"/>
        <w:jc w:val="both"/>
        <w:rPr>
          <w:b/>
        </w:rPr>
      </w:pPr>
      <w:r>
        <w:rPr>
          <w:b/>
        </w:rPr>
        <w:t>________________________________________________________________</w:t>
      </w:r>
    </w:p>
    <w:p w:rsidR="00FD7A76" w:rsidRDefault="00FD7A76" w:rsidP="00A6518D">
      <w:pPr>
        <w:tabs>
          <w:tab w:val="left" w:pos="630"/>
        </w:tabs>
        <w:ind w:firstLine="720"/>
        <w:jc w:val="both"/>
      </w:pPr>
      <w:r>
        <w:t>We refer to the above matter and acknowledge receipt of the above summons.</w:t>
      </w:r>
    </w:p>
    <w:p w:rsidR="00A6518D" w:rsidRDefault="00A6518D" w:rsidP="00A6518D">
      <w:pPr>
        <w:tabs>
          <w:tab w:val="left" w:pos="630"/>
        </w:tabs>
        <w:ind w:left="630" w:firstLine="90"/>
        <w:jc w:val="both"/>
      </w:pPr>
    </w:p>
    <w:p w:rsidR="00FD7A76" w:rsidRDefault="00FD7A76" w:rsidP="00A6518D">
      <w:pPr>
        <w:tabs>
          <w:tab w:val="left" w:pos="630"/>
        </w:tabs>
        <w:ind w:left="630" w:firstLine="90"/>
        <w:jc w:val="both"/>
      </w:pPr>
      <w:r>
        <w:t xml:space="preserve">The amount which is claimed in the summons arose out of a loan and overdraft facility which was extended to </w:t>
      </w:r>
      <w:proofErr w:type="spellStart"/>
      <w:r>
        <w:t>Eunigod</w:t>
      </w:r>
      <w:proofErr w:type="spellEnd"/>
      <w:r>
        <w:t xml:space="preserve"> Tours and Safaris (Private</w:t>
      </w:r>
      <w:r w:rsidR="00345146">
        <w:t>)</w:t>
      </w:r>
      <w:r>
        <w:t xml:space="preserve"> Limited around April 20</w:t>
      </w:r>
      <w:r w:rsidR="00345146">
        <w:t xml:space="preserve">11.  The purpose for which the loan was applied for was to finance the construction of a private school in </w:t>
      </w:r>
      <w:proofErr w:type="spellStart"/>
      <w:r w:rsidR="00345146">
        <w:t>Mutare</w:t>
      </w:r>
      <w:proofErr w:type="spellEnd"/>
      <w:r w:rsidR="00345146">
        <w:t xml:space="preserve">.  The approval process which was being done by the relevant authorities took longer than anticipated.  Be that as it </w:t>
      </w:r>
      <w:r w:rsidR="0050331D">
        <w:t>may, we managed to purchase the land on which the school is to be built and the size of the land is 26 acres.  The school investor’s financial year begins 1</w:t>
      </w:r>
      <w:r w:rsidR="0050331D" w:rsidRPr="0050331D">
        <w:rPr>
          <w:vertAlign w:val="superscript"/>
        </w:rPr>
        <w:t>st</w:t>
      </w:r>
      <w:r w:rsidR="0050331D">
        <w:t xml:space="preserve"> June 2003 and funds will only be </w:t>
      </w:r>
      <w:r w:rsidR="00FC7EA8">
        <w:t>released</w:t>
      </w:r>
      <w:r w:rsidR="0050331D">
        <w:t xml:space="preserve"> thereafter and </w:t>
      </w:r>
      <w:r w:rsidR="00FC7EA8">
        <w:t>also</w:t>
      </w:r>
      <w:r w:rsidR="0050331D">
        <w:t xml:space="preserve"> upon sight of the school plan.</w:t>
      </w:r>
    </w:p>
    <w:p w:rsidR="00A6518D" w:rsidRDefault="00A6518D" w:rsidP="00A6518D">
      <w:pPr>
        <w:tabs>
          <w:tab w:val="left" w:pos="630"/>
        </w:tabs>
        <w:ind w:left="630" w:firstLine="90"/>
        <w:jc w:val="both"/>
      </w:pPr>
    </w:p>
    <w:p w:rsidR="0050331D" w:rsidRDefault="0050331D" w:rsidP="00A6518D">
      <w:pPr>
        <w:tabs>
          <w:tab w:val="left" w:pos="630"/>
        </w:tabs>
        <w:ind w:left="630" w:firstLine="90"/>
        <w:jc w:val="both"/>
      </w:pPr>
      <w:r>
        <w:t xml:space="preserve">It is therefore our proposal that we be given time up to end of June 2013 to pay the amount being claimed as by then we are confident that funds will have been </w:t>
      </w:r>
      <w:r w:rsidR="00FC7EA8">
        <w:t>release</w:t>
      </w:r>
      <w:r w:rsidR="003E0CD4">
        <w:t>d</w:t>
      </w:r>
      <w:r>
        <w:t xml:space="preserve"> by the school investor.  It is noteworthy that this is a gigantic project which will include exchange </w:t>
      </w:r>
      <w:r w:rsidR="00FC7EA8">
        <w:t>programs</w:t>
      </w:r>
      <w:r>
        <w:t>.</w:t>
      </w:r>
    </w:p>
    <w:p w:rsidR="00A6518D" w:rsidRDefault="00A6518D" w:rsidP="00A6518D">
      <w:pPr>
        <w:tabs>
          <w:tab w:val="left" w:pos="630"/>
        </w:tabs>
        <w:ind w:left="630" w:firstLine="90"/>
        <w:jc w:val="both"/>
      </w:pPr>
    </w:p>
    <w:p w:rsidR="0050331D" w:rsidRDefault="0050331D" w:rsidP="00A6518D">
      <w:pPr>
        <w:tabs>
          <w:tab w:val="left" w:pos="630"/>
        </w:tabs>
        <w:ind w:left="630" w:firstLine="90"/>
        <w:jc w:val="both"/>
      </w:pPr>
      <w:r>
        <w:t>Taking into the value of the project</w:t>
      </w:r>
      <w:r w:rsidR="003E0CD4">
        <w:t xml:space="preserve"> (sic)</w:t>
      </w:r>
      <w:r>
        <w:t>, CBZ Bank can take up a stake in the project in lieu of a loan payment by us.</w:t>
      </w:r>
    </w:p>
    <w:p w:rsidR="00A6518D" w:rsidRDefault="00A6518D" w:rsidP="00A6518D">
      <w:pPr>
        <w:tabs>
          <w:tab w:val="left" w:pos="630"/>
        </w:tabs>
        <w:ind w:left="630" w:firstLine="90"/>
        <w:jc w:val="both"/>
      </w:pPr>
    </w:p>
    <w:p w:rsidR="0050331D" w:rsidRDefault="0050331D" w:rsidP="00A6518D">
      <w:pPr>
        <w:tabs>
          <w:tab w:val="left" w:pos="630"/>
        </w:tabs>
        <w:ind w:left="630" w:firstLine="90"/>
        <w:jc w:val="both"/>
      </w:pPr>
      <w:r>
        <w:t xml:space="preserve">Further, a company to which the writer is both a shareholder and director, Global King and </w:t>
      </w:r>
      <w:proofErr w:type="spellStart"/>
      <w:r>
        <w:t>Jewellery</w:t>
      </w:r>
      <w:proofErr w:type="spellEnd"/>
      <w:r>
        <w:t xml:space="preserve"> (Private) Limited has 22 new ten </w:t>
      </w:r>
      <w:proofErr w:type="spellStart"/>
      <w:r>
        <w:t>to</w:t>
      </w:r>
      <w:r w:rsidR="00FC7EA8">
        <w:t>n</w:t>
      </w:r>
      <w:r>
        <w:t>ne</w:t>
      </w:r>
      <w:proofErr w:type="spellEnd"/>
      <w:r>
        <w:t xml:space="preserve"> rigid trucks, 13 new 30 </w:t>
      </w:r>
      <w:proofErr w:type="spellStart"/>
      <w:r w:rsidR="00FC7EA8">
        <w:t>tonne</w:t>
      </w:r>
      <w:proofErr w:type="spellEnd"/>
      <w:r>
        <w:t xml:space="preserve"> horses and new trailers which combined value is about seven million United </w:t>
      </w:r>
      <w:r w:rsidR="00FC7EA8">
        <w:t>States</w:t>
      </w:r>
      <w:r>
        <w:t xml:space="preserve"> American dollars ($7,000,000-00).  The trucks and trailers are currently held by ZIMRA pending payment of duty.  The total </w:t>
      </w:r>
      <w:r w:rsidR="00FC7EA8">
        <w:t>amount</w:t>
      </w:r>
      <w:r>
        <w:t xml:space="preserve"> payable is four hundred and seventy nine thousand </w:t>
      </w:r>
      <w:r w:rsidR="002D139A">
        <w:t>three hundred and seventy on United States dollars strictly four cents (US$479,371.64).  W</w:t>
      </w:r>
      <w:r w:rsidR="00FC7EA8">
        <w:t>e</w:t>
      </w:r>
      <w:r w:rsidR="002D139A">
        <w:t xml:space="preserve"> have the following proposals in this regard;</w:t>
      </w:r>
    </w:p>
    <w:p w:rsidR="00E328BA" w:rsidRDefault="00E328BA" w:rsidP="00A6518D">
      <w:pPr>
        <w:pStyle w:val="ListParagraph"/>
        <w:numPr>
          <w:ilvl w:val="0"/>
          <w:numId w:val="16"/>
        </w:numPr>
        <w:tabs>
          <w:tab w:val="left" w:pos="630"/>
        </w:tabs>
        <w:jc w:val="both"/>
      </w:pPr>
      <w:r>
        <w:t xml:space="preserve">We have made </w:t>
      </w:r>
      <w:r w:rsidR="003E0CD4">
        <w:t xml:space="preserve">inroads </w:t>
      </w:r>
      <w:r>
        <w:t xml:space="preserve">in relation to the sale of the abovementioned vehicles.  The Zimbabwe </w:t>
      </w:r>
      <w:proofErr w:type="spellStart"/>
      <w:r>
        <w:t>Defence</w:t>
      </w:r>
      <w:proofErr w:type="spellEnd"/>
      <w:r>
        <w:t xml:space="preserve"> Forces has </w:t>
      </w:r>
      <w:r>
        <w:lastRenderedPageBreak/>
        <w:t>approved the purchase of the trucks.  We had anticipated that by now we could have received payment.  However, doe to bureaucracy obtaining in government departments we are yet to receive payment.  We are pursuing the issue of payment and once it is done, payment will be made directly into an account with CBZ Bank.</w:t>
      </w:r>
    </w:p>
    <w:p w:rsidR="00E328BA" w:rsidRDefault="00E328BA" w:rsidP="00A6518D">
      <w:pPr>
        <w:pStyle w:val="ListParagraph"/>
        <w:numPr>
          <w:ilvl w:val="0"/>
          <w:numId w:val="16"/>
        </w:numPr>
        <w:tabs>
          <w:tab w:val="left" w:pos="630"/>
        </w:tabs>
        <w:jc w:val="both"/>
      </w:pPr>
      <w:r>
        <w:t>Earlier on, we had proposed that CBZ Bank could assist in the payment of the above stated duty and the trucks would be released by ZIMR</w:t>
      </w:r>
      <w:r w:rsidR="003E0CD4">
        <w:t>A.  Once the trucks are released</w:t>
      </w:r>
      <w:r>
        <w:t>, the sale of these can be supervised by CBZ Bank.</w:t>
      </w:r>
    </w:p>
    <w:p w:rsidR="00A6518D" w:rsidRDefault="0075372C" w:rsidP="00A6518D">
      <w:pPr>
        <w:tabs>
          <w:tab w:val="left" w:pos="630"/>
        </w:tabs>
        <w:ind w:left="630"/>
        <w:jc w:val="both"/>
      </w:pPr>
      <w:r>
        <w:tab/>
      </w:r>
    </w:p>
    <w:p w:rsidR="0075372C" w:rsidRDefault="0075372C" w:rsidP="00A6518D">
      <w:pPr>
        <w:tabs>
          <w:tab w:val="left" w:pos="630"/>
        </w:tabs>
        <w:ind w:left="630"/>
        <w:jc w:val="both"/>
      </w:pPr>
      <w:r>
        <w:t xml:space="preserve">We have to underline that </w:t>
      </w:r>
      <w:proofErr w:type="spellStart"/>
      <w:r>
        <w:t>Eunigod</w:t>
      </w:r>
      <w:proofErr w:type="spellEnd"/>
      <w:r>
        <w:t xml:space="preserve"> is not in </w:t>
      </w:r>
      <w:proofErr w:type="spellStart"/>
      <w:r>
        <w:t>anyway</w:t>
      </w:r>
      <w:proofErr w:type="spellEnd"/>
      <w:r>
        <w:t xml:space="preserve"> running away from its obligation to pay.  As illustrated above there are real sources of income which unfortunately cannot be released into cash immediately.</w:t>
      </w:r>
    </w:p>
    <w:p w:rsidR="00A6518D" w:rsidRDefault="00A6518D" w:rsidP="00A6518D">
      <w:pPr>
        <w:tabs>
          <w:tab w:val="left" w:pos="630"/>
        </w:tabs>
        <w:ind w:left="630"/>
        <w:jc w:val="both"/>
      </w:pPr>
    </w:p>
    <w:p w:rsidR="0075372C" w:rsidRDefault="0075372C" w:rsidP="00A6518D">
      <w:pPr>
        <w:tabs>
          <w:tab w:val="left" w:pos="630"/>
        </w:tabs>
        <w:ind w:left="630"/>
        <w:jc w:val="both"/>
      </w:pPr>
      <w:r>
        <w:t>In the circumstances, we ask that your</w:t>
      </w:r>
      <w:r w:rsidR="00A6518D">
        <w:t xml:space="preserve"> </w:t>
      </w:r>
      <w:r>
        <w:t>client would consider giving us up to June 2013 to pay the amount outstanding or take up a stake in the school project which can be discussed and agreed.</w:t>
      </w:r>
    </w:p>
    <w:p w:rsidR="00A6518D" w:rsidRDefault="00A6518D" w:rsidP="00A6518D">
      <w:pPr>
        <w:tabs>
          <w:tab w:val="left" w:pos="630"/>
        </w:tabs>
        <w:ind w:left="630"/>
        <w:jc w:val="both"/>
      </w:pPr>
    </w:p>
    <w:p w:rsidR="0075372C" w:rsidRDefault="0075372C" w:rsidP="00A6518D">
      <w:pPr>
        <w:tabs>
          <w:tab w:val="left" w:pos="630"/>
        </w:tabs>
        <w:ind w:left="630"/>
        <w:jc w:val="both"/>
      </w:pPr>
      <w:r>
        <w:t>Further</w:t>
      </w:r>
      <w:r w:rsidR="00A6518D">
        <w:t>, we</w:t>
      </w:r>
      <w:r>
        <w:t xml:space="preserve"> are asking that a round table conference be held so that we can clarify on the above proposals to your client.</w:t>
      </w:r>
    </w:p>
    <w:p w:rsidR="0075372C" w:rsidRDefault="0075372C" w:rsidP="00A6518D">
      <w:pPr>
        <w:tabs>
          <w:tab w:val="left" w:pos="630"/>
        </w:tabs>
        <w:ind w:left="630"/>
        <w:jc w:val="both"/>
      </w:pPr>
      <w:r>
        <w:t>We are committed to resolving this amicably.</w:t>
      </w:r>
    </w:p>
    <w:p w:rsidR="00A6518D" w:rsidRDefault="00A6518D" w:rsidP="00A6518D">
      <w:pPr>
        <w:tabs>
          <w:tab w:val="left" w:pos="630"/>
        </w:tabs>
        <w:ind w:left="630"/>
        <w:jc w:val="both"/>
      </w:pPr>
    </w:p>
    <w:p w:rsidR="0075372C" w:rsidRDefault="0075372C" w:rsidP="00A6518D">
      <w:pPr>
        <w:tabs>
          <w:tab w:val="left" w:pos="630"/>
        </w:tabs>
        <w:ind w:left="630"/>
        <w:jc w:val="both"/>
      </w:pPr>
      <w:r>
        <w:t>Your</w:t>
      </w:r>
      <w:r w:rsidR="0060685C">
        <w:t>s</w:t>
      </w:r>
      <w:r>
        <w:t xml:space="preserve"> faithfully</w:t>
      </w:r>
    </w:p>
    <w:p w:rsidR="0075372C" w:rsidRDefault="0075372C" w:rsidP="00A6518D">
      <w:pPr>
        <w:tabs>
          <w:tab w:val="left" w:pos="630"/>
        </w:tabs>
        <w:ind w:left="630"/>
        <w:jc w:val="both"/>
      </w:pPr>
    </w:p>
    <w:p w:rsidR="0075372C" w:rsidRDefault="0075372C" w:rsidP="00A6518D">
      <w:pPr>
        <w:tabs>
          <w:tab w:val="left" w:pos="630"/>
        </w:tabs>
        <w:ind w:left="630"/>
        <w:jc w:val="both"/>
      </w:pPr>
      <w:r>
        <w:t>------------------</w:t>
      </w:r>
    </w:p>
    <w:p w:rsidR="0075372C" w:rsidRDefault="00A6518D" w:rsidP="00A6518D">
      <w:pPr>
        <w:tabs>
          <w:tab w:val="left" w:pos="630"/>
        </w:tabs>
        <w:ind w:left="630"/>
        <w:jc w:val="both"/>
      </w:pPr>
      <w:proofErr w:type="spellStart"/>
      <w:r>
        <w:t>Eunigold</w:t>
      </w:r>
      <w:proofErr w:type="spellEnd"/>
      <w:r>
        <w:t xml:space="preserve"> Tours and Safaris”</w:t>
      </w:r>
    </w:p>
    <w:p w:rsidR="0060685C" w:rsidRDefault="0060685C" w:rsidP="00A6518D">
      <w:pPr>
        <w:tabs>
          <w:tab w:val="left" w:pos="630"/>
        </w:tabs>
        <w:ind w:left="630"/>
        <w:jc w:val="both"/>
      </w:pPr>
    </w:p>
    <w:p w:rsidR="003E0CD4" w:rsidRDefault="00A6518D" w:rsidP="0060685C">
      <w:pPr>
        <w:spacing w:line="360" w:lineRule="auto"/>
        <w:ind w:firstLine="630"/>
        <w:jc w:val="both"/>
      </w:pPr>
      <w:r>
        <w:t xml:space="preserve"> In terms of the Loan agreement</w:t>
      </w:r>
      <w:r w:rsidR="003E0CD4">
        <w:t>,</w:t>
      </w:r>
      <w:r>
        <w:t xml:space="preserve"> the </w:t>
      </w:r>
      <w:r w:rsidR="003E0CD4">
        <w:t>respondent du</w:t>
      </w:r>
      <w:r w:rsidR="0060685C">
        <w:t>ly discharg</w:t>
      </w:r>
      <w:r w:rsidR="003E0CD4">
        <w:t>ed its obligations as admitted i</w:t>
      </w:r>
      <w:r w:rsidR="0060685C">
        <w:t xml:space="preserve">n the </w:t>
      </w:r>
      <w:r w:rsidR="0067012E">
        <w:t xml:space="preserve">second paragraph of the </w:t>
      </w:r>
      <w:r w:rsidR="003E058A">
        <w:t>above letter.  All that the exci</w:t>
      </w:r>
      <w:r w:rsidR="0060685C">
        <w:t xml:space="preserve">pients are </w:t>
      </w:r>
      <w:r w:rsidR="0067012E">
        <w:t xml:space="preserve">now </w:t>
      </w:r>
      <w:r w:rsidR="0060685C">
        <w:t>saying is that they should not have been cited because they did not sign loan guarantee</w:t>
      </w:r>
      <w:r w:rsidR="003E0CD4">
        <w:t>s</w:t>
      </w:r>
      <w:r w:rsidR="0060685C">
        <w:t xml:space="preserve">.  </w:t>
      </w:r>
    </w:p>
    <w:p w:rsidR="00A6518D" w:rsidRDefault="0060685C" w:rsidP="0060685C">
      <w:pPr>
        <w:spacing w:line="360" w:lineRule="auto"/>
        <w:ind w:firstLine="630"/>
        <w:jc w:val="both"/>
      </w:pPr>
      <w:r>
        <w:t>The respondent admits that</w:t>
      </w:r>
      <w:r w:rsidR="003E0CD4">
        <w:t xml:space="preserve"> the loan guarantees</w:t>
      </w:r>
      <w:r>
        <w:t xml:space="preserve"> </w:t>
      </w:r>
      <w:r w:rsidR="003E0CD4">
        <w:t>were not signed</w:t>
      </w:r>
      <w:r>
        <w:t xml:space="preserve"> and that</w:t>
      </w:r>
      <w:r w:rsidR="003E0CD4">
        <w:t>,</w:t>
      </w:r>
      <w:r>
        <w:t xml:space="preserve"> generally</w:t>
      </w:r>
      <w:r w:rsidR="003E0CD4">
        <w:t>,</w:t>
      </w:r>
      <w:r>
        <w:t xml:space="preserve"> liability should be limited to </w:t>
      </w:r>
      <w:proofErr w:type="spellStart"/>
      <w:r>
        <w:t>Eunigod</w:t>
      </w:r>
      <w:proofErr w:type="spellEnd"/>
      <w:r>
        <w:t>.  It</w:t>
      </w:r>
      <w:r w:rsidR="003E0CD4">
        <w:t>,</w:t>
      </w:r>
      <w:r>
        <w:t xml:space="preserve"> however</w:t>
      </w:r>
      <w:r w:rsidR="003E0CD4">
        <w:t>,</w:t>
      </w:r>
      <w:r>
        <w:t xml:space="preserve"> </w:t>
      </w:r>
      <w:r w:rsidR="003E0CD4">
        <w:t xml:space="preserve">goes </w:t>
      </w:r>
      <w:r>
        <w:t>on to submit as follows:-</w:t>
      </w:r>
    </w:p>
    <w:p w:rsidR="003459C6" w:rsidRDefault="0060685C" w:rsidP="003459C6">
      <w:pPr>
        <w:ind w:left="720"/>
        <w:jc w:val="both"/>
      </w:pPr>
      <w:r>
        <w:t xml:space="preserve">“However, there are certain circumstances courts will ignore the corporate identity and holds the individual shareholders liable for the debts and obligations of that corporation by applying a legal theory that is commonly </w:t>
      </w:r>
      <w:proofErr w:type="spellStart"/>
      <w:r>
        <w:t>refereed</w:t>
      </w:r>
      <w:proofErr w:type="spellEnd"/>
      <w:r>
        <w:t xml:space="preserve"> to as </w:t>
      </w:r>
      <w:r w:rsidRPr="001A4E02">
        <w:t>“</w:t>
      </w:r>
      <w:r w:rsidRPr="001A4E02">
        <w:rPr>
          <w:u w:val="single"/>
        </w:rPr>
        <w:t>The Alter Ego Doctrine</w:t>
      </w:r>
      <w:r>
        <w:t>”.   Under this doctrine, if a party w</w:t>
      </w:r>
      <w:r w:rsidR="003E0CD4">
        <w:t>hose interests have been injured</w:t>
      </w:r>
      <w:r>
        <w:t xml:space="preserve"> due to the acts of a corporation can prove that the corporation entity is </w:t>
      </w:r>
      <w:r w:rsidRPr="001A4E02">
        <w:rPr>
          <w:u w:val="single"/>
        </w:rPr>
        <w:t>the alter ego</w:t>
      </w:r>
      <w:r>
        <w:t xml:space="preserve"> of one or more </w:t>
      </w:r>
      <w:r w:rsidR="003E0CD4">
        <w:t>individuals, the court may hold</w:t>
      </w:r>
      <w:r>
        <w:t xml:space="preserve"> the individuals themselves personally responsible for the injurious conduct.  The courts may disregard the concept that a corporation’s separate existence is distinct from</w:t>
      </w:r>
      <w:r w:rsidR="00473766">
        <w:t xml:space="preserve"> </w:t>
      </w:r>
      <w:r w:rsidR="003E0CD4">
        <w:t>t</w:t>
      </w:r>
      <w:r w:rsidR="003459C6" w:rsidRPr="00D160DE">
        <w:t xml:space="preserve">hat </w:t>
      </w:r>
      <w:r w:rsidR="003E0CD4">
        <w:t xml:space="preserve">of </w:t>
      </w:r>
      <w:r w:rsidR="003459C6" w:rsidRPr="00D160DE">
        <w:t>its shareholders, and pierce the veil thereby exposing the shareholders</w:t>
      </w:r>
      <w:r w:rsidR="003459C6">
        <w:t xml:space="preserve"> to personal liability for the corporate debt.</w:t>
      </w:r>
    </w:p>
    <w:p w:rsidR="003459C6" w:rsidRDefault="003459C6" w:rsidP="003459C6">
      <w:pPr>
        <w:ind w:left="720"/>
        <w:jc w:val="both"/>
      </w:pPr>
      <w:r>
        <w:lastRenderedPageBreak/>
        <w:t xml:space="preserve">14. Further, there are other well </w:t>
      </w:r>
      <w:proofErr w:type="spellStart"/>
      <w:r>
        <w:t>recognised</w:t>
      </w:r>
      <w:proofErr w:type="spellEnd"/>
      <w:r>
        <w:t xml:space="preserve"> circumstances in which the courts will intervene where a company is used primarily as a vehicle of fraud or </w:t>
      </w:r>
      <w:r w:rsidRPr="009D5AE1">
        <w:rPr>
          <w:b/>
          <w:u w:val="single"/>
        </w:rPr>
        <w:t>as a means of escaping pre-existing legal obligations</w:t>
      </w:r>
      <w:r>
        <w:t xml:space="preserve">.  The respondent sincerely believes that it has encountered the same circumstances as expounded below.  </w:t>
      </w:r>
      <w:proofErr w:type="gramStart"/>
      <w:r>
        <w:t>Which calls for piercing the corporate veil.</w:t>
      </w:r>
      <w:proofErr w:type="gramEnd"/>
    </w:p>
    <w:p w:rsidR="003459C6" w:rsidRDefault="003459C6" w:rsidP="003459C6">
      <w:pPr>
        <w:ind w:left="720"/>
        <w:jc w:val="both"/>
      </w:pPr>
      <w:r>
        <w:t xml:space="preserve">15. “Piercing the Veil” is a very important concept of limited liability.  Piercing or lifting the </w:t>
      </w:r>
      <w:proofErr w:type="gramStart"/>
      <w:r>
        <w:t>Corporate</w:t>
      </w:r>
      <w:proofErr w:type="gramEnd"/>
      <w:r>
        <w:t xml:space="preserve"> veil is a legal decision to treat rights or duties of a Corporation as the rights or liabilities of its shareholders.  If a corporate is co</w:t>
      </w:r>
      <w:r w:rsidR="003E0CD4">
        <w:t>nsidered completely separate from</w:t>
      </w:r>
      <w:r>
        <w:t xml:space="preserve"> the individual, who owns and manages the business, those owners cannot be held responsible for the corporate’s actions; the company</w:t>
      </w:r>
      <w:r w:rsidR="003E0CD4">
        <w:t xml:space="preserve"> a</w:t>
      </w:r>
      <w:r>
        <w:t xml:space="preserve">nd individual are separate.   </w:t>
      </w:r>
      <w:r w:rsidRPr="00713C40">
        <w:rPr>
          <w:b/>
        </w:rPr>
        <w:t>But if the individual acts in a way that dissolves or appears to dissolve this separation, the “</w:t>
      </w:r>
      <w:r w:rsidRPr="00713C40">
        <w:rPr>
          <w:b/>
          <w:u w:val="single"/>
        </w:rPr>
        <w:t>Corporate Veil</w:t>
      </w:r>
      <w:r w:rsidRPr="00713C40">
        <w:rPr>
          <w:b/>
        </w:rPr>
        <w:t xml:space="preserve">” between the company and individual needs to be pierced and the actions of the individual will no longer </w:t>
      </w:r>
      <w:proofErr w:type="gramStart"/>
      <w:r w:rsidRPr="00713C40">
        <w:rPr>
          <w:b/>
        </w:rPr>
        <w:t>be</w:t>
      </w:r>
      <w:proofErr w:type="gramEnd"/>
      <w:r w:rsidRPr="00713C40">
        <w:rPr>
          <w:b/>
        </w:rPr>
        <w:t xml:space="preserve"> separately considered.</w:t>
      </w:r>
      <w:r>
        <w:t xml:space="preserve">  Consequently the action of the shareholder/director cause other actions to be considered in weighing ability </w:t>
      </w:r>
      <w:r w:rsidR="003E0CD4">
        <w:t xml:space="preserve">(sic) </w:t>
      </w:r>
      <w:r>
        <w:t>as illustrated by the cases quoted below:</w:t>
      </w:r>
    </w:p>
    <w:p w:rsidR="003459C6" w:rsidRDefault="003459C6" w:rsidP="003459C6">
      <w:pPr>
        <w:ind w:left="720"/>
        <w:jc w:val="both"/>
      </w:pPr>
      <w:r>
        <w:t xml:space="preserve">15.1 in the Zimbabwean jurisdiction, in a matter between the </w:t>
      </w:r>
      <w:r w:rsidRPr="00073F27">
        <w:rPr>
          <w:i/>
        </w:rPr>
        <w:t>Deputy Sheriff Harare</w:t>
      </w:r>
      <w:r>
        <w:t xml:space="preserve"> v </w:t>
      </w:r>
      <w:proofErr w:type="spellStart"/>
      <w:r w:rsidRPr="00073F27">
        <w:rPr>
          <w:i/>
        </w:rPr>
        <w:t>Trinpack</w:t>
      </w:r>
      <w:proofErr w:type="spellEnd"/>
      <w:r w:rsidRPr="00073F27">
        <w:rPr>
          <w:i/>
        </w:rPr>
        <w:t xml:space="preserve"> Investments (Private Limited) and </w:t>
      </w:r>
      <w:proofErr w:type="spellStart"/>
      <w:r w:rsidRPr="00073F27">
        <w:rPr>
          <w:i/>
        </w:rPr>
        <w:t>Anor</w:t>
      </w:r>
      <w:proofErr w:type="spellEnd"/>
      <w:r>
        <w:t xml:space="preserve">, before PATEL J. it is aptly articulated that the cardinal principle of company law, as enunciated in </w:t>
      </w:r>
      <w:r w:rsidRPr="00073F27">
        <w:rPr>
          <w:i/>
        </w:rPr>
        <w:t>Salomon</w:t>
      </w:r>
      <w:r>
        <w:t xml:space="preserve"> v </w:t>
      </w:r>
      <w:r w:rsidRPr="00073F27">
        <w:rPr>
          <w:i/>
        </w:rPr>
        <w:t>Salomon &amp; Co Ltd</w:t>
      </w:r>
      <w:r>
        <w:t xml:space="preserve"> [1897] AC22 (HL) and </w:t>
      </w:r>
      <w:proofErr w:type="spellStart"/>
      <w:r w:rsidRPr="00073F27">
        <w:rPr>
          <w:i/>
        </w:rPr>
        <w:t>Dadoo</w:t>
      </w:r>
      <w:proofErr w:type="spellEnd"/>
      <w:r w:rsidRPr="00073F27">
        <w:rPr>
          <w:i/>
        </w:rPr>
        <w:t xml:space="preserve"> Ltd &amp;</w:t>
      </w:r>
      <w:proofErr w:type="spellStart"/>
      <w:r w:rsidRPr="00073F27">
        <w:rPr>
          <w:i/>
        </w:rPr>
        <w:t>Ors</w:t>
      </w:r>
      <w:proofErr w:type="spellEnd"/>
      <w:r>
        <w:t xml:space="preserve"> v </w:t>
      </w:r>
      <w:r w:rsidRPr="00073F27">
        <w:rPr>
          <w:i/>
        </w:rPr>
        <w:t>Krugersdorp Municipal Council</w:t>
      </w:r>
      <w:r>
        <w:t xml:space="preserve"> 1920 AD 530 at 550, is that a company is a separate entity distinct from its members.  </w:t>
      </w:r>
      <w:r w:rsidRPr="00073F27">
        <w:rPr>
          <w:b/>
        </w:rPr>
        <w:t>Nevertheless, there are well established exceptions to the principle grounded in policy considerations.</w:t>
      </w:r>
      <w:r>
        <w:t xml:space="preserve">  As</w:t>
      </w:r>
      <w:r w:rsidR="003A75A8">
        <w:t xml:space="preserve"> was</w:t>
      </w:r>
      <w:r>
        <w:t xml:space="preserve"> held in</w:t>
      </w:r>
      <w:r w:rsidRPr="00073F27">
        <w:rPr>
          <w:i/>
        </w:rPr>
        <w:t xml:space="preserve"> US</w:t>
      </w:r>
      <w:r>
        <w:t xml:space="preserve"> v </w:t>
      </w:r>
      <w:r w:rsidRPr="00073F27">
        <w:rPr>
          <w:i/>
        </w:rPr>
        <w:t>Milwaukee Refrigerator Transit Co</w:t>
      </w:r>
      <w:r>
        <w:t xml:space="preserve"> (1905) 42 Fed 247 at 255:</w:t>
      </w:r>
    </w:p>
    <w:p w:rsidR="003459C6" w:rsidRDefault="003459C6" w:rsidP="003459C6">
      <w:pPr>
        <w:ind w:left="720"/>
        <w:jc w:val="both"/>
      </w:pPr>
      <w:r>
        <w:t>“….when the notion of a legal entity is used to defeat public convenience, justify wrong, protect fraud or defend crime, the law will regard the corporation as an association.”</w:t>
      </w:r>
    </w:p>
    <w:p w:rsidR="003459C6" w:rsidRDefault="003459C6" w:rsidP="003459C6">
      <w:pPr>
        <w:jc w:val="both"/>
      </w:pPr>
    </w:p>
    <w:p w:rsidR="003459C6" w:rsidRDefault="003A75A8" w:rsidP="005A34D5">
      <w:pPr>
        <w:ind w:firstLine="720"/>
        <w:jc w:val="both"/>
      </w:pPr>
      <w:r>
        <w:t>Notwithstanding the above legal principles,</w:t>
      </w:r>
      <w:r w:rsidR="003459C6">
        <w:t xml:space="preserve"> the thrust of the excipients</w:t>
      </w:r>
      <w:r>
        <w:t>’</w:t>
      </w:r>
      <w:r w:rsidR="003459C6">
        <w:t xml:space="preserve"> arguments </w:t>
      </w:r>
      <w:r w:rsidR="0067012E">
        <w:t>come out clearly</w:t>
      </w:r>
      <w:r w:rsidR="005A34D5">
        <w:t xml:space="preserve"> in</w:t>
      </w:r>
      <w:r w:rsidR="0067012E">
        <w:t xml:space="preserve"> the following paragraphs</w:t>
      </w:r>
      <w:r w:rsidR="003459C6">
        <w:t>:-</w:t>
      </w:r>
    </w:p>
    <w:p w:rsidR="003459C6" w:rsidRDefault="003459C6" w:rsidP="003459C6">
      <w:pPr>
        <w:ind w:left="720"/>
        <w:jc w:val="both"/>
      </w:pPr>
    </w:p>
    <w:p w:rsidR="003459C6" w:rsidRDefault="003459C6" w:rsidP="003459C6">
      <w:pPr>
        <w:ind w:left="720"/>
        <w:jc w:val="both"/>
      </w:pPr>
      <w:r>
        <w:t xml:space="preserve">“12. Excipients contend that they did not sign any unlimited guarantees in </w:t>
      </w:r>
      <w:proofErr w:type="spellStart"/>
      <w:r>
        <w:t>favour</w:t>
      </w:r>
      <w:proofErr w:type="spellEnd"/>
      <w:r>
        <w:t xml:space="preserve"> of respondent binding themselves as sureties and co-principal debtors as alleged by the respondent in  paragraph 6 of the declaration and therefore are not liable in anyway and that there is no cause of action against them.</w:t>
      </w:r>
    </w:p>
    <w:p w:rsidR="003459C6" w:rsidRDefault="003459C6" w:rsidP="003459C6">
      <w:pPr>
        <w:ind w:left="720"/>
        <w:jc w:val="both"/>
      </w:pPr>
      <w:r>
        <w:t xml:space="preserve">12.1 It is clear at law that when shareholders of directors guarantee the obligations of the company they effectively nullify the limited liability they enjoy (See </w:t>
      </w:r>
      <w:proofErr w:type="spellStart"/>
      <w:r>
        <w:t>Cassim</w:t>
      </w:r>
      <w:proofErr w:type="spellEnd"/>
      <w:r>
        <w:t xml:space="preserve"> et al, Contemporary Company Law at p 39)</w:t>
      </w:r>
    </w:p>
    <w:p w:rsidR="003459C6" w:rsidRDefault="003459C6" w:rsidP="003459C6">
      <w:pPr>
        <w:ind w:left="720"/>
        <w:jc w:val="both"/>
      </w:pPr>
      <w:r>
        <w:t>12.2 In terms of the loan agreement, excipients should have signed unlimited guaranteed which they did not sign.  The unlimited guarantee was the only way in which the excipients would have been bound as sureties and co-principal debtors.</w:t>
      </w:r>
    </w:p>
    <w:p w:rsidR="003459C6" w:rsidRDefault="003459C6" w:rsidP="003459C6">
      <w:pPr>
        <w:ind w:left="720"/>
        <w:jc w:val="both"/>
      </w:pPr>
      <w:r>
        <w:t xml:space="preserve">13.  If the excipients had signed the unlimited guarantees, a contract of </w:t>
      </w:r>
      <w:proofErr w:type="spellStart"/>
      <w:r>
        <w:t>suretyship</w:t>
      </w:r>
      <w:proofErr w:type="spellEnd"/>
      <w:r>
        <w:t xml:space="preserve"> would have arisen as between them and the respondent</w:t>
      </w:r>
    </w:p>
    <w:p w:rsidR="003459C6" w:rsidRDefault="003459C6" w:rsidP="003459C6">
      <w:pPr>
        <w:ind w:left="1440"/>
        <w:jc w:val="both"/>
      </w:pPr>
      <w:r>
        <w:lastRenderedPageBreak/>
        <w:t xml:space="preserve">13.1 A contract of </w:t>
      </w:r>
      <w:proofErr w:type="spellStart"/>
      <w:r>
        <w:t>suretyship</w:t>
      </w:r>
      <w:proofErr w:type="spellEnd"/>
      <w:r>
        <w:t xml:space="preserve"> is concluded by agreement between the creditor and the surety.  The normal requirements for the conclusion of a valid contract have been met.</w:t>
      </w:r>
    </w:p>
    <w:p w:rsidR="003459C6" w:rsidRDefault="003459C6" w:rsidP="003459C6">
      <w:pPr>
        <w:ind w:left="720" w:firstLine="720"/>
        <w:jc w:val="both"/>
      </w:pPr>
      <w:r>
        <w:t>See Gower’s General Principles of Commercial Law at page 359</w:t>
      </w:r>
    </w:p>
    <w:p w:rsidR="003459C6" w:rsidRDefault="003459C6" w:rsidP="003459C6">
      <w:pPr>
        <w:ind w:left="1440"/>
        <w:jc w:val="both"/>
      </w:pPr>
      <w:r>
        <w:t>13.2 A person who signs as surety and co-principal debtor is both a surety and debtor.  As far as the creditor is concerned he is a co-debtor, this obligation is co-equal in extent with that of the principal debtor.</w:t>
      </w:r>
    </w:p>
    <w:p w:rsidR="003459C6" w:rsidRDefault="003459C6" w:rsidP="003459C6">
      <w:pPr>
        <w:ind w:left="1440"/>
        <w:jc w:val="both"/>
      </w:pPr>
      <w:proofErr w:type="spellStart"/>
      <w:r w:rsidRPr="00D83DA7">
        <w:rPr>
          <w:i/>
        </w:rPr>
        <w:t>Muchabaiwa</w:t>
      </w:r>
      <w:proofErr w:type="spellEnd"/>
      <w:r>
        <w:t xml:space="preserve"> v </w:t>
      </w:r>
      <w:r w:rsidRPr="00D83DA7">
        <w:rPr>
          <w:i/>
        </w:rPr>
        <w:t>Grab Enterprises (</w:t>
      </w:r>
      <w:proofErr w:type="spellStart"/>
      <w:r w:rsidRPr="00D83DA7">
        <w:rPr>
          <w:i/>
        </w:rPr>
        <w:t>Pvt</w:t>
      </w:r>
      <w:proofErr w:type="spellEnd"/>
      <w:r w:rsidRPr="00D83DA7">
        <w:rPr>
          <w:i/>
        </w:rPr>
        <w:t>) Ltd</w:t>
      </w:r>
      <w:r>
        <w:t xml:space="preserve"> 1996 (2) ZLR 691 (SC) see </w:t>
      </w:r>
      <w:proofErr w:type="spellStart"/>
      <w:r>
        <w:t>Mahommed</w:t>
      </w:r>
      <w:proofErr w:type="spellEnd"/>
      <w:r>
        <w:t xml:space="preserve"> Lockhart Brothers and Company Limited 1944 AD 230 at page 238</w:t>
      </w:r>
    </w:p>
    <w:p w:rsidR="003459C6" w:rsidRDefault="003459C6" w:rsidP="003459C6">
      <w:pPr>
        <w:ind w:left="720"/>
        <w:jc w:val="both"/>
      </w:pPr>
      <w:r>
        <w:t>14. The agreement of the surety is accessory to the principal obligation and from these circumstances several important consequences ensue.”</w:t>
      </w:r>
    </w:p>
    <w:p w:rsidR="003459C6" w:rsidRDefault="003459C6" w:rsidP="003459C6">
      <w:pPr>
        <w:ind w:firstLine="720"/>
        <w:jc w:val="both"/>
      </w:pPr>
    </w:p>
    <w:p w:rsidR="003A75A8" w:rsidRDefault="0067012E" w:rsidP="003459C6">
      <w:pPr>
        <w:spacing w:line="360" w:lineRule="auto"/>
        <w:ind w:firstLine="720"/>
        <w:jc w:val="both"/>
      </w:pPr>
      <w:r>
        <w:t>Ordinarily t</w:t>
      </w:r>
      <w:r w:rsidR="003459C6">
        <w:t>he above arguments</w:t>
      </w:r>
      <w:r>
        <w:t xml:space="preserve"> make so sense but they</w:t>
      </w:r>
      <w:r w:rsidR="003459C6">
        <w:t xml:space="preserve"> must be examined against the applicable pr</w:t>
      </w:r>
      <w:r w:rsidR="003A75A8">
        <w:t>ovisions in the</w:t>
      </w:r>
      <w:r>
        <w:t xml:space="preserve"> actual</w:t>
      </w:r>
      <w:r w:rsidR="003A75A8">
        <w:t xml:space="preserve"> loan agreements.</w:t>
      </w:r>
    </w:p>
    <w:p w:rsidR="003459C6" w:rsidRDefault="0067012E" w:rsidP="003459C6">
      <w:pPr>
        <w:spacing w:line="360" w:lineRule="auto"/>
        <w:ind w:firstLine="720"/>
        <w:jc w:val="both"/>
      </w:pPr>
      <w:r>
        <w:t>Paragraph</w:t>
      </w:r>
      <w:r w:rsidR="003A75A8">
        <w:t xml:space="preserve"> 8</w:t>
      </w:r>
      <w:r w:rsidR="003459C6">
        <w:t xml:space="preserve"> of the loan facility granted on 5 April 2011 provides as follows:</w:t>
      </w:r>
    </w:p>
    <w:p w:rsidR="003459C6" w:rsidRDefault="003459C6" w:rsidP="003459C6">
      <w:pPr>
        <w:ind w:firstLine="720"/>
        <w:jc w:val="both"/>
      </w:pPr>
      <w:r>
        <w:t>“8 SECURITY</w:t>
      </w:r>
    </w:p>
    <w:p w:rsidR="003459C6" w:rsidRDefault="003459C6" w:rsidP="003459C6">
      <w:pPr>
        <w:ind w:firstLine="720"/>
        <w:jc w:val="both"/>
      </w:pPr>
      <w:r>
        <w:t xml:space="preserve">8.2 </w:t>
      </w:r>
      <w:r w:rsidRPr="00CC6D1F">
        <w:rPr>
          <w:b/>
          <w:u w:val="single"/>
        </w:rPr>
        <w:t>Security Held</w:t>
      </w:r>
    </w:p>
    <w:p w:rsidR="003459C6" w:rsidRPr="00CC6D1F" w:rsidRDefault="003459C6" w:rsidP="003459C6">
      <w:pPr>
        <w:pStyle w:val="ListParagraph"/>
        <w:numPr>
          <w:ilvl w:val="1"/>
          <w:numId w:val="17"/>
        </w:numPr>
        <w:spacing w:after="200"/>
        <w:jc w:val="both"/>
      </w:pPr>
      <w:r w:rsidRPr="00CC6D1F">
        <w:t>Directors guarantees for all sums due supported by</w:t>
      </w:r>
    </w:p>
    <w:p w:rsidR="003459C6" w:rsidRPr="00CC6D1F" w:rsidRDefault="003459C6" w:rsidP="003459C6">
      <w:pPr>
        <w:pStyle w:val="ListParagraph"/>
        <w:numPr>
          <w:ilvl w:val="1"/>
          <w:numId w:val="17"/>
        </w:numPr>
        <w:spacing w:after="200"/>
        <w:jc w:val="both"/>
      </w:pPr>
      <w:r w:rsidRPr="00CC6D1F">
        <w:t xml:space="preserve">First mortgage bond for USD234 500 over residential property on stand 424 Glen Lorne Township 14 of Lot 41 of Glen Lorne in the name of Godfrey M. </w:t>
      </w:r>
      <w:proofErr w:type="spellStart"/>
      <w:r w:rsidRPr="00CC6D1F">
        <w:t>Mangwende</w:t>
      </w:r>
      <w:proofErr w:type="spellEnd"/>
      <w:r w:rsidRPr="00CC6D1F">
        <w:t xml:space="preserve"> and Eunice T. </w:t>
      </w:r>
      <w:proofErr w:type="spellStart"/>
      <w:r w:rsidRPr="00CC6D1F">
        <w:t>Mangwende</w:t>
      </w:r>
      <w:proofErr w:type="spellEnd"/>
      <w:r w:rsidRPr="00CC6D1F">
        <w:t>.</w:t>
      </w:r>
    </w:p>
    <w:p w:rsidR="003459C6" w:rsidRDefault="003459C6" w:rsidP="003459C6">
      <w:pPr>
        <w:ind w:left="720"/>
        <w:jc w:val="both"/>
      </w:pPr>
      <w:r>
        <w:t xml:space="preserve">8.3 </w:t>
      </w:r>
      <w:r w:rsidRPr="00CC6D1F">
        <w:rPr>
          <w:b/>
          <w:u w:val="single"/>
        </w:rPr>
        <w:t>Security Proposed</w:t>
      </w:r>
    </w:p>
    <w:p w:rsidR="003459C6" w:rsidRPr="00CC6D1F" w:rsidRDefault="003459C6" w:rsidP="003459C6">
      <w:pPr>
        <w:pStyle w:val="ListParagraph"/>
        <w:numPr>
          <w:ilvl w:val="0"/>
          <w:numId w:val="18"/>
        </w:numPr>
        <w:spacing w:after="200"/>
        <w:jc w:val="both"/>
      </w:pPr>
      <w:r w:rsidRPr="00CC6D1F">
        <w:t>Notarial General</w:t>
      </w:r>
      <w:r>
        <w:t xml:space="preserve"> C</w:t>
      </w:r>
      <w:r w:rsidRPr="00CC6D1F">
        <w:t>overing Bond for USD171 000.00 over the company’s movable property.</w:t>
      </w:r>
    </w:p>
    <w:p w:rsidR="003459C6" w:rsidRPr="00CC6D1F" w:rsidRDefault="003459C6" w:rsidP="003459C6">
      <w:pPr>
        <w:pStyle w:val="ListParagraph"/>
        <w:numPr>
          <w:ilvl w:val="0"/>
          <w:numId w:val="18"/>
        </w:numPr>
        <w:spacing w:after="200"/>
        <w:jc w:val="both"/>
      </w:pPr>
      <w:r w:rsidRPr="00CC6D1F">
        <w:t>Cession of insurance policy covering property to be mortgage to the bank.”</w:t>
      </w:r>
    </w:p>
    <w:p w:rsidR="003A75A8" w:rsidRDefault="003459C6" w:rsidP="003459C6">
      <w:pPr>
        <w:spacing w:line="360" w:lineRule="auto"/>
        <w:ind w:firstLine="720"/>
        <w:jc w:val="both"/>
      </w:pPr>
      <w:r>
        <w:t>The above condition</w:t>
      </w:r>
      <w:r w:rsidR="0067012E">
        <w:t>s</w:t>
      </w:r>
      <w:r>
        <w:t xml:space="preserve"> w</w:t>
      </w:r>
      <w:r w:rsidR="0067012E">
        <w:t>ere</w:t>
      </w:r>
      <w:r>
        <w:t xml:space="preserve"> accepted by the first excipient on behalf of </w:t>
      </w:r>
      <w:proofErr w:type="spellStart"/>
      <w:r>
        <w:t>Eunigod</w:t>
      </w:r>
      <w:proofErr w:type="spellEnd"/>
      <w:r>
        <w:t xml:space="preserve"> on 9 May 2011</w:t>
      </w:r>
      <w:r w:rsidR="003A75A8">
        <w:t xml:space="preserve"> and the </w:t>
      </w:r>
      <w:r w:rsidR="005A34D5">
        <w:t>“</w:t>
      </w:r>
      <w:r w:rsidR="003A75A8">
        <w:t>Directors</w:t>
      </w:r>
      <w:r w:rsidR="005A34D5">
        <w:t>”</w:t>
      </w:r>
      <w:r w:rsidR="003A75A8">
        <w:t xml:space="preserve"> referred to </w:t>
      </w:r>
      <w:proofErr w:type="gramStart"/>
      <w:r w:rsidR="003A75A8">
        <w:t>under</w:t>
      </w:r>
      <w:proofErr w:type="gramEnd"/>
      <w:r w:rsidR="003A75A8">
        <w:t xml:space="preserve"> 8.2 above are the </w:t>
      </w:r>
      <w:proofErr w:type="spellStart"/>
      <w:r w:rsidR="003A75A8">
        <w:t>excepients</w:t>
      </w:r>
      <w:proofErr w:type="spellEnd"/>
      <w:r>
        <w:t xml:space="preserve">. </w:t>
      </w:r>
    </w:p>
    <w:p w:rsidR="003459C6" w:rsidRDefault="0067012E" w:rsidP="003459C6">
      <w:pPr>
        <w:spacing w:line="360" w:lineRule="auto"/>
        <w:ind w:firstLine="720"/>
        <w:jc w:val="both"/>
      </w:pPr>
      <w:r>
        <w:t>Paragraph</w:t>
      </w:r>
      <w:r w:rsidR="003459C6">
        <w:t xml:space="preserve"> 8 of the facility letter of 19 October 2011 </w:t>
      </w:r>
      <w:r w:rsidR="003A75A8">
        <w:t>also</w:t>
      </w:r>
      <w:r w:rsidR="003459C6">
        <w:t xml:space="preserve"> provides as follows:</w:t>
      </w:r>
    </w:p>
    <w:p w:rsidR="003459C6" w:rsidRDefault="003459C6" w:rsidP="003459C6">
      <w:pPr>
        <w:ind w:firstLine="720"/>
        <w:jc w:val="both"/>
      </w:pPr>
      <w:r>
        <w:t>“8 SECURITY</w:t>
      </w:r>
    </w:p>
    <w:p w:rsidR="003459C6" w:rsidRDefault="003459C6" w:rsidP="003459C6">
      <w:pPr>
        <w:ind w:firstLine="720"/>
        <w:jc w:val="both"/>
      </w:pPr>
      <w:r>
        <w:t xml:space="preserve">.1 </w:t>
      </w:r>
      <w:r w:rsidRPr="00CC6D1F">
        <w:rPr>
          <w:b/>
          <w:u w:val="single"/>
        </w:rPr>
        <w:t>Security Held</w:t>
      </w:r>
    </w:p>
    <w:p w:rsidR="003459C6" w:rsidRPr="00CC6D1F" w:rsidRDefault="003459C6" w:rsidP="003459C6">
      <w:pPr>
        <w:pStyle w:val="ListParagraph"/>
        <w:numPr>
          <w:ilvl w:val="1"/>
          <w:numId w:val="17"/>
        </w:numPr>
        <w:spacing w:after="200"/>
        <w:jc w:val="both"/>
      </w:pPr>
      <w:r>
        <w:t>Unlimited d</w:t>
      </w:r>
      <w:r w:rsidRPr="00CC6D1F">
        <w:t>irectors guarantees for all sums due supported by</w:t>
      </w:r>
    </w:p>
    <w:p w:rsidR="003459C6" w:rsidRDefault="003459C6" w:rsidP="003459C6">
      <w:pPr>
        <w:pStyle w:val="ListParagraph"/>
        <w:numPr>
          <w:ilvl w:val="1"/>
          <w:numId w:val="17"/>
        </w:numPr>
        <w:spacing w:after="200"/>
        <w:jc w:val="both"/>
      </w:pPr>
      <w:r>
        <w:t>1</w:t>
      </w:r>
      <w:r w:rsidRPr="00812FA5">
        <w:rPr>
          <w:vertAlign w:val="superscript"/>
        </w:rPr>
        <w:t>st</w:t>
      </w:r>
      <w:r w:rsidRPr="00CC6D1F">
        <w:t xml:space="preserve"> m</w:t>
      </w:r>
      <w:r>
        <w:t>/</w:t>
      </w:r>
      <w:r w:rsidRPr="00CC6D1F">
        <w:t>bond for US</w:t>
      </w:r>
      <w:r>
        <w:t>$</w:t>
      </w:r>
      <w:r w:rsidRPr="00CC6D1F">
        <w:t>234 500</w:t>
      </w:r>
      <w:r>
        <w:t>.00</w:t>
      </w:r>
      <w:r w:rsidRPr="00CC6D1F">
        <w:t xml:space="preserve"> over residential property in the name of Godfrey </w:t>
      </w:r>
      <w:proofErr w:type="spellStart"/>
      <w:r w:rsidRPr="00CC6D1F">
        <w:t>M</w:t>
      </w:r>
      <w:r>
        <w:t>achona</w:t>
      </w:r>
      <w:proofErr w:type="spellEnd"/>
      <w:r w:rsidR="005A34D5">
        <w:t xml:space="preserve"> </w:t>
      </w:r>
      <w:proofErr w:type="spellStart"/>
      <w:r w:rsidRPr="00CC6D1F">
        <w:t>Mangwende</w:t>
      </w:r>
      <w:proofErr w:type="spellEnd"/>
      <w:r w:rsidRPr="00CC6D1F">
        <w:t xml:space="preserve"> and Eunice </w:t>
      </w:r>
      <w:proofErr w:type="spellStart"/>
      <w:r w:rsidRPr="00CC6D1F">
        <w:t>T</w:t>
      </w:r>
      <w:r>
        <w:t>ambudzai</w:t>
      </w:r>
      <w:proofErr w:type="spellEnd"/>
      <w:r w:rsidR="005A34D5">
        <w:t xml:space="preserve"> </w:t>
      </w:r>
      <w:proofErr w:type="spellStart"/>
      <w:r w:rsidRPr="00CC6D1F">
        <w:t>Mangwende</w:t>
      </w:r>
      <w:proofErr w:type="spellEnd"/>
      <w:r>
        <w:t xml:space="preserve"> being</w:t>
      </w:r>
      <w:r w:rsidR="005A34D5">
        <w:t xml:space="preserve"> </w:t>
      </w:r>
      <w:r>
        <w:t>no.</w:t>
      </w:r>
      <w:r w:rsidRPr="00CC6D1F">
        <w:t xml:space="preserve"> 424 Glen Lorne Township 14 of Lot 41 of Glen Lorne.</w:t>
      </w:r>
    </w:p>
    <w:p w:rsidR="003459C6" w:rsidRPr="00CC6D1F" w:rsidRDefault="003459C6" w:rsidP="003459C6">
      <w:pPr>
        <w:pStyle w:val="ListParagraph"/>
        <w:numPr>
          <w:ilvl w:val="0"/>
          <w:numId w:val="19"/>
        </w:numPr>
        <w:spacing w:after="200"/>
        <w:jc w:val="both"/>
      </w:pPr>
      <w:r w:rsidRPr="00CC6D1F">
        <w:t>NG</w:t>
      </w:r>
      <w:r>
        <w:t>C</w:t>
      </w:r>
      <w:r w:rsidRPr="00CC6D1F">
        <w:t>B for US</w:t>
      </w:r>
      <w:r>
        <w:t>$</w:t>
      </w:r>
      <w:r w:rsidRPr="00CC6D1F">
        <w:t>171 000.00 over the company’s movable property.</w:t>
      </w:r>
    </w:p>
    <w:p w:rsidR="003459C6" w:rsidRDefault="003459C6" w:rsidP="003459C6">
      <w:pPr>
        <w:ind w:left="360"/>
        <w:jc w:val="both"/>
        <w:rPr>
          <w:b/>
          <w:u w:val="single"/>
        </w:rPr>
      </w:pPr>
      <w:r>
        <w:t xml:space="preserve">       .1 </w:t>
      </w:r>
      <w:proofErr w:type="gramStart"/>
      <w:r w:rsidRPr="00CC6D1F">
        <w:rPr>
          <w:b/>
          <w:u w:val="single"/>
        </w:rPr>
        <w:t>Security</w:t>
      </w:r>
      <w:proofErr w:type="gramEnd"/>
      <w:r w:rsidRPr="00CC6D1F">
        <w:rPr>
          <w:b/>
          <w:u w:val="single"/>
        </w:rPr>
        <w:t xml:space="preserve"> Proposed</w:t>
      </w:r>
    </w:p>
    <w:p w:rsidR="003A75A8" w:rsidRDefault="003459C6" w:rsidP="003A75A8">
      <w:pPr>
        <w:pStyle w:val="ListParagraph"/>
        <w:numPr>
          <w:ilvl w:val="0"/>
          <w:numId w:val="19"/>
        </w:numPr>
        <w:spacing w:after="200"/>
        <w:jc w:val="both"/>
      </w:pPr>
      <w:r w:rsidRPr="00812FA5">
        <w:t>Nil</w:t>
      </w:r>
      <w:r>
        <w:t>”</w:t>
      </w:r>
    </w:p>
    <w:p w:rsidR="003A75A8" w:rsidRDefault="003A75A8" w:rsidP="003A75A8">
      <w:pPr>
        <w:spacing w:line="360" w:lineRule="auto"/>
        <w:ind w:firstLine="720"/>
        <w:jc w:val="both"/>
      </w:pPr>
      <w:r>
        <w:lastRenderedPageBreak/>
        <w:t xml:space="preserve">Again the </w:t>
      </w:r>
      <w:r w:rsidR="0067012E">
        <w:t>‘</w:t>
      </w:r>
      <w:r>
        <w:t>directors</w:t>
      </w:r>
      <w:r w:rsidR="0067012E">
        <w:t>’</w:t>
      </w:r>
      <w:r>
        <w:t xml:space="preserve"> referred to in 8.1 above </w:t>
      </w:r>
      <w:r w:rsidR="0067012E">
        <w:t>are the</w:t>
      </w:r>
      <w:r>
        <w:t xml:space="preserve"> excipients</w:t>
      </w:r>
      <w:r w:rsidR="0067012E">
        <w:t xml:space="preserve"> herein</w:t>
      </w:r>
      <w:r>
        <w:t xml:space="preserve">. </w:t>
      </w:r>
      <w:r w:rsidR="003459C6">
        <w:t xml:space="preserve">The first excipient </w:t>
      </w:r>
      <w:r w:rsidR="0067012E">
        <w:t xml:space="preserve">again </w:t>
      </w:r>
      <w:r w:rsidR="003459C6">
        <w:t>accepted the above condition</w:t>
      </w:r>
      <w:r w:rsidR="0067012E">
        <w:t>s</w:t>
      </w:r>
      <w:r w:rsidR="003459C6">
        <w:t xml:space="preserve"> on the same date the facility was granted. </w:t>
      </w:r>
    </w:p>
    <w:p w:rsidR="003A75A8" w:rsidRDefault="003459C6" w:rsidP="003A75A8">
      <w:pPr>
        <w:spacing w:line="360" w:lineRule="auto"/>
        <w:ind w:firstLine="720"/>
        <w:jc w:val="both"/>
      </w:pPr>
      <w:r>
        <w:t xml:space="preserve"> It is also important to note that</w:t>
      </w:r>
      <w:r w:rsidR="003A75A8">
        <w:t>,</w:t>
      </w:r>
      <w:r>
        <w:t xml:space="preserve"> apart from the undertakings of the excipients in terms of </w:t>
      </w:r>
      <w:proofErr w:type="spellStart"/>
      <w:r w:rsidR="0067012E">
        <w:t>para</w:t>
      </w:r>
      <w:proofErr w:type="spellEnd"/>
      <w:r w:rsidR="0067012E">
        <w:t xml:space="preserve"> </w:t>
      </w:r>
      <w:r>
        <w:t>10 in both facilities</w:t>
      </w:r>
      <w:r w:rsidR="0067012E">
        <w:t>,</w:t>
      </w:r>
      <w:r>
        <w:t xml:space="preserve"> </w:t>
      </w:r>
      <w:proofErr w:type="spellStart"/>
      <w:r w:rsidR="0067012E">
        <w:t>para</w:t>
      </w:r>
      <w:proofErr w:type="spellEnd"/>
      <w:r w:rsidR="003A75A8">
        <w:t xml:space="preserve"> 12 in both facilities, </w:t>
      </w:r>
      <w:r>
        <w:t>also provides as follows:-</w:t>
      </w:r>
    </w:p>
    <w:p w:rsidR="003459C6" w:rsidRPr="0067012E" w:rsidRDefault="003459C6" w:rsidP="003459C6">
      <w:pPr>
        <w:ind w:left="720"/>
        <w:jc w:val="both"/>
        <w:rPr>
          <w:u w:val="single"/>
        </w:rPr>
      </w:pPr>
      <w:r>
        <w:t xml:space="preserve">“12. The bank will make this facility available to the Borrower upon receipt by the Bank of a signed copy of this letter, indicating acceptance by the borrower of the terms contained herein and upon the perfection of all outstanding and proposed securities as detailed in clause 8 above.  </w:t>
      </w:r>
      <w:r w:rsidRPr="0067012E">
        <w:rPr>
          <w:u w:val="single"/>
        </w:rPr>
        <w:t xml:space="preserve">In the event of the facilities, or any portion thereof, being </w:t>
      </w:r>
      <w:proofErr w:type="spellStart"/>
      <w:r w:rsidRPr="0067012E">
        <w:rPr>
          <w:u w:val="single"/>
        </w:rPr>
        <w:t>utilised</w:t>
      </w:r>
      <w:proofErr w:type="spellEnd"/>
      <w:r w:rsidRPr="0067012E">
        <w:rPr>
          <w:u w:val="single"/>
        </w:rPr>
        <w:t xml:space="preserve"> by the Borrower prior to a signed copy of this letter being received by the Bank, the Borrower shall be deemed to have accepted the terms and conditions set out herein.</w:t>
      </w:r>
      <w:r w:rsidRPr="0067012E">
        <w:t>”</w:t>
      </w:r>
      <w:r w:rsidR="0067012E" w:rsidRPr="0067012E">
        <w:t xml:space="preserve"> </w:t>
      </w:r>
      <w:proofErr w:type="gramStart"/>
      <w:r w:rsidR="0067012E" w:rsidRPr="0067012E">
        <w:t>(My own underlining)</w:t>
      </w:r>
      <w:r w:rsidR="0067012E">
        <w:t>.</w:t>
      </w:r>
      <w:proofErr w:type="gramEnd"/>
    </w:p>
    <w:p w:rsidR="003459C6" w:rsidRDefault="003459C6" w:rsidP="003459C6">
      <w:pPr>
        <w:ind w:left="720"/>
        <w:jc w:val="both"/>
      </w:pPr>
    </w:p>
    <w:p w:rsidR="0080633F" w:rsidRDefault="003459C6" w:rsidP="003E058A">
      <w:pPr>
        <w:spacing w:line="360" w:lineRule="auto"/>
        <w:ind w:firstLine="720"/>
        <w:jc w:val="both"/>
      </w:pPr>
      <w:r>
        <w:t>In light of the above</w:t>
      </w:r>
      <w:r w:rsidR="00A41DE8">
        <w:t xml:space="preserve"> clear condition,</w:t>
      </w:r>
      <w:r w:rsidR="003A75A8">
        <w:t xml:space="preserve"> </w:t>
      </w:r>
      <w:r>
        <w:t xml:space="preserve">my view is that the release of the funds before the signing of the guarantees does not </w:t>
      </w:r>
      <w:r w:rsidR="003A75A8">
        <w:t xml:space="preserve">absolve </w:t>
      </w:r>
      <w:r>
        <w:t xml:space="preserve">the excipients from their obligations contained in </w:t>
      </w:r>
      <w:proofErr w:type="spellStart"/>
      <w:r w:rsidR="0067012E">
        <w:t>para</w:t>
      </w:r>
      <w:proofErr w:type="spellEnd"/>
      <w:r w:rsidR="0067012E">
        <w:t>(s)</w:t>
      </w:r>
      <w:r w:rsidR="003A75A8">
        <w:t xml:space="preserve"> 8 of both</w:t>
      </w:r>
      <w:r w:rsidR="0067012E">
        <w:t xml:space="preserve"> facility letters.  The excipients</w:t>
      </w:r>
      <w:r>
        <w:t xml:space="preserve"> accepted those conditions and because of tha</w:t>
      </w:r>
      <w:r w:rsidR="003A75A8">
        <w:t>t</w:t>
      </w:r>
      <w:r w:rsidR="00A41DE8">
        <w:t>,</w:t>
      </w:r>
      <w:r w:rsidR="003A75A8">
        <w:t xml:space="preserve"> funds were released to </w:t>
      </w:r>
      <w:proofErr w:type="spellStart"/>
      <w:r w:rsidR="003A75A8">
        <w:t>Eunigod</w:t>
      </w:r>
      <w:proofErr w:type="spellEnd"/>
      <w:r w:rsidR="003A75A8">
        <w:t xml:space="preserve">. In </w:t>
      </w:r>
      <w:r>
        <w:t xml:space="preserve">terms of </w:t>
      </w:r>
      <w:proofErr w:type="spellStart"/>
      <w:r w:rsidR="00647001">
        <w:t>para</w:t>
      </w:r>
      <w:proofErr w:type="spellEnd"/>
      <w:r>
        <w:t xml:space="preserve"> </w:t>
      </w:r>
      <w:r w:rsidR="00A41DE8">
        <w:t>8</w:t>
      </w:r>
      <w:r>
        <w:t xml:space="preserve"> in both facilities</w:t>
      </w:r>
      <w:r w:rsidR="00A41DE8">
        <w:t xml:space="preserve">, </w:t>
      </w:r>
      <w:proofErr w:type="spellStart"/>
      <w:r w:rsidR="00A41DE8">
        <w:t>Eunigod’s</w:t>
      </w:r>
      <w:proofErr w:type="spellEnd"/>
      <w:r w:rsidR="00A41DE8">
        <w:t xml:space="preserve"> obligations were</w:t>
      </w:r>
      <w:r>
        <w:t xml:space="preserve"> guaranteed by the excipients </w:t>
      </w:r>
      <w:r w:rsidR="00A41DE8">
        <w:t>as</w:t>
      </w:r>
      <w:r>
        <w:t xml:space="preserve"> its directions.  The guarantees were deemed to be in place as provided for under </w:t>
      </w:r>
      <w:proofErr w:type="spellStart"/>
      <w:r w:rsidR="00647001">
        <w:t>para</w:t>
      </w:r>
      <w:proofErr w:type="spellEnd"/>
      <w:r w:rsidR="00A41DE8">
        <w:t xml:space="preserve"> </w:t>
      </w:r>
      <w:r>
        <w:t>8 in both facilities.  The excipients</w:t>
      </w:r>
      <w:r w:rsidR="0080633F">
        <w:t xml:space="preserve"> </w:t>
      </w:r>
      <w:r w:rsidR="004C016B">
        <w:t>expressly</w:t>
      </w:r>
      <w:r>
        <w:t xml:space="preserve"> accepted that condition as read with </w:t>
      </w:r>
      <w:proofErr w:type="spellStart"/>
      <w:r w:rsidR="00647001">
        <w:t>para</w:t>
      </w:r>
      <w:proofErr w:type="spellEnd"/>
      <w:r w:rsidR="00647001">
        <w:t xml:space="preserve"> </w:t>
      </w:r>
      <w:r>
        <w:t xml:space="preserve">12 quoted above.  </w:t>
      </w:r>
    </w:p>
    <w:p w:rsidR="00647001" w:rsidRDefault="003459C6" w:rsidP="003E058A">
      <w:pPr>
        <w:spacing w:line="360" w:lineRule="auto"/>
        <w:ind w:firstLine="720"/>
        <w:jc w:val="both"/>
      </w:pPr>
      <w:r>
        <w:t>Given that position</w:t>
      </w:r>
      <w:r w:rsidR="0080633F">
        <w:t>,</w:t>
      </w:r>
      <w:r>
        <w:t xml:space="preserve"> I do not think there was ever any need </w:t>
      </w:r>
      <w:r w:rsidR="00647001">
        <w:t xml:space="preserve">on the part </w:t>
      </w:r>
      <w:r>
        <w:t xml:space="preserve">of the respondent to consider an application for the </w:t>
      </w:r>
      <w:r w:rsidR="0080633F">
        <w:t>lifting of the corporate veil. The facility letters</w:t>
      </w:r>
      <w:r w:rsidR="00647001">
        <w:t>,</w:t>
      </w:r>
      <w:r w:rsidR="0080633F">
        <w:t xml:space="preserve"> through </w:t>
      </w:r>
      <w:proofErr w:type="spellStart"/>
      <w:r w:rsidR="00647001">
        <w:t>para</w:t>
      </w:r>
      <w:proofErr w:type="spellEnd"/>
      <w:r w:rsidR="00647001">
        <w:t xml:space="preserve"> </w:t>
      </w:r>
      <w:r w:rsidR="0080633F">
        <w:t>12</w:t>
      </w:r>
      <w:r w:rsidR="00647001">
        <w:t>,</w:t>
      </w:r>
      <w:r>
        <w:t xml:space="preserve"> clearly indicate that the release of funds would</w:t>
      </w:r>
      <w:r w:rsidR="005A34D5">
        <w:t xml:space="preserve"> not</w:t>
      </w:r>
      <w:r>
        <w:t xml:space="preserve"> be</w:t>
      </w:r>
      <w:r w:rsidR="00647001">
        <w:t xml:space="preserve"> withheld pending the signing of ancillary documents.  The other formalities could be finalized after the release of the funds </w:t>
      </w:r>
      <w:r w:rsidR="005A34D5">
        <w:t xml:space="preserve">- </w:t>
      </w:r>
      <w:r w:rsidR="00647001">
        <w:t xml:space="preserve">but in terms of the facility letters already in place.  </w:t>
      </w:r>
      <w:r w:rsidR="00647001" w:rsidRPr="00647001">
        <w:rPr>
          <w:i/>
        </w:rPr>
        <w:t xml:space="preserve">In </w:t>
      </w:r>
      <w:proofErr w:type="spellStart"/>
      <w:r w:rsidR="00647001" w:rsidRPr="00647001">
        <w:rPr>
          <w:i/>
        </w:rPr>
        <w:t>casu</w:t>
      </w:r>
      <w:proofErr w:type="spellEnd"/>
      <w:r w:rsidR="00647001">
        <w:t>, the funds were released</w:t>
      </w:r>
      <w:r w:rsidR="005A34D5">
        <w:t xml:space="preserve"> on the strength of the agreements that were actually accepted by the excipients on behalf of </w:t>
      </w:r>
      <w:proofErr w:type="spellStart"/>
      <w:r w:rsidR="005A34D5">
        <w:t>Eunigold</w:t>
      </w:r>
      <w:proofErr w:type="spellEnd"/>
      <w:r w:rsidR="005A34D5">
        <w:t>. In so doing the “Directors” accepted the terms of the agreements wherein they were guarantors of the funds advanced</w:t>
      </w:r>
      <w:r w:rsidR="00647001">
        <w:t>.</w:t>
      </w:r>
    </w:p>
    <w:p w:rsidR="0080633F" w:rsidRDefault="003459C6" w:rsidP="003E058A">
      <w:pPr>
        <w:spacing w:line="360" w:lineRule="auto"/>
        <w:ind w:firstLine="720"/>
        <w:jc w:val="both"/>
      </w:pPr>
      <w:r>
        <w:t xml:space="preserve"> I therefore believe that by accepting the release of funds before signing the guarantees, the excipients were fully aware of their full obligations under the loan agreements.  </w:t>
      </w:r>
      <w:r w:rsidR="0080633F">
        <w:t>Accordingly I</w:t>
      </w:r>
      <w:r>
        <w:t xml:space="preserve"> find no merit in their exception.  </w:t>
      </w:r>
    </w:p>
    <w:p w:rsidR="002A1916" w:rsidRPr="003910B5" w:rsidRDefault="003459C6" w:rsidP="00A105EA">
      <w:pPr>
        <w:spacing w:line="360" w:lineRule="auto"/>
        <w:ind w:firstLine="720"/>
        <w:jc w:val="both"/>
      </w:pPr>
      <w:r>
        <w:t>The exception is dis</w:t>
      </w:r>
      <w:r w:rsidR="003E058A">
        <w:t>missed with costs.</w:t>
      </w:r>
    </w:p>
    <w:p w:rsidR="001454CE" w:rsidRDefault="001454CE" w:rsidP="00A83729">
      <w:pPr>
        <w:jc w:val="both"/>
        <w:rPr>
          <w:i/>
        </w:rPr>
      </w:pPr>
    </w:p>
    <w:p w:rsidR="00A83729" w:rsidRDefault="00A83729" w:rsidP="00A83729">
      <w:pPr>
        <w:jc w:val="both"/>
      </w:pPr>
      <w:proofErr w:type="spellStart"/>
      <w:r>
        <w:rPr>
          <w:i/>
        </w:rPr>
        <w:t>Messrs</w:t>
      </w:r>
      <w:proofErr w:type="spellEnd"/>
      <w:r>
        <w:rPr>
          <w:i/>
        </w:rPr>
        <w:t xml:space="preserve"> </w:t>
      </w:r>
      <w:proofErr w:type="spellStart"/>
      <w:r w:rsidR="00435577">
        <w:rPr>
          <w:i/>
        </w:rPr>
        <w:t>Mugugu</w:t>
      </w:r>
      <w:proofErr w:type="spellEnd"/>
      <w:r w:rsidR="00435577">
        <w:rPr>
          <w:i/>
        </w:rPr>
        <w:t xml:space="preserve"> &amp; Associates</w:t>
      </w:r>
      <w:r>
        <w:t xml:space="preserve">, </w:t>
      </w:r>
      <w:r w:rsidR="00435577">
        <w:t>plaintiff’s legal</w:t>
      </w:r>
      <w:r>
        <w:t xml:space="preserve"> practitioners</w:t>
      </w:r>
    </w:p>
    <w:p w:rsidR="006B4E18" w:rsidRDefault="00A83729" w:rsidP="00A105EA">
      <w:pPr>
        <w:jc w:val="both"/>
      </w:pPr>
      <w:proofErr w:type="spellStart"/>
      <w:r>
        <w:rPr>
          <w:i/>
        </w:rPr>
        <w:t>Messrs</w:t>
      </w:r>
      <w:proofErr w:type="spellEnd"/>
      <w:r>
        <w:rPr>
          <w:i/>
        </w:rPr>
        <w:t xml:space="preserve"> </w:t>
      </w:r>
      <w:proofErr w:type="spellStart"/>
      <w:r w:rsidR="00435577">
        <w:rPr>
          <w:i/>
        </w:rPr>
        <w:t>Mutezo</w:t>
      </w:r>
      <w:proofErr w:type="spellEnd"/>
      <w:r w:rsidR="00435577">
        <w:rPr>
          <w:i/>
        </w:rPr>
        <w:t xml:space="preserve"> &amp; </w:t>
      </w:r>
      <w:proofErr w:type="spellStart"/>
      <w:r w:rsidR="00435577">
        <w:rPr>
          <w:i/>
        </w:rPr>
        <w:t>Mugomezo</w:t>
      </w:r>
      <w:proofErr w:type="spellEnd"/>
      <w:r w:rsidR="00D35ABD">
        <w:rPr>
          <w:i/>
        </w:rPr>
        <w:t xml:space="preserve"> </w:t>
      </w:r>
      <w:proofErr w:type="spellStart"/>
      <w:r w:rsidR="00D35ABD">
        <w:rPr>
          <w:i/>
        </w:rPr>
        <w:t>Guest</w:t>
      </w:r>
      <w:proofErr w:type="gramStart"/>
      <w:r>
        <w:t>,</w:t>
      </w:r>
      <w:r w:rsidR="00435577">
        <w:t>defendant’s</w:t>
      </w:r>
      <w:proofErr w:type="spellEnd"/>
      <w:proofErr w:type="gramEnd"/>
      <w:r>
        <w:t xml:space="preserve"> legal practitioners  </w:t>
      </w:r>
    </w:p>
    <w:sectPr w:rsidR="006B4E18" w:rsidSect="00A00E32">
      <w:headerReference w:type="default" r:id="rId9"/>
      <w:headerReference w:type="first" r:id="rId10"/>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37" w:rsidRDefault="00BE5937" w:rsidP="00B26910">
      <w:r>
        <w:separator/>
      </w:r>
    </w:p>
  </w:endnote>
  <w:endnote w:type="continuationSeparator" w:id="0">
    <w:p w:rsidR="00BE5937" w:rsidRDefault="00BE5937" w:rsidP="00B2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37" w:rsidRDefault="00BE5937" w:rsidP="00B26910">
      <w:r>
        <w:separator/>
      </w:r>
    </w:p>
  </w:footnote>
  <w:footnote w:type="continuationSeparator" w:id="0">
    <w:p w:rsidR="00BE5937" w:rsidRDefault="00BE5937" w:rsidP="00B26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4"/>
      <w:docPartObj>
        <w:docPartGallery w:val="Page Numbers (Top of Page)"/>
        <w:docPartUnique/>
      </w:docPartObj>
    </w:sdtPr>
    <w:sdtEndPr/>
    <w:sdtContent>
      <w:p w:rsidR="0067012E" w:rsidRDefault="00BE5937">
        <w:pPr>
          <w:pStyle w:val="Header"/>
          <w:jc w:val="right"/>
        </w:pPr>
        <w:r>
          <w:fldChar w:fldCharType="begin"/>
        </w:r>
        <w:r>
          <w:instrText xml:space="preserve"> PAGE   \* MERGEFORMAT </w:instrText>
        </w:r>
        <w:r>
          <w:fldChar w:fldCharType="separate"/>
        </w:r>
        <w:r w:rsidR="009C27C5">
          <w:rPr>
            <w:noProof/>
          </w:rPr>
          <w:t>1</w:t>
        </w:r>
        <w:r>
          <w:rPr>
            <w:noProof/>
          </w:rPr>
          <w:fldChar w:fldCharType="end"/>
        </w:r>
      </w:p>
      <w:p w:rsidR="0067012E" w:rsidRDefault="0067012E">
        <w:pPr>
          <w:pStyle w:val="Header"/>
          <w:jc w:val="right"/>
        </w:pPr>
        <w:r>
          <w:t>HH</w:t>
        </w:r>
        <w:r w:rsidR="001454CE">
          <w:t>493</w:t>
        </w:r>
        <w:r>
          <w:t xml:space="preserve"> -13</w:t>
        </w:r>
      </w:p>
      <w:p w:rsidR="0067012E" w:rsidRDefault="0067012E">
        <w:pPr>
          <w:pStyle w:val="Header"/>
          <w:jc w:val="right"/>
        </w:pPr>
        <w:r>
          <w:t>HC 13074/12</w:t>
        </w:r>
      </w:p>
    </w:sdtContent>
  </w:sdt>
  <w:p w:rsidR="0067012E" w:rsidRDefault="00670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2E" w:rsidRDefault="00BE5937">
    <w:pPr>
      <w:pStyle w:val="Header"/>
      <w:jc w:val="right"/>
    </w:pPr>
    <w:r>
      <w:fldChar w:fldCharType="begin"/>
    </w:r>
    <w:r>
      <w:instrText xml:space="preserve"> PAGE   \* MERGEFORMAT </w:instrText>
    </w:r>
    <w:r>
      <w:fldChar w:fldCharType="separate"/>
    </w:r>
    <w:r w:rsidR="0067012E">
      <w:rPr>
        <w:noProof/>
      </w:rPr>
      <w:t>1</w:t>
    </w:r>
    <w:r>
      <w:rPr>
        <w:noProof/>
      </w:rPr>
      <w:fldChar w:fldCharType="end"/>
    </w:r>
  </w:p>
  <w:p w:rsidR="0067012E" w:rsidRDefault="00670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A4D"/>
    <w:multiLevelType w:val="hybridMultilevel"/>
    <w:tmpl w:val="3CCA99A0"/>
    <w:lvl w:ilvl="0" w:tplc="E20683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520945"/>
    <w:multiLevelType w:val="hybridMultilevel"/>
    <w:tmpl w:val="13A4CC5C"/>
    <w:lvl w:ilvl="0" w:tplc="AB740C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0D620E3"/>
    <w:multiLevelType w:val="hybridMultilevel"/>
    <w:tmpl w:val="7436E0EA"/>
    <w:lvl w:ilvl="0" w:tplc="45868A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0367D9"/>
    <w:multiLevelType w:val="hybridMultilevel"/>
    <w:tmpl w:val="E4E8444C"/>
    <w:lvl w:ilvl="0" w:tplc="EA80E90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3DC2CFF"/>
    <w:multiLevelType w:val="hybridMultilevel"/>
    <w:tmpl w:val="ED7681BA"/>
    <w:lvl w:ilvl="0" w:tplc="013474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80264C4"/>
    <w:multiLevelType w:val="hybridMultilevel"/>
    <w:tmpl w:val="977846D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nsid w:val="3F5B4557"/>
    <w:multiLevelType w:val="hybridMultilevel"/>
    <w:tmpl w:val="2A520752"/>
    <w:lvl w:ilvl="0" w:tplc="2EC466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2A1573F"/>
    <w:multiLevelType w:val="hybridMultilevel"/>
    <w:tmpl w:val="F23EDDEE"/>
    <w:lvl w:ilvl="0" w:tplc="8ED4EF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76400E0"/>
    <w:multiLevelType w:val="hybridMultilevel"/>
    <w:tmpl w:val="1116C12A"/>
    <w:lvl w:ilvl="0" w:tplc="5A328D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481934C3"/>
    <w:multiLevelType w:val="hybridMultilevel"/>
    <w:tmpl w:val="B1C09EF4"/>
    <w:lvl w:ilvl="0" w:tplc="A46A1F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B38677F"/>
    <w:multiLevelType w:val="hybridMultilevel"/>
    <w:tmpl w:val="25742E1E"/>
    <w:lvl w:ilvl="0" w:tplc="A22284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1BA206A"/>
    <w:multiLevelType w:val="hybridMultilevel"/>
    <w:tmpl w:val="ADB8E29C"/>
    <w:lvl w:ilvl="0" w:tplc="B8AE9E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77C0793"/>
    <w:multiLevelType w:val="hybridMultilevel"/>
    <w:tmpl w:val="F8FA40C2"/>
    <w:lvl w:ilvl="0" w:tplc="7BD624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9722CCD"/>
    <w:multiLevelType w:val="hybridMultilevel"/>
    <w:tmpl w:val="C54C7856"/>
    <w:lvl w:ilvl="0" w:tplc="5CCA0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EB43AAF"/>
    <w:multiLevelType w:val="hybridMultilevel"/>
    <w:tmpl w:val="3670F388"/>
    <w:lvl w:ilvl="0" w:tplc="6B0AD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1505328"/>
    <w:multiLevelType w:val="hybridMultilevel"/>
    <w:tmpl w:val="CF8A6744"/>
    <w:lvl w:ilvl="0" w:tplc="30090001">
      <w:start w:val="1"/>
      <w:numFmt w:val="bullet"/>
      <w:lvlText w:val=""/>
      <w:lvlJc w:val="left"/>
      <w:pPr>
        <w:ind w:left="720" w:hanging="360"/>
      </w:pPr>
      <w:rPr>
        <w:rFonts w:ascii="Symbol" w:hAnsi="Symbol" w:hint="default"/>
      </w:rPr>
    </w:lvl>
    <w:lvl w:ilvl="1" w:tplc="30090001">
      <w:start w:val="1"/>
      <w:numFmt w:val="bullet"/>
      <w:lvlText w:val=""/>
      <w:lvlJc w:val="left"/>
      <w:pPr>
        <w:ind w:left="1440" w:hanging="360"/>
      </w:pPr>
      <w:rPr>
        <w:rFonts w:ascii="Symbol" w:hAnsi="Symbol"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72253B34"/>
    <w:multiLevelType w:val="hybridMultilevel"/>
    <w:tmpl w:val="E508203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nsid w:val="7A1E2DE6"/>
    <w:multiLevelType w:val="hybridMultilevel"/>
    <w:tmpl w:val="F53E10DE"/>
    <w:lvl w:ilvl="0" w:tplc="A75856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7A223D71"/>
    <w:multiLevelType w:val="hybridMultilevel"/>
    <w:tmpl w:val="04E63692"/>
    <w:lvl w:ilvl="0" w:tplc="A33CA7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11"/>
  </w:num>
  <w:num w:numId="4">
    <w:abstractNumId w:val="13"/>
  </w:num>
  <w:num w:numId="5">
    <w:abstractNumId w:val="10"/>
  </w:num>
  <w:num w:numId="6">
    <w:abstractNumId w:val="2"/>
  </w:num>
  <w:num w:numId="7">
    <w:abstractNumId w:val="14"/>
  </w:num>
  <w:num w:numId="8">
    <w:abstractNumId w:val="9"/>
  </w:num>
  <w:num w:numId="9">
    <w:abstractNumId w:val="12"/>
  </w:num>
  <w:num w:numId="10">
    <w:abstractNumId w:val="6"/>
  </w:num>
  <w:num w:numId="11">
    <w:abstractNumId w:val="18"/>
  </w:num>
  <w:num w:numId="12">
    <w:abstractNumId w:val="8"/>
  </w:num>
  <w:num w:numId="13">
    <w:abstractNumId w:val="0"/>
  </w:num>
  <w:num w:numId="14">
    <w:abstractNumId w:val="7"/>
  </w:num>
  <w:num w:numId="15">
    <w:abstractNumId w:val="17"/>
  </w:num>
  <w:num w:numId="16">
    <w:abstractNumId w:val="3"/>
  </w:num>
  <w:num w:numId="17">
    <w:abstractNumId w:val="15"/>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6910"/>
    <w:rsid w:val="000914C9"/>
    <w:rsid w:val="00095AD1"/>
    <w:rsid w:val="00096296"/>
    <w:rsid w:val="000B483E"/>
    <w:rsid w:val="000C5F38"/>
    <w:rsid w:val="000F6EF3"/>
    <w:rsid w:val="00100481"/>
    <w:rsid w:val="00120BA1"/>
    <w:rsid w:val="0013185A"/>
    <w:rsid w:val="001454CE"/>
    <w:rsid w:val="00147978"/>
    <w:rsid w:val="001538AE"/>
    <w:rsid w:val="00185E44"/>
    <w:rsid w:val="001A4E02"/>
    <w:rsid w:val="001B4252"/>
    <w:rsid w:val="002203B6"/>
    <w:rsid w:val="00231564"/>
    <w:rsid w:val="00261A57"/>
    <w:rsid w:val="00266B43"/>
    <w:rsid w:val="002804F4"/>
    <w:rsid w:val="00295897"/>
    <w:rsid w:val="002A1916"/>
    <w:rsid w:val="002A4F19"/>
    <w:rsid w:val="002D139A"/>
    <w:rsid w:val="002F072E"/>
    <w:rsid w:val="00330AE6"/>
    <w:rsid w:val="00345146"/>
    <w:rsid w:val="003459C6"/>
    <w:rsid w:val="003511A2"/>
    <w:rsid w:val="0037329F"/>
    <w:rsid w:val="003910B5"/>
    <w:rsid w:val="003A75A8"/>
    <w:rsid w:val="003B4F44"/>
    <w:rsid w:val="003C3208"/>
    <w:rsid w:val="003E058A"/>
    <w:rsid w:val="003E0CD4"/>
    <w:rsid w:val="00403680"/>
    <w:rsid w:val="00435577"/>
    <w:rsid w:val="00461F23"/>
    <w:rsid w:val="00465527"/>
    <w:rsid w:val="00473766"/>
    <w:rsid w:val="004A24D9"/>
    <w:rsid w:val="004B6A6D"/>
    <w:rsid w:val="004C016B"/>
    <w:rsid w:val="004F36A1"/>
    <w:rsid w:val="0050331D"/>
    <w:rsid w:val="00505441"/>
    <w:rsid w:val="005351BD"/>
    <w:rsid w:val="00537045"/>
    <w:rsid w:val="0057172B"/>
    <w:rsid w:val="00574FC1"/>
    <w:rsid w:val="00580270"/>
    <w:rsid w:val="005A0044"/>
    <w:rsid w:val="005A34D5"/>
    <w:rsid w:val="005C034E"/>
    <w:rsid w:val="005C37F5"/>
    <w:rsid w:val="005E282D"/>
    <w:rsid w:val="0060685C"/>
    <w:rsid w:val="00647001"/>
    <w:rsid w:val="0067012E"/>
    <w:rsid w:val="00672089"/>
    <w:rsid w:val="006A5746"/>
    <w:rsid w:val="006B4E18"/>
    <w:rsid w:val="006E1C37"/>
    <w:rsid w:val="0071150C"/>
    <w:rsid w:val="00742101"/>
    <w:rsid w:val="0075372C"/>
    <w:rsid w:val="0076250D"/>
    <w:rsid w:val="007B374E"/>
    <w:rsid w:val="007C7F43"/>
    <w:rsid w:val="007F4D16"/>
    <w:rsid w:val="0080633F"/>
    <w:rsid w:val="00812049"/>
    <w:rsid w:val="008B15D7"/>
    <w:rsid w:val="008B462F"/>
    <w:rsid w:val="008F4224"/>
    <w:rsid w:val="00950775"/>
    <w:rsid w:val="00962EFB"/>
    <w:rsid w:val="009658E4"/>
    <w:rsid w:val="009B4FDA"/>
    <w:rsid w:val="009C27C5"/>
    <w:rsid w:val="009E34C9"/>
    <w:rsid w:val="009F3B90"/>
    <w:rsid w:val="00A00E32"/>
    <w:rsid w:val="00A01015"/>
    <w:rsid w:val="00A105EA"/>
    <w:rsid w:val="00A41DE8"/>
    <w:rsid w:val="00A6518D"/>
    <w:rsid w:val="00A8271E"/>
    <w:rsid w:val="00A83729"/>
    <w:rsid w:val="00AA2E1A"/>
    <w:rsid w:val="00AB3212"/>
    <w:rsid w:val="00AB6DF5"/>
    <w:rsid w:val="00AE2F53"/>
    <w:rsid w:val="00B26910"/>
    <w:rsid w:val="00B36221"/>
    <w:rsid w:val="00B87CE6"/>
    <w:rsid w:val="00BE5937"/>
    <w:rsid w:val="00C167C2"/>
    <w:rsid w:val="00C23CA5"/>
    <w:rsid w:val="00C4280E"/>
    <w:rsid w:val="00C46ACB"/>
    <w:rsid w:val="00CB039B"/>
    <w:rsid w:val="00CB4648"/>
    <w:rsid w:val="00CB5C52"/>
    <w:rsid w:val="00CB607E"/>
    <w:rsid w:val="00D35ABD"/>
    <w:rsid w:val="00D76722"/>
    <w:rsid w:val="00E02BD8"/>
    <w:rsid w:val="00E328BA"/>
    <w:rsid w:val="00E4302F"/>
    <w:rsid w:val="00E55B66"/>
    <w:rsid w:val="00EB5ABE"/>
    <w:rsid w:val="00EF5F5A"/>
    <w:rsid w:val="00F14B17"/>
    <w:rsid w:val="00F6209E"/>
    <w:rsid w:val="00FC7EA8"/>
    <w:rsid w:val="00FD7A76"/>
    <w:rsid w:val="00FE3A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910"/>
    <w:pPr>
      <w:tabs>
        <w:tab w:val="center" w:pos="4513"/>
        <w:tab w:val="right" w:pos="9026"/>
      </w:tabs>
    </w:pPr>
  </w:style>
  <w:style w:type="character" w:customStyle="1" w:styleId="HeaderChar">
    <w:name w:val="Header Char"/>
    <w:basedOn w:val="DefaultParagraphFont"/>
    <w:link w:val="Header"/>
    <w:uiPriority w:val="99"/>
    <w:rsid w:val="00B2691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6910"/>
    <w:pPr>
      <w:ind w:left="720"/>
      <w:contextualSpacing/>
    </w:pPr>
  </w:style>
  <w:style w:type="paragraph" w:styleId="Footer">
    <w:name w:val="footer"/>
    <w:basedOn w:val="Normal"/>
    <w:link w:val="FooterChar"/>
    <w:uiPriority w:val="99"/>
    <w:semiHidden/>
    <w:unhideWhenUsed/>
    <w:rsid w:val="00B26910"/>
    <w:pPr>
      <w:tabs>
        <w:tab w:val="center" w:pos="4513"/>
        <w:tab w:val="right" w:pos="9026"/>
      </w:tabs>
    </w:pPr>
  </w:style>
  <w:style w:type="character" w:customStyle="1" w:styleId="FooterChar">
    <w:name w:val="Footer Char"/>
    <w:basedOn w:val="DefaultParagraphFont"/>
    <w:link w:val="Footer"/>
    <w:uiPriority w:val="99"/>
    <w:semiHidden/>
    <w:rsid w:val="00B2691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23DF-201D-4030-A2D5-3595937D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2013-12-17T10:38:00Z</cp:lastPrinted>
  <dcterms:created xsi:type="dcterms:W3CDTF">2013-12-18T10:03:00Z</dcterms:created>
  <dcterms:modified xsi:type="dcterms:W3CDTF">2013-12-18T10:03:00Z</dcterms:modified>
</cp:coreProperties>
</file>