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7A0" w:rsidRPr="00717308" w:rsidRDefault="001467A0" w:rsidP="001467A0">
      <w:pPr>
        <w:pStyle w:val="NoSpacing"/>
        <w:rPr>
          <w:b/>
          <w:szCs w:val="24"/>
        </w:rPr>
      </w:pPr>
      <w:r w:rsidRPr="00C61BEC">
        <w:rPr>
          <w:b/>
          <w:szCs w:val="24"/>
        </w:rPr>
        <w:t>C.G. T</w:t>
      </w:r>
      <w:r w:rsidR="00685E98">
        <w:rPr>
          <w:b/>
          <w:sz w:val="36"/>
          <w:szCs w:val="36"/>
        </w:rPr>
        <w:t>o</w:t>
      </w:r>
      <w:r w:rsidRPr="00717308">
        <w:rPr>
          <w:b/>
          <w:szCs w:val="24"/>
        </w:rPr>
        <w:t>MMY</w:t>
      </w:r>
    </w:p>
    <w:p w:rsidR="001467A0" w:rsidRPr="00717308" w:rsidRDefault="001467A0" w:rsidP="001467A0">
      <w:pPr>
        <w:pStyle w:val="NoSpacing"/>
        <w:rPr>
          <w:b/>
          <w:szCs w:val="24"/>
        </w:rPr>
      </w:pPr>
    </w:p>
    <w:p w:rsidR="001467A0" w:rsidRPr="00717308" w:rsidRDefault="001467A0" w:rsidP="001467A0">
      <w:pPr>
        <w:pStyle w:val="NoSpacing"/>
        <w:rPr>
          <w:b/>
          <w:szCs w:val="24"/>
        </w:rPr>
      </w:pPr>
      <w:r w:rsidRPr="00717308">
        <w:rPr>
          <w:b/>
          <w:szCs w:val="24"/>
        </w:rPr>
        <w:t>Versus</w:t>
      </w:r>
    </w:p>
    <w:p w:rsidR="001467A0" w:rsidRPr="00717308" w:rsidRDefault="001467A0" w:rsidP="001467A0">
      <w:pPr>
        <w:pStyle w:val="NoSpacing"/>
        <w:rPr>
          <w:b/>
          <w:szCs w:val="24"/>
        </w:rPr>
      </w:pPr>
    </w:p>
    <w:p w:rsidR="001467A0" w:rsidRPr="00717308" w:rsidRDefault="00717308" w:rsidP="00C61BEC">
      <w:pPr>
        <w:pStyle w:val="NoSpacing"/>
        <w:jc w:val="both"/>
        <w:rPr>
          <w:b/>
          <w:szCs w:val="24"/>
        </w:rPr>
      </w:pPr>
      <w:r w:rsidRPr="00717308">
        <w:rPr>
          <w:b/>
          <w:szCs w:val="24"/>
        </w:rPr>
        <w:t>M</w:t>
      </w:r>
      <w:r w:rsidR="001467A0" w:rsidRPr="00717308">
        <w:rPr>
          <w:b/>
          <w:szCs w:val="24"/>
        </w:rPr>
        <w:t>ICHAEL JOHN GUNN</w:t>
      </w:r>
    </w:p>
    <w:p w:rsidR="001467A0" w:rsidRPr="00717308" w:rsidRDefault="001467A0" w:rsidP="00C61BEC">
      <w:pPr>
        <w:pStyle w:val="NoSpacing"/>
        <w:jc w:val="both"/>
        <w:rPr>
          <w:b/>
          <w:szCs w:val="24"/>
        </w:rPr>
      </w:pPr>
    </w:p>
    <w:p w:rsidR="001467A0" w:rsidRPr="00717308" w:rsidRDefault="001467A0" w:rsidP="00C61BEC">
      <w:pPr>
        <w:pStyle w:val="NoSpacing"/>
        <w:jc w:val="both"/>
        <w:rPr>
          <w:b/>
          <w:szCs w:val="24"/>
        </w:rPr>
      </w:pPr>
      <w:r w:rsidRPr="00717308">
        <w:rPr>
          <w:b/>
          <w:szCs w:val="24"/>
        </w:rPr>
        <w:t>And</w:t>
      </w:r>
    </w:p>
    <w:p w:rsidR="001467A0" w:rsidRPr="00717308" w:rsidRDefault="001467A0" w:rsidP="00C61BEC">
      <w:pPr>
        <w:pStyle w:val="NoSpacing"/>
        <w:jc w:val="both"/>
        <w:rPr>
          <w:b/>
          <w:szCs w:val="24"/>
        </w:rPr>
      </w:pPr>
    </w:p>
    <w:p w:rsidR="001467A0" w:rsidRPr="00717308" w:rsidRDefault="001467A0" w:rsidP="00C61BEC">
      <w:pPr>
        <w:pStyle w:val="NoSpacing"/>
        <w:jc w:val="both"/>
        <w:rPr>
          <w:b/>
          <w:szCs w:val="24"/>
        </w:rPr>
      </w:pPr>
      <w:r w:rsidRPr="00717308">
        <w:rPr>
          <w:b/>
          <w:szCs w:val="24"/>
        </w:rPr>
        <w:t>L</w:t>
      </w:r>
      <w:r w:rsidR="00717308" w:rsidRPr="00717308">
        <w:rPr>
          <w:b/>
          <w:szCs w:val="24"/>
        </w:rPr>
        <w:t>I</w:t>
      </w:r>
      <w:r w:rsidRPr="00717308">
        <w:rPr>
          <w:b/>
          <w:szCs w:val="24"/>
        </w:rPr>
        <w:t>NDY GUNN</w:t>
      </w:r>
    </w:p>
    <w:p w:rsidR="001467A0" w:rsidRPr="00717308" w:rsidRDefault="001467A0" w:rsidP="00C61BEC">
      <w:pPr>
        <w:pStyle w:val="NoSpacing"/>
        <w:jc w:val="both"/>
        <w:rPr>
          <w:b/>
          <w:szCs w:val="24"/>
        </w:rPr>
      </w:pPr>
    </w:p>
    <w:p w:rsidR="001467A0" w:rsidRPr="00717308" w:rsidRDefault="001467A0" w:rsidP="00C61BEC">
      <w:pPr>
        <w:pStyle w:val="NoSpacing"/>
        <w:jc w:val="both"/>
        <w:rPr>
          <w:szCs w:val="24"/>
        </w:rPr>
      </w:pPr>
      <w:r w:rsidRPr="00717308">
        <w:rPr>
          <w:szCs w:val="24"/>
        </w:rPr>
        <w:t>IN THE HIGH COURT OF ZIMBABWE</w:t>
      </w:r>
    </w:p>
    <w:p w:rsidR="001467A0" w:rsidRPr="00717308" w:rsidRDefault="001467A0" w:rsidP="00C61BEC">
      <w:pPr>
        <w:pStyle w:val="NoSpacing"/>
        <w:jc w:val="both"/>
        <w:rPr>
          <w:szCs w:val="24"/>
        </w:rPr>
      </w:pPr>
      <w:r w:rsidRPr="00717308">
        <w:rPr>
          <w:szCs w:val="24"/>
        </w:rPr>
        <w:t>MAKONESE &amp; MOYO JJ</w:t>
      </w:r>
    </w:p>
    <w:p w:rsidR="001467A0" w:rsidRPr="00717308" w:rsidRDefault="001467A0" w:rsidP="00C61BEC">
      <w:pPr>
        <w:pStyle w:val="NoSpacing"/>
        <w:jc w:val="both"/>
        <w:rPr>
          <w:szCs w:val="24"/>
        </w:rPr>
      </w:pPr>
      <w:r w:rsidRPr="00717308">
        <w:rPr>
          <w:szCs w:val="24"/>
        </w:rPr>
        <w:t>BULAWAYO 11 FEBRUARY 2019</w:t>
      </w:r>
    </w:p>
    <w:p w:rsidR="001467A0" w:rsidRPr="00717308" w:rsidRDefault="001467A0" w:rsidP="00C61BEC">
      <w:pPr>
        <w:pStyle w:val="NoSpacing"/>
        <w:jc w:val="both"/>
        <w:rPr>
          <w:szCs w:val="24"/>
        </w:rPr>
      </w:pPr>
    </w:p>
    <w:p w:rsidR="001467A0" w:rsidRPr="00717308" w:rsidRDefault="001467A0" w:rsidP="00C61BEC">
      <w:pPr>
        <w:pStyle w:val="NoSpacing"/>
        <w:jc w:val="both"/>
        <w:rPr>
          <w:b/>
          <w:szCs w:val="24"/>
        </w:rPr>
      </w:pPr>
      <w:r w:rsidRPr="00717308">
        <w:rPr>
          <w:b/>
          <w:szCs w:val="24"/>
        </w:rPr>
        <w:t>Civil Appeal</w:t>
      </w:r>
    </w:p>
    <w:p w:rsidR="001467A0" w:rsidRPr="00717308" w:rsidRDefault="001467A0" w:rsidP="00C61BEC">
      <w:pPr>
        <w:pStyle w:val="NoSpacing"/>
        <w:jc w:val="both"/>
        <w:rPr>
          <w:b/>
          <w:szCs w:val="24"/>
        </w:rPr>
      </w:pPr>
    </w:p>
    <w:p w:rsidR="001467A0" w:rsidRPr="00717308" w:rsidRDefault="001467A0" w:rsidP="00C61BEC">
      <w:pPr>
        <w:pStyle w:val="NoSpacing"/>
        <w:jc w:val="both"/>
        <w:rPr>
          <w:szCs w:val="24"/>
        </w:rPr>
      </w:pPr>
      <w:r w:rsidRPr="00717308">
        <w:rPr>
          <w:i/>
          <w:szCs w:val="24"/>
        </w:rPr>
        <w:t xml:space="preserve">D. </w:t>
      </w:r>
      <w:proofErr w:type="spellStart"/>
      <w:r w:rsidRPr="00717308">
        <w:rPr>
          <w:i/>
          <w:szCs w:val="24"/>
        </w:rPr>
        <w:t>Dube</w:t>
      </w:r>
      <w:proofErr w:type="spellEnd"/>
      <w:r w:rsidRPr="00717308">
        <w:rPr>
          <w:szCs w:val="24"/>
        </w:rPr>
        <w:t xml:space="preserve"> for the applicant</w:t>
      </w:r>
    </w:p>
    <w:p w:rsidR="001467A0" w:rsidRPr="00717308" w:rsidRDefault="001467A0" w:rsidP="00C61BEC">
      <w:pPr>
        <w:pStyle w:val="NoSpacing"/>
        <w:jc w:val="both"/>
        <w:rPr>
          <w:szCs w:val="24"/>
        </w:rPr>
      </w:pPr>
      <w:r w:rsidRPr="00717308">
        <w:rPr>
          <w:i/>
          <w:szCs w:val="24"/>
        </w:rPr>
        <w:t xml:space="preserve">S. </w:t>
      </w:r>
      <w:proofErr w:type="spellStart"/>
      <w:r w:rsidRPr="00717308">
        <w:rPr>
          <w:i/>
          <w:szCs w:val="24"/>
        </w:rPr>
        <w:t>Tshumele</w:t>
      </w:r>
      <w:proofErr w:type="spellEnd"/>
      <w:r w:rsidRPr="00717308">
        <w:rPr>
          <w:szCs w:val="24"/>
        </w:rPr>
        <w:t xml:space="preserve"> for the respondents</w:t>
      </w:r>
    </w:p>
    <w:p w:rsidR="001467A0" w:rsidRPr="00717308" w:rsidRDefault="001467A0" w:rsidP="00C61BEC">
      <w:pPr>
        <w:jc w:val="both"/>
        <w:rPr>
          <w:szCs w:val="24"/>
        </w:rPr>
      </w:pPr>
      <w:r w:rsidRPr="00717308">
        <w:rPr>
          <w:szCs w:val="24"/>
        </w:rPr>
        <w:tab/>
      </w:r>
      <w:r w:rsidRPr="00717308">
        <w:rPr>
          <w:b/>
          <w:szCs w:val="24"/>
        </w:rPr>
        <w:t>MAKONESE J:</w:t>
      </w:r>
      <w:r w:rsidRPr="00717308">
        <w:rPr>
          <w:b/>
          <w:szCs w:val="24"/>
        </w:rPr>
        <w:tab/>
      </w:r>
      <w:r w:rsidRPr="00717308">
        <w:rPr>
          <w:szCs w:val="24"/>
        </w:rPr>
        <w:t>This is an appeal against the judgment of the magistrate sitting at Bulawayo on the 8</w:t>
      </w:r>
      <w:r w:rsidRPr="00717308">
        <w:rPr>
          <w:szCs w:val="24"/>
          <w:vertAlign w:val="superscript"/>
        </w:rPr>
        <w:t>th</w:t>
      </w:r>
      <w:r w:rsidRPr="00717308">
        <w:rPr>
          <w:szCs w:val="24"/>
        </w:rPr>
        <w:t xml:space="preserve"> January 2018.</w:t>
      </w:r>
    </w:p>
    <w:p w:rsidR="001467A0" w:rsidRPr="00717308" w:rsidRDefault="001467A0" w:rsidP="00C61BEC">
      <w:pPr>
        <w:jc w:val="both"/>
        <w:rPr>
          <w:szCs w:val="24"/>
        </w:rPr>
      </w:pPr>
      <w:r w:rsidRPr="00717308">
        <w:rPr>
          <w:szCs w:val="24"/>
        </w:rPr>
        <w:tab/>
        <w:t xml:space="preserve">The respondents instituted action in the Magistrates’ Court seeking amongst other things the eviction of the appellant and payment of arrear rentals </w:t>
      </w:r>
      <w:r w:rsidR="00717308" w:rsidRPr="00717308">
        <w:rPr>
          <w:szCs w:val="24"/>
        </w:rPr>
        <w:t>i</w:t>
      </w:r>
      <w:r w:rsidRPr="00717308">
        <w:rPr>
          <w:szCs w:val="24"/>
        </w:rPr>
        <w:t xml:space="preserve">n respect of a property known as number 4 </w:t>
      </w:r>
      <w:proofErr w:type="spellStart"/>
      <w:r w:rsidRPr="00717308">
        <w:rPr>
          <w:szCs w:val="24"/>
        </w:rPr>
        <w:t>Clocolan</w:t>
      </w:r>
      <w:proofErr w:type="spellEnd"/>
      <w:r w:rsidRPr="00717308">
        <w:rPr>
          <w:szCs w:val="24"/>
        </w:rPr>
        <w:t xml:space="preserve"> Road, Burnside, Bulawayo.  The respondent defended the matter.  The matter was set down for a pre-trial conference.  The applicant and her legal practitioner failed to attend the hearing.  The respondent applied for and obtained leave to file an application to strike out appellant’s defence.  The application was made and an order was granted.</w:t>
      </w:r>
    </w:p>
    <w:p w:rsidR="001467A0" w:rsidRPr="00717308" w:rsidRDefault="001467A0" w:rsidP="00C61BEC">
      <w:pPr>
        <w:jc w:val="both"/>
        <w:rPr>
          <w:szCs w:val="24"/>
        </w:rPr>
      </w:pPr>
      <w:r w:rsidRPr="00717308">
        <w:rPr>
          <w:szCs w:val="24"/>
        </w:rPr>
        <w:tab/>
        <w:t>The applicant has applied against the judgment of the magistrate striking off the appellant’s defence.  The issues raised in the notice of appeal are primarily</w:t>
      </w:r>
      <w:r w:rsidR="009D505B" w:rsidRPr="00717308">
        <w:rPr>
          <w:szCs w:val="24"/>
        </w:rPr>
        <w:t>:</w:t>
      </w:r>
    </w:p>
    <w:p w:rsidR="009D505B" w:rsidRPr="00717308" w:rsidRDefault="009D505B" w:rsidP="00C61BEC">
      <w:pPr>
        <w:pStyle w:val="ListParagraph"/>
        <w:numPr>
          <w:ilvl w:val="0"/>
          <w:numId w:val="1"/>
        </w:numPr>
        <w:jc w:val="both"/>
        <w:rPr>
          <w:szCs w:val="24"/>
        </w:rPr>
      </w:pPr>
      <w:r w:rsidRPr="00717308">
        <w:rPr>
          <w:szCs w:val="24"/>
        </w:rPr>
        <w:t>Whether the appellant was in willful default in failing to attend the pre-trial conference</w:t>
      </w:r>
    </w:p>
    <w:p w:rsidR="009D505B" w:rsidRPr="00717308" w:rsidRDefault="009D505B" w:rsidP="00C61BEC">
      <w:pPr>
        <w:pStyle w:val="ListParagraph"/>
        <w:numPr>
          <w:ilvl w:val="0"/>
          <w:numId w:val="1"/>
        </w:numPr>
        <w:jc w:val="both"/>
        <w:rPr>
          <w:szCs w:val="24"/>
        </w:rPr>
      </w:pPr>
      <w:r w:rsidRPr="00717308">
        <w:rPr>
          <w:szCs w:val="24"/>
        </w:rPr>
        <w:t xml:space="preserve">Whether the appellant had a </w:t>
      </w:r>
      <w:r w:rsidRPr="00717308">
        <w:rPr>
          <w:i/>
          <w:szCs w:val="24"/>
        </w:rPr>
        <w:t>bona fide</w:t>
      </w:r>
      <w:r w:rsidRPr="00717308">
        <w:rPr>
          <w:szCs w:val="24"/>
        </w:rPr>
        <w:t xml:space="preserve"> defence to the respondent’s claims</w:t>
      </w:r>
    </w:p>
    <w:p w:rsidR="001467A0" w:rsidRDefault="009D505B" w:rsidP="00C61BEC">
      <w:pPr>
        <w:ind w:firstLine="720"/>
        <w:jc w:val="both"/>
        <w:rPr>
          <w:szCs w:val="24"/>
        </w:rPr>
      </w:pPr>
      <w:r w:rsidRPr="00717308">
        <w:rPr>
          <w:szCs w:val="24"/>
        </w:rPr>
        <w:lastRenderedPageBreak/>
        <w:t>It is common cause that the appellant through her legal practitioner were duly notified of the pre-trial conference date.  It was argued on appellant’s behalf that her legal practitioner was s</w:t>
      </w:r>
      <w:r w:rsidR="00717308" w:rsidRPr="00717308">
        <w:rPr>
          <w:szCs w:val="24"/>
        </w:rPr>
        <w:t>eiz</w:t>
      </w:r>
      <w:r w:rsidRPr="00717308">
        <w:rPr>
          <w:szCs w:val="24"/>
        </w:rPr>
        <w:t xml:space="preserve">ed with another matter in the High Court at Harare.  There was no support for the allegations made in respect of the non availability of the appellant’s legal </w:t>
      </w:r>
      <w:r w:rsidR="00E324A3">
        <w:rPr>
          <w:szCs w:val="24"/>
        </w:rPr>
        <w:t>practitioner.  The appellant her</w:t>
      </w:r>
      <w:r w:rsidRPr="00717308">
        <w:rPr>
          <w:szCs w:val="24"/>
        </w:rPr>
        <w:t>self did not pro</w:t>
      </w:r>
      <w:r w:rsidR="00BD6FC6" w:rsidRPr="00717308">
        <w:rPr>
          <w:szCs w:val="24"/>
        </w:rPr>
        <w:t>f</w:t>
      </w:r>
      <w:r w:rsidRPr="00717308">
        <w:rPr>
          <w:szCs w:val="24"/>
        </w:rPr>
        <w:t>fer any reasona</w:t>
      </w:r>
      <w:r w:rsidR="00BD6FC6" w:rsidRPr="00717308">
        <w:rPr>
          <w:szCs w:val="24"/>
        </w:rPr>
        <w:t xml:space="preserve">ble explanation </w:t>
      </w:r>
      <w:r w:rsidR="00D325FA">
        <w:rPr>
          <w:szCs w:val="24"/>
        </w:rPr>
        <w:t>on why she failed</w:t>
      </w:r>
      <w:r w:rsidRPr="00717308">
        <w:rPr>
          <w:szCs w:val="24"/>
        </w:rPr>
        <w:t xml:space="preserve"> court as a litigant</w:t>
      </w:r>
      <w:r w:rsidR="00D325FA">
        <w:rPr>
          <w:szCs w:val="24"/>
        </w:rPr>
        <w:t>, in person,</w:t>
      </w:r>
      <w:r w:rsidRPr="00717308">
        <w:rPr>
          <w:szCs w:val="24"/>
        </w:rPr>
        <w:t xml:space="preserve"> in the matter.  The fact that a legal practitioner is unavailable to attend court does not absolve the litigant in his or her o</w:t>
      </w:r>
      <w:r w:rsidR="007525F9">
        <w:rPr>
          <w:szCs w:val="24"/>
        </w:rPr>
        <w:t>wn capacity to attend court to explain why</w:t>
      </w:r>
      <w:r w:rsidRPr="00717308">
        <w:rPr>
          <w:szCs w:val="24"/>
        </w:rPr>
        <w:t xml:space="preserve"> the</w:t>
      </w:r>
      <w:r w:rsidR="007525F9">
        <w:rPr>
          <w:szCs w:val="24"/>
        </w:rPr>
        <w:t xml:space="preserve"> legal practitioner is unavailable, in</w:t>
      </w:r>
      <w:r w:rsidRPr="00717308">
        <w:rPr>
          <w:szCs w:val="24"/>
        </w:rPr>
        <w:t xml:space="preserve"> protection of</w:t>
      </w:r>
      <w:r w:rsidR="007525F9">
        <w:rPr>
          <w:szCs w:val="24"/>
        </w:rPr>
        <w:t xml:space="preserve"> his or</w:t>
      </w:r>
      <w:r w:rsidRPr="00717308">
        <w:rPr>
          <w:szCs w:val="24"/>
        </w:rPr>
        <w:t xml:space="preserve"> her interests.  The appellant failed to give a reasonable explanation for the default.</w:t>
      </w:r>
    </w:p>
    <w:p w:rsidR="005F770B" w:rsidRDefault="005F770B" w:rsidP="00C61BEC">
      <w:pPr>
        <w:ind w:firstLine="720"/>
        <w:jc w:val="both"/>
        <w:rPr>
          <w:szCs w:val="24"/>
        </w:rPr>
      </w:pPr>
      <w:r>
        <w:rPr>
          <w:szCs w:val="24"/>
        </w:rPr>
        <w:t xml:space="preserve">In the case of </w:t>
      </w:r>
      <w:proofErr w:type="spellStart"/>
      <w:r w:rsidRPr="005F770B">
        <w:rPr>
          <w:i/>
          <w:szCs w:val="24"/>
        </w:rPr>
        <w:t>Mdokwani</w:t>
      </w:r>
      <w:proofErr w:type="spellEnd"/>
      <w:r w:rsidRPr="005F770B">
        <w:rPr>
          <w:i/>
          <w:szCs w:val="24"/>
        </w:rPr>
        <w:t xml:space="preserve"> v </w:t>
      </w:r>
      <w:proofErr w:type="spellStart"/>
      <w:r w:rsidRPr="005F770B">
        <w:rPr>
          <w:i/>
          <w:szCs w:val="24"/>
        </w:rPr>
        <w:t>Shoniwa</w:t>
      </w:r>
      <w:proofErr w:type="spellEnd"/>
      <w:r w:rsidRPr="005F770B">
        <w:rPr>
          <w:i/>
          <w:szCs w:val="24"/>
        </w:rPr>
        <w:t xml:space="preserve"> </w:t>
      </w:r>
      <w:r>
        <w:rPr>
          <w:szCs w:val="24"/>
        </w:rPr>
        <w:t>1992 (1) SA 269 (S), the court</w:t>
      </w:r>
      <w:r w:rsidR="003B7712">
        <w:rPr>
          <w:szCs w:val="24"/>
        </w:rPr>
        <w:t xml:space="preserve"> stated at page 271 as follows;</w:t>
      </w:r>
    </w:p>
    <w:p w:rsidR="003B7712" w:rsidRPr="00C61BEC" w:rsidRDefault="00157733" w:rsidP="00C61BEC">
      <w:pPr>
        <w:pStyle w:val="NoSpacing"/>
        <w:ind w:left="720"/>
        <w:jc w:val="both"/>
        <w:rPr>
          <w:i/>
        </w:rPr>
      </w:pPr>
      <w:r w:rsidRPr="00C61BEC">
        <w:rPr>
          <w:i/>
        </w:rPr>
        <w:t>“</w:t>
      </w:r>
      <w:r w:rsidR="003B7712" w:rsidRPr="00C61BEC">
        <w:rPr>
          <w:i/>
        </w:rPr>
        <w:t>Clearly it was incumbent upon the appellant at the hearing before the magistrate to satisfy the court that he was not in willful default. He had to show that there was an acceptable reason for the late filing of the appearance</w:t>
      </w:r>
      <w:r w:rsidRPr="00C61BEC">
        <w:rPr>
          <w:i/>
        </w:rPr>
        <w:t xml:space="preserve"> to defend and that he has a bona fide defence to the </w:t>
      </w:r>
      <w:r w:rsidR="00C61BEC" w:rsidRPr="00C61BEC">
        <w:rPr>
          <w:i/>
          <w:szCs w:val="24"/>
        </w:rPr>
        <w:t>respondent’</w:t>
      </w:r>
      <w:r w:rsidRPr="00C61BEC">
        <w:rPr>
          <w:i/>
          <w:szCs w:val="24"/>
        </w:rPr>
        <w:t>s</w:t>
      </w:r>
      <w:r w:rsidRPr="00C61BEC">
        <w:rPr>
          <w:i/>
        </w:rPr>
        <w:t xml:space="preserve"> action.”</w:t>
      </w:r>
    </w:p>
    <w:p w:rsidR="00AE684A" w:rsidRDefault="00AE684A" w:rsidP="00C61BEC">
      <w:pPr>
        <w:ind w:firstLine="720"/>
        <w:jc w:val="both"/>
        <w:rPr>
          <w:szCs w:val="24"/>
        </w:rPr>
      </w:pPr>
      <w:r>
        <w:rPr>
          <w:szCs w:val="24"/>
        </w:rPr>
        <w:t>The meaning of willfu</w:t>
      </w:r>
      <w:r w:rsidR="00C61BEC">
        <w:rPr>
          <w:szCs w:val="24"/>
        </w:rPr>
        <w:t>l default was aptly put by M</w:t>
      </w:r>
      <w:r w:rsidR="00C61BEC" w:rsidRPr="00C61BEC">
        <w:rPr>
          <w:sz w:val="20"/>
          <w:szCs w:val="20"/>
        </w:rPr>
        <w:t>URRA</w:t>
      </w:r>
      <w:r w:rsidRPr="00C61BEC">
        <w:rPr>
          <w:sz w:val="20"/>
          <w:szCs w:val="20"/>
        </w:rPr>
        <w:t>Y</w:t>
      </w:r>
      <w:r>
        <w:rPr>
          <w:szCs w:val="24"/>
        </w:rPr>
        <w:t xml:space="preserve"> CJ  in the case of  </w:t>
      </w:r>
      <w:r w:rsidRPr="00741CBD">
        <w:rPr>
          <w:i/>
          <w:szCs w:val="24"/>
        </w:rPr>
        <w:t>Newman Pvt Ltd v Marks</w:t>
      </w:r>
      <w:r>
        <w:rPr>
          <w:szCs w:val="24"/>
        </w:rPr>
        <w:t xml:space="preserve"> 1960 </w:t>
      </w:r>
      <w:r w:rsidR="00A72325">
        <w:rPr>
          <w:szCs w:val="24"/>
        </w:rPr>
        <w:t>(</w:t>
      </w:r>
      <w:r>
        <w:rPr>
          <w:szCs w:val="24"/>
        </w:rPr>
        <w:t>2</w:t>
      </w:r>
      <w:r w:rsidR="00A72325">
        <w:rPr>
          <w:szCs w:val="24"/>
        </w:rPr>
        <w:t>)</w:t>
      </w:r>
      <w:r>
        <w:rPr>
          <w:szCs w:val="24"/>
        </w:rPr>
        <w:t xml:space="preserve"> SA 170 </w:t>
      </w:r>
      <w:r w:rsidR="00A72325">
        <w:rPr>
          <w:szCs w:val="24"/>
        </w:rPr>
        <w:t>(</w:t>
      </w:r>
      <w:r>
        <w:rPr>
          <w:szCs w:val="24"/>
        </w:rPr>
        <w:t>SR</w:t>
      </w:r>
      <w:r w:rsidR="00A72325">
        <w:rPr>
          <w:szCs w:val="24"/>
        </w:rPr>
        <w:t>)</w:t>
      </w:r>
      <w:r>
        <w:rPr>
          <w:szCs w:val="24"/>
        </w:rPr>
        <w:t xml:space="preserve"> at 173A-D, where he stated the principle as follows</w:t>
      </w:r>
      <w:r w:rsidR="00222606">
        <w:rPr>
          <w:szCs w:val="24"/>
        </w:rPr>
        <w:t>;</w:t>
      </w:r>
    </w:p>
    <w:p w:rsidR="00222606" w:rsidRPr="00C61BEC" w:rsidRDefault="00927352" w:rsidP="00C61BEC">
      <w:pPr>
        <w:pStyle w:val="NoSpacing"/>
        <w:ind w:left="720"/>
        <w:jc w:val="both"/>
        <w:rPr>
          <w:i/>
        </w:rPr>
      </w:pPr>
      <w:r w:rsidRPr="00C61BEC">
        <w:rPr>
          <w:i/>
        </w:rPr>
        <w:t>“</w:t>
      </w:r>
      <w:r w:rsidR="00222606" w:rsidRPr="00C61BEC">
        <w:rPr>
          <w:i/>
        </w:rPr>
        <w:t xml:space="preserve">The true test, to my mind, is whether the default is a deliberate one- </w:t>
      </w:r>
      <w:proofErr w:type="spellStart"/>
      <w:r w:rsidR="00222606" w:rsidRPr="00C61BEC">
        <w:rPr>
          <w:i/>
        </w:rPr>
        <w:t>i.e</w:t>
      </w:r>
      <w:proofErr w:type="spellEnd"/>
      <w:r w:rsidR="00222606" w:rsidRPr="00C61BEC">
        <w:rPr>
          <w:i/>
        </w:rPr>
        <w:t xml:space="preserve"> when a defendant with</w:t>
      </w:r>
      <w:r w:rsidRPr="00C61BEC">
        <w:rPr>
          <w:i/>
        </w:rPr>
        <w:t xml:space="preserve"> full knowledge of the set down and the risks attendant on his default, freely takes a decision to refrain from appearing, ……..”</w:t>
      </w:r>
    </w:p>
    <w:p w:rsidR="009D505B" w:rsidRPr="00717308" w:rsidRDefault="00F75C29" w:rsidP="00C61BEC">
      <w:pPr>
        <w:ind w:firstLine="720"/>
        <w:jc w:val="both"/>
        <w:rPr>
          <w:szCs w:val="24"/>
        </w:rPr>
      </w:pPr>
      <w:proofErr w:type="gramStart"/>
      <w:r>
        <w:rPr>
          <w:szCs w:val="24"/>
        </w:rPr>
        <w:t>I</w:t>
      </w:r>
      <w:r w:rsidR="0089349B">
        <w:rPr>
          <w:szCs w:val="24"/>
        </w:rPr>
        <w:t xml:space="preserve"> </w:t>
      </w:r>
      <w:r>
        <w:rPr>
          <w:szCs w:val="24"/>
        </w:rPr>
        <w:t xml:space="preserve"> have</w:t>
      </w:r>
      <w:proofErr w:type="gramEnd"/>
      <w:r w:rsidR="00BD6FC6" w:rsidRPr="00717308">
        <w:rPr>
          <w:szCs w:val="24"/>
        </w:rPr>
        <w:t xml:space="preserve"> gone through the pleadings in this matter</w:t>
      </w:r>
      <w:r>
        <w:rPr>
          <w:szCs w:val="24"/>
        </w:rPr>
        <w:t>, and note</w:t>
      </w:r>
      <w:r w:rsidR="00BD6FC6" w:rsidRPr="00717308">
        <w:rPr>
          <w:szCs w:val="24"/>
        </w:rPr>
        <w:t xml:space="preserve"> with concern that the appellant has no </w:t>
      </w:r>
      <w:r w:rsidR="00BD6FC6" w:rsidRPr="00717308">
        <w:rPr>
          <w:i/>
          <w:szCs w:val="24"/>
        </w:rPr>
        <w:t>bona fide</w:t>
      </w:r>
      <w:r w:rsidR="00BD6FC6" w:rsidRPr="00717308">
        <w:rPr>
          <w:szCs w:val="24"/>
        </w:rPr>
        <w:t xml:space="preserve"> defence.  The appellant does not deny that arrear rates had accrued to the tune of US$1 500</w:t>
      </w:r>
      <w:proofErr w:type="gramStart"/>
      <w:r w:rsidR="00BD6FC6" w:rsidRPr="00717308">
        <w:rPr>
          <w:szCs w:val="24"/>
        </w:rPr>
        <w:t>,00</w:t>
      </w:r>
      <w:proofErr w:type="gramEnd"/>
      <w:r w:rsidR="0089349B">
        <w:rPr>
          <w:szCs w:val="24"/>
        </w:rPr>
        <w:t xml:space="preserve"> </w:t>
      </w:r>
      <w:r w:rsidR="00BD6FC6" w:rsidRPr="00717308">
        <w:rPr>
          <w:szCs w:val="24"/>
        </w:rPr>
        <w:t xml:space="preserve"> as at December 2016.  The appellant alleges that she purchased the property from second respondent</w:t>
      </w:r>
      <w:r w:rsidR="00C576BC">
        <w:rPr>
          <w:szCs w:val="24"/>
        </w:rPr>
        <w:t xml:space="preserve"> together with the late Richard Roberts</w:t>
      </w:r>
      <w:r w:rsidR="00BD6FC6" w:rsidRPr="00717308">
        <w:rPr>
          <w:szCs w:val="24"/>
        </w:rPr>
        <w:t xml:space="preserve"> for the sum of BWP41 000.  There is no written agreement of sale between the parties. </w:t>
      </w:r>
      <w:r w:rsidR="0089349B">
        <w:rPr>
          <w:szCs w:val="24"/>
        </w:rPr>
        <w:t xml:space="preserve"> There is absolutely nothing in support of the appellant</w:t>
      </w:r>
      <w:r w:rsidR="00C61BEC">
        <w:rPr>
          <w:szCs w:val="24"/>
        </w:rPr>
        <w:t>’</w:t>
      </w:r>
      <w:r w:rsidR="0089349B">
        <w:rPr>
          <w:szCs w:val="24"/>
        </w:rPr>
        <w:t>s</w:t>
      </w:r>
      <w:r w:rsidR="00574054">
        <w:rPr>
          <w:szCs w:val="24"/>
        </w:rPr>
        <w:t xml:space="preserve"> allegations.</w:t>
      </w:r>
      <w:r w:rsidR="00C61BEC">
        <w:rPr>
          <w:szCs w:val="24"/>
        </w:rPr>
        <w:t xml:space="preserve"> </w:t>
      </w:r>
      <w:r w:rsidR="00C576BC">
        <w:rPr>
          <w:szCs w:val="24"/>
        </w:rPr>
        <w:t xml:space="preserve">The Estate of the late Richard Roberts has been wound up and there is no indication that the property in issue was ever part of the estate. </w:t>
      </w:r>
      <w:r w:rsidR="00574054">
        <w:rPr>
          <w:szCs w:val="24"/>
        </w:rPr>
        <w:t xml:space="preserve"> </w:t>
      </w:r>
      <w:r w:rsidR="00BD6FC6" w:rsidRPr="00717308">
        <w:rPr>
          <w:szCs w:val="24"/>
        </w:rPr>
        <w:t>1</w:t>
      </w:r>
      <w:r w:rsidR="00BD6FC6" w:rsidRPr="00717308">
        <w:rPr>
          <w:szCs w:val="24"/>
          <w:vertAlign w:val="superscript"/>
        </w:rPr>
        <w:t>s</w:t>
      </w:r>
      <w:r w:rsidR="00BD6FC6" w:rsidRPr="00717308">
        <w:rPr>
          <w:szCs w:val="24"/>
        </w:rPr>
        <w:t xml:space="preserve"> respondent</w:t>
      </w:r>
      <w:r w:rsidR="00D6364B">
        <w:rPr>
          <w:szCs w:val="24"/>
        </w:rPr>
        <w:t xml:space="preserve"> </w:t>
      </w:r>
      <w:r w:rsidR="00C576BC">
        <w:rPr>
          <w:szCs w:val="24"/>
        </w:rPr>
        <w:t>remains</w:t>
      </w:r>
      <w:r w:rsidR="00BD6FC6" w:rsidRPr="00717308">
        <w:rPr>
          <w:szCs w:val="24"/>
        </w:rPr>
        <w:t xml:space="preserve"> the holder of real rights over the immovable property in question and remains the owner </w:t>
      </w:r>
      <w:r w:rsidR="00717308" w:rsidRPr="00717308">
        <w:rPr>
          <w:szCs w:val="24"/>
        </w:rPr>
        <w:t>to</w:t>
      </w:r>
      <w:r w:rsidR="00BD6FC6" w:rsidRPr="00717308">
        <w:rPr>
          <w:szCs w:val="24"/>
        </w:rPr>
        <w:t xml:space="preserve"> date.  </w:t>
      </w:r>
      <w:r w:rsidR="00BD6FC6" w:rsidRPr="00717308">
        <w:rPr>
          <w:szCs w:val="24"/>
        </w:rPr>
        <w:lastRenderedPageBreak/>
        <w:t>The applicant simply has no defence</w:t>
      </w:r>
      <w:r w:rsidR="00C61BEC">
        <w:rPr>
          <w:szCs w:val="24"/>
        </w:rPr>
        <w:t xml:space="preserve"> to respondent’</w:t>
      </w:r>
      <w:r w:rsidR="00301FED">
        <w:rPr>
          <w:szCs w:val="24"/>
        </w:rPr>
        <w:t>s claims</w:t>
      </w:r>
      <w:r w:rsidR="00BD6FC6" w:rsidRPr="00717308">
        <w:rPr>
          <w:szCs w:val="24"/>
        </w:rPr>
        <w:t xml:space="preserve"> and this appeal has been made for the sole pur</w:t>
      </w:r>
      <w:r w:rsidR="00A07B4F">
        <w:rPr>
          <w:szCs w:val="24"/>
        </w:rPr>
        <w:t>pose of delaying and frustrating</w:t>
      </w:r>
      <w:r w:rsidR="00BD6FC6" w:rsidRPr="00717308">
        <w:rPr>
          <w:szCs w:val="24"/>
        </w:rPr>
        <w:t xml:space="preserve"> finalisation of this matter.  This court takes a dim view at the appellant’s conduct.</w:t>
      </w:r>
    </w:p>
    <w:p w:rsidR="00BD6FC6" w:rsidRPr="00717308" w:rsidRDefault="00DE09AF" w:rsidP="00C61BEC">
      <w:pPr>
        <w:ind w:firstLine="720"/>
        <w:jc w:val="both"/>
        <w:rPr>
          <w:szCs w:val="24"/>
        </w:rPr>
      </w:pPr>
      <w:r>
        <w:rPr>
          <w:szCs w:val="24"/>
        </w:rPr>
        <w:t>I</w:t>
      </w:r>
      <w:r w:rsidR="00BD6FC6" w:rsidRPr="00717308">
        <w:rPr>
          <w:szCs w:val="24"/>
        </w:rPr>
        <w:t xml:space="preserve"> accordingly</w:t>
      </w:r>
      <w:r>
        <w:rPr>
          <w:szCs w:val="24"/>
        </w:rPr>
        <w:t>,</w:t>
      </w:r>
      <w:r w:rsidR="00BD6FC6" w:rsidRPr="00717308">
        <w:rPr>
          <w:szCs w:val="24"/>
        </w:rPr>
        <w:t xml:space="preserve"> find that the appeal has no merit and in the result </w:t>
      </w:r>
      <w:r w:rsidR="00C61BEC">
        <w:rPr>
          <w:szCs w:val="24"/>
        </w:rPr>
        <w:t xml:space="preserve">the appeal is </w:t>
      </w:r>
      <w:r w:rsidR="00BD6FC6" w:rsidRPr="00717308">
        <w:rPr>
          <w:szCs w:val="24"/>
        </w:rPr>
        <w:t>dismiss</w:t>
      </w:r>
      <w:r w:rsidR="00C61BEC">
        <w:rPr>
          <w:szCs w:val="24"/>
        </w:rPr>
        <w:t>ed</w:t>
      </w:r>
      <w:r w:rsidR="00BD6FC6" w:rsidRPr="00717308">
        <w:rPr>
          <w:szCs w:val="24"/>
        </w:rPr>
        <w:t xml:space="preserve"> with costs.</w:t>
      </w:r>
    </w:p>
    <w:p w:rsidR="00BD6FC6" w:rsidRDefault="00BD6FC6" w:rsidP="00C61BEC">
      <w:pPr>
        <w:ind w:firstLine="720"/>
        <w:jc w:val="both"/>
        <w:rPr>
          <w:szCs w:val="24"/>
        </w:rPr>
      </w:pPr>
    </w:p>
    <w:p w:rsidR="00C61BEC" w:rsidRDefault="00C61BEC" w:rsidP="00C61BEC">
      <w:pPr>
        <w:ind w:firstLine="720"/>
        <w:jc w:val="both"/>
        <w:rPr>
          <w:szCs w:val="24"/>
        </w:rPr>
      </w:pPr>
    </w:p>
    <w:p w:rsidR="00BD6FC6" w:rsidRPr="00717308" w:rsidRDefault="00BD6FC6" w:rsidP="00C61BEC">
      <w:pPr>
        <w:ind w:firstLine="720"/>
        <w:jc w:val="both"/>
        <w:rPr>
          <w:szCs w:val="24"/>
        </w:rPr>
      </w:pPr>
      <w:r w:rsidRPr="00717308">
        <w:rPr>
          <w:szCs w:val="24"/>
        </w:rPr>
        <w:tab/>
      </w:r>
      <w:r w:rsidRPr="00717308">
        <w:rPr>
          <w:szCs w:val="24"/>
        </w:rPr>
        <w:tab/>
      </w:r>
      <w:proofErr w:type="spellStart"/>
      <w:r w:rsidRPr="00717308">
        <w:rPr>
          <w:szCs w:val="24"/>
        </w:rPr>
        <w:t>Moyo</w:t>
      </w:r>
      <w:proofErr w:type="spellEnd"/>
      <w:r w:rsidRPr="00717308">
        <w:rPr>
          <w:szCs w:val="24"/>
        </w:rPr>
        <w:t xml:space="preserve"> J …………………………………..I agree</w:t>
      </w:r>
    </w:p>
    <w:p w:rsidR="00717308" w:rsidRPr="00717308" w:rsidRDefault="00717308" w:rsidP="00C61BEC">
      <w:pPr>
        <w:pStyle w:val="NoSpacing"/>
        <w:jc w:val="both"/>
        <w:rPr>
          <w:szCs w:val="24"/>
        </w:rPr>
      </w:pPr>
      <w:proofErr w:type="spellStart"/>
      <w:r w:rsidRPr="00717308">
        <w:rPr>
          <w:i/>
          <w:szCs w:val="24"/>
        </w:rPr>
        <w:t>Mathonsi</w:t>
      </w:r>
      <w:proofErr w:type="spellEnd"/>
      <w:r w:rsidRPr="00717308">
        <w:rPr>
          <w:i/>
          <w:szCs w:val="24"/>
        </w:rPr>
        <w:t xml:space="preserve"> </w:t>
      </w:r>
      <w:proofErr w:type="spellStart"/>
      <w:r w:rsidRPr="00717308">
        <w:rPr>
          <w:i/>
          <w:szCs w:val="24"/>
        </w:rPr>
        <w:t>Ncube</w:t>
      </w:r>
      <w:proofErr w:type="spellEnd"/>
      <w:r w:rsidRPr="00717308">
        <w:rPr>
          <w:i/>
          <w:szCs w:val="24"/>
        </w:rPr>
        <w:t xml:space="preserve"> Law Chambers</w:t>
      </w:r>
      <w:r w:rsidRPr="00717308">
        <w:rPr>
          <w:szCs w:val="24"/>
        </w:rPr>
        <w:t xml:space="preserve"> Applicant’s legal practitioners</w:t>
      </w:r>
    </w:p>
    <w:p w:rsidR="00BD6FC6" w:rsidRPr="00717308" w:rsidRDefault="00717308" w:rsidP="00C61BEC">
      <w:pPr>
        <w:pStyle w:val="NoSpacing"/>
        <w:jc w:val="both"/>
        <w:rPr>
          <w:szCs w:val="24"/>
        </w:rPr>
      </w:pPr>
      <w:r w:rsidRPr="00717308">
        <w:rPr>
          <w:i/>
          <w:szCs w:val="24"/>
        </w:rPr>
        <w:t xml:space="preserve">Messrs </w:t>
      </w:r>
      <w:proofErr w:type="spellStart"/>
      <w:r w:rsidRPr="00717308">
        <w:rPr>
          <w:i/>
          <w:szCs w:val="24"/>
        </w:rPr>
        <w:t>Dube</w:t>
      </w:r>
      <w:proofErr w:type="spellEnd"/>
      <w:r w:rsidRPr="00717308">
        <w:rPr>
          <w:i/>
          <w:szCs w:val="24"/>
        </w:rPr>
        <w:t xml:space="preserve">-Banda, </w:t>
      </w:r>
      <w:proofErr w:type="spellStart"/>
      <w:r w:rsidRPr="00717308">
        <w:rPr>
          <w:i/>
          <w:szCs w:val="24"/>
        </w:rPr>
        <w:t>Nzarayapenga</w:t>
      </w:r>
      <w:proofErr w:type="spellEnd"/>
      <w:r w:rsidRPr="00717308">
        <w:rPr>
          <w:i/>
          <w:szCs w:val="24"/>
        </w:rPr>
        <w:t xml:space="preserve"> &amp; Partners</w:t>
      </w:r>
      <w:r w:rsidRPr="00717308">
        <w:rPr>
          <w:szCs w:val="24"/>
        </w:rPr>
        <w:t>, respondent’s legal practitioners</w:t>
      </w:r>
    </w:p>
    <w:sectPr w:rsidR="00BD6FC6" w:rsidRPr="00717308"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DC1" w:rsidRDefault="00E22DC1" w:rsidP="00717308">
      <w:pPr>
        <w:spacing w:before="0" w:after="0" w:line="240" w:lineRule="auto"/>
      </w:pPr>
      <w:r>
        <w:separator/>
      </w:r>
    </w:p>
  </w:endnote>
  <w:endnote w:type="continuationSeparator" w:id="1">
    <w:p w:rsidR="00E22DC1" w:rsidRDefault="00E22DC1" w:rsidP="00717308">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DC1" w:rsidRDefault="00E22DC1" w:rsidP="00717308">
      <w:pPr>
        <w:spacing w:before="0" w:after="0" w:line="240" w:lineRule="auto"/>
      </w:pPr>
      <w:r>
        <w:separator/>
      </w:r>
    </w:p>
  </w:footnote>
  <w:footnote w:type="continuationSeparator" w:id="1">
    <w:p w:rsidR="00E22DC1" w:rsidRDefault="00E22DC1" w:rsidP="00717308">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62295"/>
      <w:docPartObj>
        <w:docPartGallery w:val="Page Numbers (Top of Page)"/>
        <w:docPartUnique/>
      </w:docPartObj>
    </w:sdtPr>
    <w:sdtContent>
      <w:p w:rsidR="00717308" w:rsidRDefault="004E51AF">
        <w:pPr>
          <w:pStyle w:val="Header"/>
          <w:jc w:val="right"/>
        </w:pPr>
        <w:fldSimple w:instr=" PAGE   \* MERGEFORMAT ">
          <w:r w:rsidR="00C61BEC">
            <w:rPr>
              <w:noProof/>
            </w:rPr>
            <w:t>3</w:t>
          </w:r>
        </w:fldSimple>
      </w:p>
      <w:p w:rsidR="00717308" w:rsidRDefault="00717308" w:rsidP="00717308">
        <w:pPr>
          <w:pStyle w:val="NoSpacing"/>
          <w:ind w:left="7920"/>
        </w:pPr>
        <w:r>
          <w:t xml:space="preserve">       HB 23/19</w:t>
        </w:r>
      </w:p>
      <w:p w:rsidR="00717308" w:rsidRDefault="00717308" w:rsidP="00717308">
        <w:pPr>
          <w:pStyle w:val="NoSpacing"/>
          <w:ind w:left="7920"/>
        </w:pPr>
        <w:r>
          <w:t xml:space="preserve">    HCA 01/18</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526C84"/>
    <w:multiLevelType w:val="hybridMultilevel"/>
    <w:tmpl w:val="69205192"/>
    <w:lvl w:ilvl="0" w:tplc="4A18FC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1467A0"/>
    <w:rsid w:val="001467A0"/>
    <w:rsid w:val="00157733"/>
    <w:rsid w:val="001D126B"/>
    <w:rsid w:val="00222606"/>
    <w:rsid w:val="00245236"/>
    <w:rsid w:val="002C7F8A"/>
    <w:rsid w:val="00301FED"/>
    <w:rsid w:val="003A3365"/>
    <w:rsid w:val="003B7712"/>
    <w:rsid w:val="003E5BAA"/>
    <w:rsid w:val="00477B02"/>
    <w:rsid w:val="004E51AF"/>
    <w:rsid w:val="0054317D"/>
    <w:rsid w:val="0056432C"/>
    <w:rsid w:val="00574054"/>
    <w:rsid w:val="005F770B"/>
    <w:rsid w:val="0062709B"/>
    <w:rsid w:val="00685E98"/>
    <w:rsid w:val="0068662E"/>
    <w:rsid w:val="006A03C9"/>
    <w:rsid w:val="00701C30"/>
    <w:rsid w:val="00717308"/>
    <w:rsid w:val="00741CBD"/>
    <w:rsid w:val="007525F9"/>
    <w:rsid w:val="007A35DF"/>
    <w:rsid w:val="007B49A6"/>
    <w:rsid w:val="007C10E2"/>
    <w:rsid w:val="007D0B26"/>
    <w:rsid w:val="007D2790"/>
    <w:rsid w:val="00827A8D"/>
    <w:rsid w:val="0089349B"/>
    <w:rsid w:val="008A7672"/>
    <w:rsid w:val="008C3209"/>
    <w:rsid w:val="00927352"/>
    <w:rsid w:val="009D505B"/>
    <w:rsid w:val="009E5C1A"/>
    <w:rsid w:val="00A07B4F"/>
    <w:rsid w:val="00A50BC8"/>
    <w:rsid w:val="00A57159"/>
    <w:rsid w:val="00A72325"/>
    <w:rsid w:val="00AC7AFC"/>
    <w:rsid w:val="00AE684A"/>
    <w:rsid w:val="00BD6FC6"/>
    <w:rsid w:val="00C24362"/>
    <w:rsid w:val="00C576BC"/>
    <w:rsid w:val="00C61900"/>
    <w:rsid w:val="00C61BEC"/>
    <w:rsid w:val="00CD475A"/>
    <w:rsid w:val="00D20B4C"/>
    <w:rsid w:val="00D325FA"/>
    <w:rsid w:val="00D6364B"/>
    <w:rsid w:val="00DE09AF"/>
    <w:rsid w:val="00E10C27"/>
    <w:rsid w:val="00E22DC1"/>
    <w:rsid w:val="00E324A3"/>
    <w:rsid w:val="00EF0820"/>
    <w:rsid w:val="00F75C29"/>
    <w:rsid w:val="00FB0DC3"/>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9D505B"/>
    <w:pPr>
      <w:ind w:left="720"/>
      <w:contextualSpacing/>
    </w:pPr>
  </w:style>
  <w:style w:type="paragraph" w:styleId="Header">
    <w:name w:val="header"/>
    <w:basedOn w:val="Normal"/>
    <w:link w:val="HeaderChar"/>
    <w:uiPriority w:val="99"/>
    <w:unhideWhenUsed/>
    <w:rsid w:val="0071730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17308"/>
    <w:rPr>
      <w:rFonts w:ascii="Times New Roman" w:hAnsi="Times New Roman"/>
      <w:sz w:val="24"/>
    </w:rPr>
  </w:style>
  <w:style w:type="paragraph" w:styleId="Footer">
    <w:name w:val="footer"/>
    <w:basedOn w:val="Normal"/>
    <w:link w:val="FooterChar"/>
    <w:uiPriority w:val="99"/>
    <w:semiHidden/>
    <w:unhideWhenUsed/>
    <w:rsid w:val="00717308"/>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717308"/>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3</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23</cp:revision>
  <cp:lastPrinted>2019-02-14T13:15:00Z</cp:lastPrinted>
  <dcterms:created xsi:type="dcterms:W3CDTF">2019-02-13T13:07:00Z</dcterms:created>
  <dcterms:modified xsi:type="dcterms:W3CDTF">2019-02-14T13:16:00Z</dcterms:modified>
</cp:coreProperties>
</file>