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AB4F5" w14:textId="64B0436D" w:rsidR="00BE7B79" w:rsidRPr="00C12279" w:rsidRDefault="00BE7B79" w:rsidP="008409E8">
      <w:pPr>
        <w:jc w:val="both"/>
        <w:rPr>
          <w:rFonts w:ascii="Times New Roman" w:hAnsi="Times New Roman" w:cs="Times New Roman"/>
          <w:sz w:val="24"/>
          <w:szCs w:val="24"/>
        </w:rPr>
      </w:pPr>
      <w:bookmarkStart w:id="0" w:name="_GoBack"/>
      <w:bookmarkEnd w:id="0"/>
      <w:r w:rsidRPr="00C12279">
        <w:rPr>
          <w:rFonts w:ascii="Times New Roman" w:hAnsi="Times New Roman" w:cs="Times New Roman"/>
          <w:sz w:val="24"/>
          <w:szCs w:val="24"/>
        </w:rPr>
        <w:tab/>
      </w:r>
      <w:r w:rsidRPr="00C12279">
        <w:rPr>
          <w:rFonts w:ascii="Times New Roman" w:hAnsi="Times New Roman" w:cs="Times New Roman"/>
          <w:sz w:val="24"/>
          <w:szCs w:val="24"/>
        </w:rPr>
        <w:tab/>
      </w:r>
      <w:r w:rsidRPr="00C12279">
        <w:rPr>
          <w:rFonts w:ascii="Times New Roman" w:hAnsi="Times New Roman" w:cs="Times New Roman"/>
          <w:sz w:val="24"/>
          <w:szCs w:val="24"/>
        </w:rPr>
        <w:tab/>
      </w:r>
      <w:r w:rsidRPr="00C12279">
        <w:rPr>
          <w:rFonts w:ascii="Times New Roman" w:hAnsi="Times New Roman" w:cs="Times New Roman"/>
          <w:sz w:val="24"/>
          <w:szCs w:val="24"/>
        </w:rPr>
        <w:tab/>
      </w:r>
      <w:r w:rsidRPr="00C12279">
        <w:rPr>
          <w:rFonts w:ascii="Times New Roman" w:hAnsi="Times New Roman" w:cs="Times New Roman"/>
          <w:sz w:val="24"/>
          <w:szCs w:val="24"/>
        </w:rPr>
        <w:tab/>
      </w:r>
      <w:r w:rsidRPr="00C12279">
        <w:rPr>
          <w:rFonts w:ascii="Times New Roman" w:hAnsi="Times New Roman" w:cs="Times New Roman"/>
          <w:sz w:val="24"/>
          <w:szCs w:val="24"/>
        </w:rPr>
        <w:tab/>
      </w:r>
      <w:r w:rsidRPr="00C12279">
        <w:rPr>
          <w:rFonts w:ascii="Times New Roman" w:hAnsi="Times New Roman" w:cs="Times New Roman"/>
          <w:sz w:val="24"/>
          <w:szCs w:val="24"/>
        </w:rPr>
        <w:tab/>
      </w:r>
      <w:r w:rsidRPr="00C12279">
        <w:rPr>
          <w:rFonts w:ascii="Times New Roman" w:hAnsi="Times New Roman" w:cs="Times New Roman"/>
          <w:sz w:val="24"/>
          <w:szCs w:val="24"/>
        </w:rPr>
        <w:tab/>
      </w:r>
      <w:r w:rsidRPr="00C12279">
        <w:rPr>
          <w:rFonts w:ascii="Times New Roman" w:hAnsi="Times New Roman" w:cs="Times New Roman"/>
          <w:sz w:val="24"/>
          <w:szCs w:val="24"/>
        </w:rPr>
        <w:tab/>
      </w:r>
    </w:p>
    <w:p w14:paraId="290CDF6A" w14:textId="77777777" w:rsidR="0032573C" w:rsidRPr="00C12279" w:rsidRDefault="00BE7B79" w:rsidP="00C12279">
      <w:pPr>
        <w:spacing w:after="0" w:line="240" w:lineRule="auto"/>
        <w:jc w:val="both"/>
        <w:rPr>
          <w:rFonts w:ascii="Times New Roman" w:hAnsi="Times New Roman" w:cs="Times New Roman"/>
          <w:sz w:val="24"/>
          <w:szCs w:val="24"/>
        </w:rPr>
      </w:pPr>
      <w:r w:rsidRPr="00C12279">
        <w:rPr>
          <w:rFonts w:ascii="Times New Roman" w:hAnsi="Times New Roman" w:cs="Times New Roman"/>
          <w:sz w:val="24"/>
          <w:szCs w:val="24"/>
        </w:rPr>
        <w:t>C F (PVT) LTD</w:t>
      </w:r>
    </w:p>
    <w:p w14:paraId="6DE3B920" w14:textId="58C3BBCE" w:rsidR="00BE7B79" w:rsidRPr="00C12279" w:rsidRDefault="00C12279" w:rsidP="00C122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E7B79" w:rsidRPr="00C12279">
        <w:rPr>
          <w:rFonts w:ascii="Times New Roman" w:hAnsi="Times New Roman" w:cs="Times New Roman"/>
          <w:sz w:val="24"/>
          <w:szCs w:val="24"/>
        </w:rPr>
        <w:t xml:space="preserve">ersus </w:t>
      </w:r>
    </w:p>
    <w:p w14:paraId="5441F5BD" w14:textId="77777777" w:rsidR="00BE7B79" w:rsidRDefault="00BE7B79" w:rsidP="00C12279">
      <w:pPr>
        <w:spacing w:after="0" w:line="240" w:lineRule="auto"/>
        <w:jc w:val="both"/>
        <w:rPr>
          <w:rFonts w:ascii="Times New Roman" w:hAnsi="Times New Roman" w:cs="Times New Roman"/>
          <w:sz w:val="24"/>
          <w:szCs w:val="24"/>
        </w:rPr>
      </w:pPr>
      <w:r w:rsidRPr="00C12279">
        <w:rPr>
          <w:rFonts w:ascii="Times New Roman" w:hAnsi="Times New Roman" w:cs="Times New Roman"/>
          <w:sz w:val="24"/>
          <w:szCs w:val="24"/>
        </w:rPr>
        <w:t>ZIMBABWE REVENUE AUTHORITY</w:t>
      </w:r>
    </w:p>
    <w:p w14:paraId="17ACA94C" w14:textId="77777777" w:rsidR="00C12279" w:rsidRDefault="00C12279" w:rsidP="00C12279">
      <w:pPr>
        <w:spacing w:after="0" w:line="240" w:lineRule="auto"/>
        <w:jc w:val="both"/>
        <w:rPr>
          <w:rFonts w:ascii="Times New Roman" w:hAnsi="Times New Roman" w:cs="Times New Roman"/>
          <w:sz w:val="24"/>
          <w:szCs w:val="24"/>
        </w:rPr>
      </w:pPr>
    </w:p>
    <w:p w14:paraId="55E787D9" w14:textId="77777777" w:rsidR="00C12279" w:rsidRDefault="00C12279" w:rsidP="00C12279">
      <w:pPr>
        <w:spacing w:after="0" w:line="240" w:lineRule="auto"/>
        <w:jc w:val="both"/>
        <w:rPr>
          <w:rFonts w:ascii="Times New Roman" w:hAnsi="Times New Roman" w:cs="Times New Roman"/>
          <w:sz w:val="24"/>
          <w:szCs w:val="24"/>
        </w:rPr>
      </w:pPr>
    </w:p>
    <w:p w14:paraId="2E53755C" w14:textId="77777777" w:rsidR="00C12279" w:rsidRPr="00C12279" w:rsidRDefault="00C12279" w:rsidP="00C12279">
      <w:pPr>
        <w:spacing w:after="0" w:line="240" w:lineRule="auto"/>
        <w:jc w:val="both"/>
        <w:rPr>
          <w:rFonts w:ascii="Times New Roman" w:hAnsi="Times New Roman" w:cs="Times New Roman"/>
          <w:sz w:val="24"/>
          <w:szCs w:val="24"/>
        </w:rPr>
      </w:pPr>
    </w:p>
    <w:p w14:paraId="017D29E8" w14:textId="77777777" w:rsidR="00BE7B79" w:rsidRPr="00C12279" w:rsidRDefault="00BE7B79" w:rsidP="00C12279">
      <w:pPr>
        <w:spacing w:after="0" w:line="240" w:lineRule="auto"/>
        <w:jc w:val="both"/>
        <w:rPr>
          <w:rFonts w:ascii="Times New Roman" w:hAnsi="Times New Roman" w:cs="Times New Roman"/>
          <w:sz w:val="24"/>
          <w:szCs w:val="24"/>
        </w:rPr>
      </w:pPr>
      <w:r w:rsidRPr="00C12279">
        <w:rPr>
          <w:rFonts w:ascii="Times New Roman" w:hAnsi="Times New Roman" w:cs="Times New Roman"/>
          <w:sz w:val="24"/>
          <w:szCs w:val="24"/>
        </w:rPr>
        <w:t>HIGH COURT OF ZIMBABWE</w:t>
      </w:r>
    </w:p>
    <w:p w14:paraId="39BD5F61" w14:textId="77777777" w:rsidR="00BE7B79" w:rsidRPr="00C12279" w:rsidRDefault="00BE7B79" w:rsidP="00C12279">
      <w:pPr>
        <w:spacing w:after="0" w:line="240" w:lineRule="auto"/>
        <w:jc w:val="both"/>
        <w:rPr>
          <w:rFonts w:ascii="Times New Roman" w:hAnsi="Times New Roman" w:cs="Times New Roman"/>
          <w:sz w:val="24"/>
          <w:szCs w:val="24"/>
        </w:rPr>
      </w:pPr>
      <w:r w:rsidRPr="00C12279">
        <w:rPr>
          <w:rFonts w:ascii="Times New Roman" w:hAnsi="Times New Roman" w:cs="Times New Roman"/>
          <w:sz w:val="24"/>
          <w:szCs w:val="24"/>
        </w:rPr>
        <w:t>KUDYA J</w:t>
      </w:r>
    </w:p>
    <w:p w14:paraId="3100EBA0" w14:textId="0F3621D2" w:rsidR="00BE7B79" w:rsidRDefault="00BE7B79" w:rsidP="00C12279">
      <w:pPr>
        <w:spacing w:after="0" w:line="240" w:lineRule="auto"/>
        <w:jc w:val="both"/>
        <w:rPr>
          <w:rFonts w:ascii="Times New Roman" w:hAnsi="Times New Roman" w:cs="Times New Roman"/>
          <w:sz w:val="24"/>
          <w:szCs w:val="24"/>
        </w:rPr>
      </w:pPr>
      <w:r w:rsidRPr="00C12279">
        <w:rPr>
          <w:rFonts w:ascii="Times New Roman" w:hAnsi="Times New Roman" w:cs="Times New Roman"/>
          <w:sz w:val="24"/>
          <w:szCs w:val="24"/>
        </w:rPr>
        <w:t>HARARE</w:t>
      </w:r>
      <w:r w:rsidR="00C12279">
        <w:rPr>
          <w:rFonts w:ascii="Times New Roman" w:hAnsi="Times New Roman" w:cs="Times New Roman"/>
          <w:sz w:val="24"/>
          <w:szCs w:val="24"/>
        </w:rPr>
        <w:t>,</w:t>
      </w:r>
      <w:r w:rsidRPr="00C12279">
        <w:rPr>
          <w:rFonts w:ascii="Times New Roman" w:hAnsi="Times New Roman" w:cs="Times New Roman"/>
          <w:sz w:val="24"/>
          <w:szCs w:val="24"/>
        </w:rPr>
        <w:t xml:space="preserve"> </w:t>
      </w:r>
      <w:r w:rsidR="00C33C6B" w:rsidRPr="00C12279">
        <w:rPr>
          <w:rFonts w:ascii="Times New Roman" w:hAnsi="Times New Roman" w:cs="Times New Roman"/>
          <w:sz w:val="24"/>
          <w:szCs w:val="24"/>
        </w:rPr>
        <w:t xml:space="preserve">28 and </w:t>
      </w:r>
      <w:r w:rsidR="00465AA5">
        <w:rPr>
          <w:rFonts w:ascii="Times New Roman" w:hAnsi="Times New Roman" w:cs="Times New Roman"/>
          <w:sz w:val="24"/>
          <w:szCs w:val="24"/>
        </w:rPr>
        <w:t>29 September 2015 and 26 February</w:t>
      </w:r>
      <w:r w:rsidR="00C33C6B" w:rsidRPr="00C12279">
        <w:rPr>
          <w:rFonts w:ascii="Times New Roman" w:hAnsi="Times New Roman" w:cs="Times New Roman"/>
          <w:sz w:val="24"/>
          <w:szCs w:val="24"/>
        </w:rPr>
        <w:t xml:space="preserve"> 2018</w:t>
      </w:r>
    </w:p>
    <w:p w14:paraId="5B11620E" w14:textId="77777777" w:rsidR="00C12279" w:rsidRPr="00C12279" w:rsidRDefault="00C12279" w:rsidP="00C12279">
      <w:pPr>
        <w:spacing w:after="0" w:line="240" w:lineRule="auto"/>
        <w:jc w:val="both"/>
        <w:rPr>
          <w:rFonts w:ascii="Times New Roman" w:hAnsi="Times New Roman" w:cs="Times New Roman"/>
          <w:sz w:val="24"/>
          <w:szCs w:val="24"/>
        </w:rPr>
      </w:pPr>
    </w:p>
    <w:p w14:paraId="0B5C20D6" w14:textId="77777777" w:rsidR="00476097" w:rsidRPr="00C12279" w:rsidRDefault="00BE7B79" w:rsidP="00C12279">
      <w:pPr>
        <w:spacing w:after="0" w:line="240" w:lineRule="auto"/>
        <w:jc w:val="both"/>
        <w:rPr>
          <w:rFonts w:ascii="Times New Roman" w:hAnsi="Times New Roman" w:cs="Times New Roman"/>
          <w:sz w:val="24"/>
          <w:szCs w:val="24"/>
        </w:rPr>
      </w:pPr>
      <w:r w:rsidRPr="00C12279">
        <w:rPr>
          <w:rFonts w:ascii="Times New Roman" w:hAnsi="Times New Roman" w:cs="Times New Roman"/>
          <w:sz w:val="24"/>
          <w:szCs w:val="24"/>
        </w:rPr>
        <w:t xml:space="preserve"> </w:t>
      </w:r>
    </w:p>
    <w:p w14:paraId="68645EB2" w14:textId="77777777" w:rsidR="00BE7B79" w:rsidRPr="00C12279" w:rsidRDefault="00BE7B79" w:rsidP="008409E8">
      <w:pPr>
        <w:jc w:val="both"/>
        <w:rPr>
          <w:rFonts w:ascii="Times New Roman" w:hAnsi="Times New Roman" w:cs="Times New Roman"/>
          <w:b/>
          <w:sz w:val="24"/>
          <w:szCs w:val="24"/>
        </w:rPr>
      </w:pPr>
      <w:r w:rsidRPr="00C12279">
        <w:rPr>
          <w:rFonts w:ascii="Times New Roman" w:hAnsi="Times New Roman" w:cs="Times New Roman"/>
          <w:sz w:val="24"/>
          <w:szCs w:val="24"/>
        </w:rPr>
        <w:t xml:space="preserve"> </w:t>
      </w:r>
      <w:r w:rsidRPr="00C12279">
        <w:rPr>
          <w:rFonts w:ascii="Times New Roman" w:hAnsi="Times New Roman" w:cs="Times New Roman"/>
          <w:b/>
          <w:sz w:val="24"/>
          <w:szCs w:val="24"/>
        </w:rPr>
        <w:t xml:space="preserve">Income Tax Appeal </w:t>
      </w:r>
    </w:p>
    <w:p w14:paraId="6D91D244" w14:textId="77777777" w:rsidR="00476097" w:rsidRPr="00C12279" w:rsidRDefault="00476097" w:rsidP="008409E8">
      <w:pPr>
        <w:jc w:val="both"/>
        <w:rPr>
          <w:rFonts w:ascii="Times New Roman" w:hAnsi="Times New Roman" w:cs="Times New Roman"/>
          <w:i/>
          <w:sz w:val="24"/>
          <w:szCs w:val="24"/>
        </w:rPr>
      </w:pPr>
    </w:p>
    <w:p w14:paraId="0E3C615C" w14:textId="77777777" w:rsidR="00BE7B79" w:rsidRPr="00C12279" w:rsidRDefault="00BE7B79" w:rsidP="00C12279">
      <w:pPr>
        <w:spacing w:after="0" w:line="240" w:lineRule="auto"/>
        <w:jc w:val="both"/>
        <w:rPr>
          <w:rFonts w:ascii="Times New Roman" w:hAnsi="Times New Roman" w:cs="Times New Roman"/>
          <w:sz w:val="24"/>
          <w:szCs w:val="24"/>
        </w:rPr>
      </w:pPr>
      <w:r w:rsidRPr="00C12279">
        <w:rPr>
          <w:rFonts w:ascii="Times New Roman" w:hAnsi="Times New Roman" w:cs="Times New Roman"/>
          <w:i/>
          <w:sz w:val="24"/>
          <w:szCs w:val="24"/>
        </w:rPr>
        <w:t xml:space="preserve">AP de Bourbon, </w:t>
      </w:r>
      <w:r w:rsidRPr="00C12279">
        <w:rPr>
          <w:rFonts w:ascii="Times New Roman" w:hAnsi="Times New Roman" w:cs="Times New Roman"/>
          <w:sz w:val="24"/>
          <w:szCs w:val="24"/>
        </w:rPr>
        <w:t>for the appellant</w:t>
      </w:r>
    </w:p>
    <w:p w14:paraId="3D6FB434" w14:textId="77777777" w:rsidR="00BE7B79" w:rsidRDefault="00BE7B79" w:rsidP="00C12279">
      <w:pPr>
        <w:spacing w:after="0" w:line="240" w:lineRule="auto"/>
        <w:jc w:val="both"/>
        <w:rPr>
          <w:rFonts w:ascii="Times New Roman" w:hAnsi="Times New Roman" w:cs="Times New Roman"/>
          <w:sz w:val="24"/>
          <w:szCs w:val="24"/>
        </w:rPr>
      </w:pPr>
      <w:r w:rsidRPr="00C12279">
        <w:rPr>
          <w:rFonts w:ascii="Times New Roman" w:hAnsi="Times New Roman" w:cs="Times New Roman"/>
          <w:i/>
          <w:sz w:val="24"/>
          <w:szCs w:val="24"/>
        </w:rPr>
        <w:t>T Magwaliba,</w:t>
      </w:r>
      <w:r w:rsidRPr="00C12279">
        <w:rPr>
          <w:rFonts w:ascii="Times New Roman" w:hAnsi="Times New Roman" w:cs="Times New Roman"/>
          <w:sz w:val="24"/>
          <w:szCs w:val="24"/>
        </w:rPr>
        <w:t xml:space="preserve"> for the respondent</w:t>
      </w:r>
    </w:p>
    <w:p w14:paraId="4462AAB4" w14:textId="77777777" w:rsidR="00C12279" w:rsidRDefault="00C12279" w:rsidP="00C12279">
      <w:pPr>
        <w:spacing w:after="0" w:line="240" w:lineRule="auto"/>
        <w:jc w:val="both"/>
        <w:rPr>
          <w:rFonts w:ascii="Times New Roman" w:hAnsi="Times New Roman" w:cs="Times New Roman"/>
          <w:sz w:val="24"/>
          <w:szCs w:val="24"/>
        </w:rPr>
      </w:pPr>
    </w:p>
    <w:p w14:paraId="183B9D06" w14:textId="77777777" w:rsidR="00C12279" w:rsidRPr="00C12279" w:rsidRDefault="00C12279" w:rsidP="00C12279">
      <w:pPr>
        <w:spacing w:after="0" w:line="240" w:lineRule="auto"/>
        <w:jc w:val="both"/>
        <w:rPr>
          <w:rFonts w:ascii="Times New Roman" w:hAnsi="Times New Roman" w:cs="Times New Roman"/>
          <w:sz w:val="24"/>
          <w:szCs w:val="24"/>
        </w:rPr>
      </w:pPr>
    </w:p>
    <w:p w14:paraId="0161080F" w14:textId="77777777" w:rsidR="004843E7" w:rsidRPr="00C12279" w:rsidRDefault="00552333" w:rsidP="00C12279">
      <w:pPr>
        <w:spacing w:after="0" w:line="360" w:lineRule="auto"/>
        <w:jc w:val="both"/>
        <w:rPr>
          <w:rFonts w:ascii="Times New Roman" w:hAnsi="Times New Roman" w:cs="Times New Roman"/>
          <w:sz w:val="24"/>
          <w:szCs w:val="24"/>
        </w:rPr>
      </w:pPr>
      <w:r w:rsidRPr="00C12279">
        <w:rPr>
          <w:rFonts w:ascii="Times New Roman" w:hAnsi="Times New Roman" w:cs="Times New Roman"/>
          <w:sz w:val="24"/>
          <w:szCs w:val="24"/>
        </w:rPr>
        <w:tab/>
      </w:r>
      <w:r w:rsidR="00476097" w:rsidRPr="00C12279">
        <w:rPr>
          <w:rFonts w:ascii="Times New Roman" w:hAnsi="Times New Roman" w:cs="Times New Roman"/>
          <w:sz w:val="24"/>
          <w:szCs w:val="24"/>
        </w:rPr>
        <w:t>KUDYA J: Th</w:t>
      </w:r>
      <w:r w:rsidR="004843E7" w:rsidRPr="00C12279">
        <w:rPr>
          <w:rFonts w:ascii="Times New Roman" w:hAnsi="Times New Roman" w:cs="Times New Roman"/>
          <w:sz w:val="24"/>
          <w:szCs w:val="24"/>
        </w:rPr>
        <w:t xml:space="preserve">is is an </w:t>
      </w:r>
      <w:r w:rsidR="00476097" w:rsidRPr="00C12279">
        <w:rPr>
          <w:rFonts w:ascii="Times New Roman" w:hAnsi="Times New Roman" w:cs="Times New Roman"/>
          <w:sz w:val="24"/>
          <w:szCs w:val="24"/>
        </w:rPr>
        <w:t xml:space="preserve">appeal </w:t>
      </w:r>
      <w:r w:rsidR="004843E7" w:rsidRPr="00C12279">
        <w:rPr>
          <w:rFonts w:ascii="Times New Roman" w:hAnsi="Times New Roman" w:cs="Times New Roman"/>
          <w:sz w:val="24"/>
          <w:szCs w:val="24"/>
        </w:rPr>
        <w:t>against four amended income tax assessment</w:t>
      </w:r>
      <w:r w:rsidR="006A3998" w:rsidRPr="00C12279">
        <w:rPr>
          <w:rFonts w:ascii="Times New Roman" w:hAnsi="Times New Roman" w:cs="Times New Roman"/>
          <w:sz w:val="24"/>
          <w:szCs w:val="24"/>
        </w:rPr>
        <w:t>s</w:t>
      </w:r>
      <w:r w:rsidR="004843E7" w:rsidRPr="00C12279">
        <w:rPr>
          <w:rFonts w:ascii="Times New Roman" w:hAnsi="Times New Roman" w:cs="Times New Roman"/>
          <w:sz w:val="24"/>
          <w:szCs w:val="24"/>
        </w:rPr>
        <w:t xml:space="preserve"> number 20211442 for the year ending 31 December 2009, 20211443 for the year ending 31 December 2010, 202211</w:t>
      </w:r>
      <w:r w:rsidR="00207ED8" w:rsidRPr="00C12279">
        <w:rPr>
          <w:rFonts w:ascii="Times New Roman" w:hAnsi="Times New Roman" w:cs="Times New Roman"/>
          <w:sz w:val="24"/>
          <w:szCs w:val="24"/>
        </w:rPr>
        <w:t>4</w:t>
      </w:r>
      <w:r w:rsidR="004843E7" w:rsidRPr="00C12279">
        <w:rPr>
          <w:rFonts w:ascii="Times New Roman" w:hAnsi="Times New Roman" w:cs="Times New Roman"/>
          <w:sz w:val="24"/>
          <w:szCs w:val="24"/>
        </w:rPr>
        <w:t>46 for the year</w:t>
      </w:r>
      <w:r w:rsidR="00207ED8" w:rsidRPr="00C12279">
        <w:rPr>
          <w:rFonts w:ascii="Times New Roman" w:hAnsi="Times New Roman" w:cs="Times New Roman"/>
          <w:sz w:val="24"/>
          <w:szCs w:val="24"/>
        </w:rPr>
        <w:t xml:space="preserve"> ending 31 December 2011 and 2021</w:t>
      </w:r>
      <w:r w:rsidR="004843E7" w:rsidRPr="00C12279">
        <w:rPr>
          <w:rFonts w:ascii="Times New Roman" w:hAnsi="Times New Roman" w:cs="Times New Roman"/>
          <w:sz w:val="24"/>
          <w:szCs w:val="24"/>
        </w:rPr>
        <w:t>1448 for the year ending 31 December 2012 that were issued against the appellant by the respondent on 27 June 2014</w:t>
      </w:r>
      <w:r w:rsidR="007545B2" w:rsidRPr="00C12279">
        <w:rPr>
          <w:rStyle w:val="FootnoteReference"/>
          <w:rFonts w:ascii="Times New Roman" w:hAnsi="Times New Roman" w:cs="Times New Roman"/>
          <w:sz w:val="24"/>
          <w:szCs w:val="24"/>
        </w:rPr>
        <w:footnoteReference w:id="1"/>
      </w:r>
      <w:r w:rsidR="004843E7" w:rsidRPr="00C12279">
        <w:rPr>
          <w:rFonts w:ascii="Times New Roman" w:hAnsi="Times New Roman" w:cs="Times New Roman"/>
          <w:sz w:val="24"/>
          <w:szCs w:val="24"/>
        </w:rPr>
        <w:t>.</w:t>
      </w:r>
      <w:r w:rsidR="006A3998" w:rsidRPr="00C12279">
        <w:rPr>
          <w:rFonts w:ascii="Times New Roman" w:hAnsi="Times New Roman" w:cs="Times New Roman"/>
          <w:sz w:val="24"/>
          <w:szCs w:val="24"/>
        </w:rPr>
        <w:t xml:space="preserve"> </w:t>
      </w:r>
    </w:p>
    <w:p w14:paraId="027EE0C6" w14:textId="2ABC22C6" w:rsidR="00476097" w:rsidRPr="00C12279" w:rsidRDefault="006A3998" w:rsidP="00C12279">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On 25 July 2014</w:t>
      </w:r>
      <w:r w:rsidR="00465AA5">
        <w:rPr>
          <w:rFonts w:ascii="Times New Roman" w:hAnsi="Times New Roman" w:cs="Times New Roman"/>
          <w:sz w:val="24"/>
          <w:szCs w:val="24"/>
        </w:rPr>
        <w:t>,</w:t>
      </w:r>
      <w:r w:rsidRPr="00C12279">
        <w:rPr>
          <w:rFonts w:ascii="Times New Roman" w:hAnsi="Times New Roman" w:cs="Times New Roman"/>
          <w:sz w:val="24"/>
          <w:szCs w:val="24"/>
        </w:rPr>
        <w:t xml:space="preserve"> the appellant objected </w:t>
      </w:r>
      <w:r w:rsidR="005A5A74" w:rsidRPr="00C12279">
        <w:rPr>
          <w:rFonts w:ascii="Times New Roman" w:hAnsi="Times New Roman" w:cs="Times New Roman"/>
          <w:sz w:val="24"/>
          <w:szCs w:val="24"/>
        </w:rPr>
        <w:t xml:space="preserve">to the amended assessments </w:t>
      </w:r>
      <w:r w:rsidRPr="00C12279">
        <w:rPr>
          <w:rFonts w:ascii="Times New Roman" w:hAnsi="Times New Roman" w:cs="Times New Roman"/>
          <w:sz w:val="24"/>
          <w:szCs w:val="24"/>
        </w:rPr>
        <w:t>in terms of s 62 of the Income Tax Act [</w:t>
      </w:r>
      <w:r w:rsidRPr="00C12279">
        <w:rPr>
          <w:rFonts w:ascii="Times New Roman" w:hAnsi="Times New Roman" w:cs="Times New Roman"/>
          <w:i/>
          <w:sz w:val="24"/>
          <w:szCs w:val="24"/>
        </w:rPr>
        <w:t>Chapter 23:06].</w:t>
      </w:r>
      <w:r w:rsidRPr="00C12279">
        <w:rPr>
          <w:rFonts w:ascii="Times New Roman" w:hAnsi="Times New Roman" w:cs="Times New Roman"/>
          <w:sz w:val="24"/>
          <w:szCs w:val="24"/>
        </w:rPr>
        <w:t xml:space="preserve"> On 22 October 2014 all the objections were disallowed save for a few relating to penalties. The appellant gave notice of its intention to appeal on 30 October 2014 and duly filed the present appeal on 18 December 2014</w:t>
      </w:r>
      <w:r w:rsidR="00552333" w:rsidRPr="00C12279">
        <w:rPr>
          <w:rFonts w:ascii="Times New Roman" w:hAnsi="Times New Roman" w:cs="Times New Roman"/>
          <w:sz w:val="24"/>
          <w:szCs w:val="24"/>
        </w:rPr>
        <w:t>.</w:t>
      </w:r>
    </w:p>
    <w:p w14:paraId="5881BDAF" w14:textId="7E02BD0B" w:rsidR="00CA1507" w:rsidRPr="00C12279" w:rsidRDefault="00CA1507" w:rsidP="00C12279">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appellant called the evidence of two witnesses, an independent tax consultant</w:t>
      </w:r>
      <w:r w:rsidR="00FF0169" w:rsidRPr="00C12279">
        <w:rPr>
          <w:rFonts w:ascii="Times New Roman" w:hAnsi="Times New Roman" w:cs="Times New Roman"/>
          <w:sz w:val="24"/>
          <w:szCs w:val="24"/>
        </w:rPr>
        <w:t>, LM,</w:t>
      </w:r>
      <w:r w:rsidRPr="00C12279">
        <w:rPr>
          <w:rFonts w:ascii="Times New Roman" w:hAnsi="Times New Roman" w:cs="Times New Roman"/>
          <w:sz w:val="24"/>
          <w:szCs w:val="24"/>
        </w:rPr>
        <w:t xml:space="preserve"> who worked for the respondent for </w:t>
      </w:r>
      <w:r w:rsidR="008F7400" w:rsidRPr="00C12279">
        <w:rPr>
          <w:rFonts w:ascii="Times New Roman" w:hAnsi="Times New Roman" w:cs="Times New Roman"/>
          <w:sz w:val="24"/>
          <w:szCs w:val="24"/>
        </w:rPr>
        <w:t>the 16 years to 2006 and its</w:t>
      </w:r>
      <w:r w:rsidRPr="00C12279">
        <w:rPr>
          <w:rFonts w:ascii="Times New Roman" w:hAnsi="Times New Roman" w:cs="Times New Roman"/>
          <w:sz w:val="24"/>
          <w:szCs w:val="24"/>
        </w:rPr>
        <w:t xml:space="preserve"> managing director. In addition, it </w:t>
      </w:r>
      <w:r w:rsidR="00E671A6" w:rsidRPr="00C12279">
        <w:rPr>
          <w:rFonts w:ascii="Times New Roman" w:hAnsi="Times New Roman" w:cs="Times New Roman"/>
          <w:sz w:val="24"/>
          <w:szCs w:val="24"/>
        </w:rPr>
        <w:t xml:space="preserve">produced </w:t>
      </w:r>
      <w:r w:rsidRPr="00C12279">
        <w:rPr>
          <w:rFonts w:ascii="Times New Roman" w:hAnsi="Times New Roman" w:cs="Times New Roman"/>
          <w:sz w:val="24"/>
          <w:szCs w:val="24"/>
        </w:rPr>
        <w:t>four voluminous documentary exhibits</w:t>
      </w:r>
      <w:r w:rsidR="00E671A6" w:rsidRPr="00C12279">
        <w:rPr>
          <w:rFonts w:ascii="Times New Roman" w:hAnsi="Times New Roman" w:cs="Times New Roman"/>
          <w:sz w:val="24"/>
          <w:szCs w:val="24"/>
        </w:rPr>
        <w:t xml:space="preserve"> in excess of 500 pages</w:t>
      </w:r>
      <w:r w:rsidRPr="00C12279">
        <w:rPr>
          <w:rFonts w:ascii="Times New Roman" w:hAnsi="Times New Roman" w:cs="Times New Roman"/>
          <w:sz w:val="24"/>
          <w:szCs w:val="24"/>
        </w:rPr>
        <w:t xml:space="preserve">, </w:t>
      </w:r>
      <w:r w:rsidR="00E905FD" w:rsidRPr="00C12279">
        <w:rPr>
          <w:rFonts w:ascii="Times New Roman" w:hAnsi="Times New Roman" w:cs="Times New Roman"/>
          <w:sz w:val="24"/>
          <w:szCs w:val="24"/>
        </w:rPr>
        <w:t xml:space="preserve">exh 1 to 4. The respondent </w:t>
      </w:r>
      <w:r w:rsidRPr="00C12279">
        <w:rPr>
          <w:rFonts w:ascii="Times New Roman" w:hAnsi="Times New Roman" w:cs="Times New Roman"/>
          <w:sz w:val="24"/>
          <w:szCs w:val="24"/>
        </w:rPr>
        <w:t>called</w:t>
      </w:r>
      <w:r w:rsidR="00E905FD" w:rsidRPr="00C12279">
        <w:rPr>
          <w:rFonts w:ascii="Times New Roman" w:hAnsi="Times New Roman" w:cs="Times New Roman"/>
          <w:sz w:val="24"/>
          <w:szCs w:val="24"/>
        </w:rPr>
        <w:t xml:space="preserve"> its Chief Investigations Officer</w:t>
      </w:r>
      <w:r w:rsidR="00F66330" w:rsidRPr="00C12279">
        <w:rPr>
          <w:rFonts w:ascii="Times New Roman" w:hAnsi="Times New Roman" w:cs="Times New Roman"/>
          <w:sz w:val="24"/>
          <w:szCs w:val="24"/>
        </w:rPr>
        <w:t xml:space="preserve"> OM</w:t>
      </w:r>
      <w:r w:rsidR="00DE532E" w:rsidRPr="00C12279">
        <w:rPr>
          <w:rFonts w:ascii="Times New Roman" w:hAnsi="Times New Roman" w:cs="Times New Roman"/>
          <w:sz w:val="24"/>
          <w:szCs w:val="24"/>
        </w:rPr>
        <w:t>, who has held that office</w:t>
      </w:r>
      <w:r w:rsidR="00C95250" w:rsidRPr="00C12279">
        <w:rPr>
          <w:rFonts w:ascii="Times New Roman" w:hAnsi="Times New Roman" w:cs="Times New Roman"/>
          <w:sz w:val="24"/>
          <w:szCs w:val="24"/>
        </w:rPr>
        <w:t xml:space="preserve"> since 2011 but wit</w:t>
      </w:r>
      <w:r w:rsidR="000276A1" w:rsidRPr="00C12279">
        <w:rPr>
          <w:rFonts w:ascii="Times New Roman" w:hAnsi="Times New Roman" w:cs="Times New Roman"/>
          <w:sz w:val="24"/>
          <w:szCs w:val="24"/>
        </w:rPr>
        <w:t xml:space="preserve">h </w:t>
      </w:r>
      <w:r w:rsidR="00F83772" w:rsidRPr="00C12279">
        <w:rPr>
          <w:rFonts w:ascii="Times New Roman" w:hAnsi="Times New Roman" w:cs="Times New Roman"/>
          <w:sz w:val="24"/>
          <w:szCs w:val="24"/>
        </w:rPr>
        <w:t xml:space="preserve">a </w:t>
      </w:r>
      <w:r w:rsidR="000276A1" w:rsidRPr="00C12279">
        <w:rPr>
          <w:rFonts w:ascii="Times New Roman" w:hAnsi="Times New Roman" w:cs="Times New Roman"/>
          <w:sz w:val="24"/>
          <w:szCs w:val="24"/>
        </w:rPr>
        <w:t>total of 14 years’ experience</w:t>
      </w:r>
      <w:r w:rsidR="004119A0" w:rsidRPr="00C12279">
        <w:rPr>
          <w:rFonts w:ascii="Times New Roman" w:hAnsi="Times New Roman" w:cs="Times New Roman"/>
          <w:sz w:val="24"/>
          <w:szCs w:val="24"/>
        </w:rPr>
        <w:t>, produced</w:t>
      </w:r>
      <w:r w:rsidR="00663877" w:rsidRPr="00C12279">
        <w:rPr>
          <w:rFonts w:ascii="Times New Roman" w:hAnsi="Times New Roman" w:cs="Times New Roman"/>
          <w:sz w:val="24"/>
          <w:szCs w:val="24"/>
        </w:rPr>
        <w:t xml:space="preserve"> a 9 paged </w:t>
      </w:r>
      <w:r w:rsidRPr="00C12279">
        <w:rPr>
          <w:rFonts w:ascii="Times New Roman" w:hAnsi="Times New Roman" w:cs="Times New Roman"/>
          <w:sz w:val="24"/>
          <w:szCs w:val="24"/>
        </w:rPr>
        <w:t>documentary exhibit, exh 5</w:t>
      </w:r>
      <w:r w:rsidR="000276A1" w:rsidRPr="00C12279">
        <w:rPr>
          <w:rFonts w:ascii="Times New Roman" w:hAnsi="Times New Roman" w:cs="Times New Roman"/>
          <w:sz w:val="24"/>
          <w:szCs w:val="24"/>
        </w:rPr>
        <w:t xml:space="preserve"> and relied on the mandatory r 11 documents</w:t>
      </w:r>
      <w:r w:rsidRPr="00C12279">
        <w:rPr>
          <w:rFonts w:ascii="Times New Roman" w:hAnsi="Times New Roman" w:cs="Times New Roman"/>
          <w:sz w:val="24"/>
          <w:szCs w:val="24"/>
        </w:rPr>
        <w:t xml:space="preserve">.  </w:t>
      </w:r>
    </w:p>
    <w:p w14:paraId="0456B8EE" w14:textId="77777777" w:rsidR="00552333" w:rsidRPr="00C12279" w:rsidRDefault="00552333" w:rsidP="008409E8">
      <w:pPr>
        <w:jc w:val="both"/>
        <w:rPr>
          <w:rFonts w:ascii="Times New Roman" w:hAnsi="Times New Roman" w:cs="Times New Roman"/>
          <w:b/>
          <w:sz w:val="24"/>
          <w:szCs w:val="24"/>
        </w:rPr>
      </w:pPr>
      <w:r w:rsidRPr="00C12279">
        <w:rPr>
          <w:rFonts w:ascii="Times New Roman" w:hAnsi="Times New Roman" w:cs="Times New Roman"/>
          <w:b/>
          <w:sz w:val="24"/>
          <w:szCs w:val="24"/>
        </w:rPr>
        <w:t>Background</w:t>
      </w:r>
    </w:p>
    <w:p w14:paraId="0E013F3B" w14:textId="6CA1DE18" w:rsidR="007545B2" w:rsidRPr="00C12279" w:rsidRDefault="00552333" w:rsidP="00C12279">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appellant was inco</w:t>
      </w:r>
      <w:r w:rsidR="00E42B25" w:rsidRPr="00C12279">
        <w:rPr>
          <w:rFonts w:ascii="Times New Roman" w:hAnsi="Times New Roman" w:cs="Times New Roman"/>
          <w:sz w:val="24"/>
          <w:szCs w:val="24"/>
        </w:rPr>
        <w:t xml:space="preserve">rporated </w:t>
      </w:r>
      <w:r w:rsidR="009720D3" w:rsidRPr="00C12279">
        <w:rPr>
          <w:rFonts w:ascii="Times New Roman" w:hAnsi="Times New Roman" w:cs="Times New Roman"/>
          <w:sz w:val="24"/>
          <w:szCs w:val="24"/>
        </w:rPr>
        <w:t>on 29 September 1995</w:t>
      </w:r>
      <w:r w:rsidR="005361F4" w:rsidRPr="00C12279">
        <w:rPr>
          <w:rFonts w:ascii="Times New Roman" w:hAnsi="Times New Roman" w:cs="Times New Roman"/>
          <w:sz w:val="24"/>
          <w:szCs w:val="24"/>
        </w:rPr>
        <w:t xml:space="preserve"> and underwent</w:t>
      </w:r>
      <w:r w:rsidR="000276A1" w:rsidRPr="00C12279">
        <w:rPr>
          <w:rFonts w:ascii="Times New Roman" w:hAnsi="Times New Roman" w:cs="Times New Roman"/>
          <w:sz w:val="24"/>
          <w:szCs w:val="24"/>
        </w:rPr>
        <w:t xml:space="preserve"> two name changes</w:t>
      </w:r>
      <w:r w:rsidR="005361F4" w:rsidRPr="00C12279">
        <w:rPr>
          <w:rFonts w:ascii="Times New Roman" w:hAnsi="Times New Roman" w:cs="Times New Roman"/>
          <w:sz w:val="24"/>
          <w:szCs w:val="24"/>
        </w:rPr>
        <w:t xml:space="preserve"> </w:t>
      </w:r>
      <w:r w:rsidR="000276A1" w:rsidRPr="00C12279">
        <w:rPr>
          <w:rFonts w:ascii="Times New Roman" w:hAnsi="Times New Roman" w:cs="Times New Roman"/>
          <w:sz w:val="24"/>
          <w:szCs w:val="24"/>
        </w:rPr>
        <w:t>on 24 April 1996 and</w:t>
      </w:r>
      <w:r w:rsidR="005361F4" w:rsidRPr="00C12279">
        <w:rPr>
          <w:rFonts w:ascii="Times New Roman" w:hAnsi="Times New Roman" w:cs="Times New Roman"/>
          <w:sz w:val="24"/>
          <w:szCs w:val="24"/>
        </w:rPr>
        <w:t xml:space="preserve"> </w:t>
      </w:r>
      <w:r w:rsidR="00E42B25" w:rsidRPr="00C12279">
        <w:rPr>
          <w:rFonts w:ascii="Times New Roman" w:hAnsi="Times New Roman" w:cs="Times New Roman"/>
          <w:sz w:val="24"/>
          <w:szCs w:val="24"/>
        </w:rPr>
        <w:t>9 October 2014</w:t>
      </w:r>
      <w:r w:rsidR="00D1753A" w:rsidRPr="00C12279">
        <w:rPr>
          <w:rStyle w:val="FootnoteReference"/>
          <w:rFonts w:ascii="Times New Roman" w:hAnsi="Times New Roman" w:cs="Times New Roman"/>
          <w:sz w:val="24"/>
          <w:szCs w:val="24"/>
        </w:rPr>
        <w:footnoteReference w:id="2"/>
      </w:r>
      <w:r w:rsidR="00E42B25" w:rsidRPr="00C12279">
        <w:rPr>
          <w:rFonts w:ascii="Times New Roman" w:hAnsi="Times New Roman" w:cs="Times New Roman"/>
          <w:sz w:val="24"/>
          <w:szCs w:val="24"/>
        </w:rPr>
        <w:t>.</w:t>
      </w:r>
      <w:r w:rsidR="001F7620" w:rsidRPr="00C12279">
        <w:rPr>
          <w:rFonts w:ascii="Times New Roman" w:hAnsi="Times New Roman" w:cs="Times New Roman"/>
          <w:sz w:val="24"/>
          <w:szCs w:val="24"/>
        </w:rPr>
        <w:t xml:space="preserve"> </w:t>
      </w:r>
      <w:r w:rsidR="005361F4" w:rsidRPr="00C12279">
        <w:rPr>
          <w:rFonts w:ascii="Times New Roman" w:hAnsi="Times New Roman" w:cs="Times New Roman"/>
          <w:sz w:val="24"/>
          <w:szCs w:val="24"/>
        </w:rPr>
        <w:t xml:space="preserve">The second name change was precipitated by </w:t>
      </w:r>
      <w:r w:rsidR="005361F4" w:rsidRPr="00C12279">
        <w:rPr>
          <w:rFonts w:ascii="Times New Roman" w:hAnsi="Times New Roman" w:cs="Times New Roman"/>
          <w:sz w:val="24"/>
          <w:szCs w:val="24"/>
        </w:rPr>
        <w:lastRenderedPageBreak/>
        <w:t xml:space="preserve">the acquisition of </w:t>
      </w:r>
      <w:r w:rsidR="00C42F54" w:rsidRPr="00C12279">
        <w:rPr>
          <w:rFonts w:ascii="Times New Roman" w:hAnsi="Times New Roman" w:cs="Times New Roman"/>
          <w:sz w:val="24"/>
          <w:szCs w:val="24"/>
        </w:rPr>
        <w:t xml:space="preserve">the </w:t>
      </w:r>
      <w:r w:rsidR="005361F4" w:rsidRPr="00C12279">
        <w:rPr>
          <w:rFonts w:ascii="Times New Roman" w:hAnsi="Times New Roman" w:cs="Times New Roman"/>
          <w:sz w:val="24"/>
          <w:szCs w:val="24"/>
        </w:rPr>
        <w:t>South African registered sister company by the appellant’s holding company on 1 June 2005</w:t>
      </w:r>
      <w:r w:rsidR="009118CF" w:rsidRPr="00C12279">
        <w:rPr>
          <w:rFonts w:ascii="Times New Roman" w:hAnsi="Times New Roman" w:cs="Times New Roman"/>
          <w:sz w:val="24"/>
          <w:szCs w:val="24"/>
        </w:rPr>
        <w:t>.</w:t>
      </w:r>
      <w:r w:rsidR="005361F4" w:rsidRPr="00C12279">
        <w:rPr>
          <w:rFonts w:ascii="Times New Roman" w:hAnsi="Times New Roman" w:cs="Times New Roman"/>
          <w:sz w:val="24"/>
          <w:szCs w:val="24"/>
        </w:rPr>
        <w:t xml:space="preserve"> </w:t>
      </w:r>
      <w:r w:rsidR="000276A1" w:rsidRPr="00C12279">
        <w:rPr>
          <w:rFonts w:ascii="Times New Roman" w:hAnsi="Times New Roman" w:cs="Times New Roman"/>
          <w:sz w:val="24"/>
          <w:szCs w:val="24"/>
        </w:rPr>
        <w:t>Sometime in 2010</w:t>
      </w:r>
      <w:r w:rsidR="000276A1" w:rsidRPr="00C12279">
        <w:rPr>
          <w:rStyle w:val="FootnoteReference"/>
          <w:rFonts w:ascii="Times New Roman" w:hAnsi="Times New Roman" w:cs="Times New Roman"/>
          <w:sz w:val="24"/>
          <w:szCs w:val="24"/>
        </w:rPr>
        <w:footnoteReference w:id="3"/>
      </w:r>
      <w:r w:rsidR="000276A1" w:rsidRPr="00C12279">
        <w:rPr>
          <w:rFonts w:ascii="Times New Roman" w:hAnsi="Times New Roman" w:cs="Times New Roman"/>
          <w:sz w:val="24"/>
          <w:szCs w:val="24"/>
        </w:rPr>
        <w:t xml:space="preserve"> t</w:t>
      </w:r>
      <w:r w:rsidR="004F57E1" w:rsidRPr="00C12279">
        <w:rPr>
          <w:rFonts w:ascii="Times New Roman" w:hAnsi="Times New Roman" w:cs="Times New Roman"/>
          <w:sz w:val="24"/>
          <w:szCs w:val="24"/>
        </w:rPr>
        <w:t>he respondent commenced the</w:t>
      </w:r>
      <w:r w:rsidR="00856CE7" w:rsidRPr="00C12279">
        <w:rPr>
          <w:rFonts w:ascii="Times New Roman" w:hAnsi="Times New Roman" w:cs="Times New Roman"/>
          <w:sz w:val="24"/>
          <w:szCs w:val="24"/>
        </w:rPr>
        <w:t xml:space="preserve"> tax compliance investigati</w:t>
      </w:r>
      <w:r w:rsidR="009118CF" w:rsidRPr="00C12279">
        <w:rPr>
          <w:rFonts w:ascii="Times New Roman" w:hAnsi="Times New Roman" w:cs="Times New Roman"/>
          <w:sz w:val="24"/>
          <w:szCs w:val="24"/>
        </w:rPr>
        <w:t xml:space="preserve">on on the </w:t>
      </w:r>
      <w:r w:rsidR="000276A1" w:rsidRPr="00C12279">
        <w:rPr>
          <w:rFonts w:ascii="Times New Roman" w:hAnsi="Times New Roman" w:cs="Times New Roman"/>
          <w:sz w:val="24"/>
          <w:szCs w:val="24"/>
        </w:rPr>
        <w:t>appellant that resulted in the amended tax assessments that gave rise to this appeal.</w:t>
      </w:r>
      <w:r w:rsidR="009118CF" w:rsidRPr="00C12279">
        <w:rPr>
          <w:rFonts w:ascii="Times New Roman" w:hAnsi="Times New Roman" w:cs="Times New Roman"/>
          <w:sz w:val="24"/>
          <w:szCs w:val="24"/>
        </w:rPr>
        <w:t xml:space="preserve"> </w:t>
      </w:r>
      <w:r w:rsidR="00FC3A7C" w:rsidRPr="00C12279">
        <w:rPr>
          <w:rFonts w:ascii="Times New Roman" w:hAnsi="Times New Roman" w:cs="Times New Roman"/>
          <w:sz w:val="24"/>
          <w:szCs w:val="24"/>
        </w:rPr>
        <w:t>The appellant’s main business activities i</w:t>
      </w:r>
      <w:r w:rsidR="00AF571B" w:rsidRPr="00C12279">
        <w:rPr>
          <w:rFonts w:ascii="Times New Roman" w:hAnsi="Times New Roman" w:cs="Times New Roman"/>
          <w:sz w:val="24"/>
          <w:szCs w:val="24"/>
        </w:rPr>
        <w:t>n the four years in questi</w:t>
      </w:r>
      <w:r w:rsidR="00FC3A7C" w:rsidRPr="00C12279">
        <w:rPr>
          <w:rFonts w:ascii="Times New Roman" w:hAnsi="Times New Roman" w:cs="Times New Roman"/>
          <w:sz w:val="24"/>
          <w:szCs w:val="24"/>
        </w:rPr>
        <w:t xml:space="preserve">on were in the </w:t>
      </w:r>
      <w:r w:rsidR="00AF571B" w:rsidRPr="00C12279">
        <w:rPr>
          <w:rFonts w:ascii="Times New Roman" w:hAnsi="Times New Roman" w:cs="Times New Roman"/>
          <w:sz w:val="24"/>
          <w:szCs w:val="24"/>
        </w:rPr>
        <w:t>importation, distribution and marketing of motor vehicles and spare parts of a specified brand.</w:t>
      </w:r>
      <w:r w:rsidR="00AF571B" w:rsidRPr="00C12279">
        <w:rPr>
          <w:rStyle w:val="FootnoteReference"/>
          <w:rFonts w:ascii="Times New Roman" w:hAnsi="Times New Roman" w:cs="Times New Roman"/>
          <w:sz w:val="24"/>
          <w:szCs w:val="24"/>
        </w:rPr>
        <w:footnoteReference w:id="4"/>
      </w:r>
    </w:p>
    <w:p w14:paraId="60E379D2" w14:textId="77777777" w:rsidR="00833A5F" w:rsidRPr="00C12279" w:rsidRDefault="00833A5F" w:rsidP="00C12279">
      <w:pPr>
        <w:spacing w:after="0" w:line="360" w:lineRule="auto"/>
        <w:jc w:val="both"/>
        <w:rPr>
          <w:rFonts w:ascii="Times New Roman" w:hAnsi="Times New Roman" w:cs="Times New Roman"/>
          <w:i/>
          <w:sz w:val="24"/>
          <w:szCs w:val="24"/>
        </w:rPr>
      </w:pPr>
      <w:r w:rsidRPr="00C12279">
        <w:rPr>
          <w:rFonts w:ascii="Times New Roman" w:hAnsi="Times New Roman" w:cs="Times New Roman"/>
          <w:i/>
          <w:sz w:val="24"/>
          <w:szCs w:val="24"/>
        </w:rPr>
        <w:t xml:space="preserve">The 1996 </w:t>
      </w:r>
      <w:r w:rsidR="00913980" w:rsidRPr="00C12279">
        <w:rPr>
          <w:rFonts w:ascii="Times New Roman" w:hAnsi="Times New Roman" w:cs="Times New Roman"/>
          <w:i/>
          <w:sz w:val="24"/>
          <w:szCs w:val="24"/>
        </w:rPr>
        <w:t xml:space="preserve">Distributor-Assembler </w:t>
      </w:r>
      <w:r w:rsidRPr="00C12279">
        <w:rPr>
          <w:rFonts w:ascii="Times New Roman" w:hAnsi="Times New Roman" w:cs="Times New Roman"/>
          <w:i/>
          <w:sz w:val="24"/>
          <w:szCs w:val="24"/>
        </w:rPr>
        <w:t>Agreement</w:t>
      </w:r>
      <w:r w:rsidR="005A774A" w:rsidRPr="00C12279">
        <w:rPr>
          <w:rStyle w:val="FootnoteReference"/>
          <w:rFonts w:ascii="Times New Roman" w:hAnsi="Times New Roman" w:cs="Times New Roman"/>
          <w:i/>
          <w:sz w:val="24"/>
          <w:szCs w:val="24"/>
        </w:rPr>
        <w:footnoteReference w:id="5"/>
      </w:r>
    </w:p>
    <w:p w14:paraId="11C560C2" w14:textId="4222160D" w:rsidR="00027C8E" w:rsidRPr="00C12279" w:rsidRDefault="00BF3B82" w:rsidP="00C12279">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Initially, on 24 June 1997 the ap</w:t>
      </w:r>
      <w:r w:rsidR="00801F99" w:rsidRPr="00C12279">
        <w:rPr>
          <w:rFonts w:ascii="Times New Roman" w:hAnsi="Times New Roman" w:cs="Times New Roman"/>
          <w:sz w:val="24"/>
          <w:szCs w:val="24"/>
        </w:rPr>
        <w:t>pellant entered into a detailed</w:t>
      </w:r>
      <w:r w:rsidR="00876F2A" w:rsidRPr="00C12279">
        <w:rPr>
          <w:rFonts w:ascii="Times New Roman" w:hAnsi="Times New Roman" w:cs="Times New Roman"/>
          <w:sz w:val="24"/>
          <w:szCs w:val="24"/>
        </w:rPr>
        <w:t xml:space="preserve"> 53 article</w:t>
      </w:r>
      <w:r w:rsidRPr="00C12279">
        <w:rPr>
          <w:rFonts w:ascii="Times New Roman" w:hAnsi="Times New Roman" w:cs="Times New Roman"/>
          <w:sz w:val="24"/>
          <w:szCs w:val="24"/>
        </w:rPr>
        <w:t xml:space="preserve"> distributor-assembler </w:t>
      </w:r>
      <w:r w:rsidR="007C79B2" w:rsidRPr="00C12279">
        <w:rPr>
          <w:rFonts w:ascii="Times New Roman" w:hAnsi="Times New Roman" w:cs="Times New Roman"/>
          <w:sz w:val="24"/>
          <w:szCs w:val="24"/>
        </w:rPr>
        <w:t xml:space="preserve">three year </w:t>
      </w:r>
      <w:r w:rsidRPr="00C12279">
        <w:rPr>
          <w:rFonts w:ascii="Times New Roman" w:hAnsi="Times New Roman" w:cs="Times New Roman"/>
          <w:sz w:val="24"/>
          <w:szCs w:val="24"/>
        </w:rPr>
        <w:t>agreement</w:t>
      </w:r>
      <w:r w:rsidR="00A345DB" w:rsidRPr="00C12279">
        <w:rPr>
          <w:rFonts w:ascii="Times New Roman" w:hAnsi="Times New Roman" w:cs="Times New Roman"/>
          <w:sz w:val="24"/>
          <w:szCs w:val="24"/>
        </w:rPr>
        <w:t>, the original agreement,</w:t>
      </w:r>
      <w:r w:rsidR="00E03DCA">
        <w:rPr>
          <w:rFonts w:ascii="Times New Roman" w:hAnsi="Times New Roman" w:cs="Times New Roman"/>
          <w:sz w:val="24"/>
          <w:szCs w:val="24"/>
        </w:rPr>
        <w:t xml:space="preserve"> with NM</w:t>
      </w:r>
      <w:r w:rsidRPr="00C12279">
        <w:rPr>
          <w:rFonts w:ascii="Times New Roman" w:hAnsi="Times New Roman" w:cs="Times New Roman"/>
          <w:sz w:val="24"/>
          <w:szCs w:val="24"/>
        </w:rPr>
        <w:t xml:space="preserve">L a Japanese conglomerate engaged in </w:t>
      </w:r>
      <w:r w:rsidR="00876F2A" w:rsidRPr="00C12279">
        <w:rPr>
          <w:rFonts w:ascii="Times New Roman" w:hAnsi="Times New Roman" w:cs="Times New Roman"/>
          <w:sz w:val="24"/>
          <w:szCs w:val="24"/>
        </w:rPr>
        <w:t xml:space="preserve">the </w:t>
      </w:r>
      <w:r w:rsidRPr="00C12279">
        <w:rPr>
          <w:rFonts w:ascii="Times New Roman" w:hAnsi="Times New Roman" w:cs="Times New Roman"/>
          <w:sz w:val="24"/>
          <w:szCs w:val="24"/>
        </w:rPr>
        <w:t xml:space="preserve">development, manufacture and assembly and worldwide distribution and sale of </w:t>
      </w:r>
      <w:r w:rsidR="007C79B2" w:rsidRPr="00C12279">
        <w:rPr>
          <w:rFonts w:ascii="Times New Roman" w:hAnsi="Times New Roman" w:cs="Times New Roman"/>
          <w:sz w:val="24"/>
          <w:szCs w:val="24"/>
        </w:rPr>
        <w:t xml:space="preserve">an international brand of </w:t>
      </w:r>
      <w:r w:rsidRPr="00C12279">
        <w:rPr>
          <w:rFonts w:ascii="Times New Roman" w:hAnsi="Times New Roman" w:cs="Times New Roman"/>
          <w:sz w:val="24"/>
          <w:szCs w:val="24"/>
        </w:rPr>
        <w:t xml:space="preserve">various models of motor vehicles and </w:t>
      </w:r>
      <w:r w:rsidR="009C623C" w:rsidRPr="00C12279">
        <w:rPr>
          <w:rFonts w:ascii="Times New Roman" w:hAnsi="Times New Roman" w:cs="Times New Roman"/>
          <w:sz w:val="24"/>
          <w:szCs w:val="24"/>
        </w:rPr>
        <w:t xml:space="preserve">spare </w:t>
      </w:r>
      <w:r w:rsidRPr="00C12279">
        <w:rPr>
          <w:rFonts w:ascii="Times New Roman" w:hAnsi="Times New Roman" w:cs="Times New Roman"/>
          <w:sz w:val="24"/>
          <w:szCs w:val="24"/>
        </w:rPr>
        <w:t xml:space="preserve">parts, retroactively from 1 April </w:t>
      </w:r>
      <w:r w:rsidR="00876F2A" w:rsidRPr="00C12279">
        <w:rPr>
          <w:rFonts w:ascii="Times New Roman" w:hAnsi="Times New Roman" w:cs="Times New Roman"/>
          <w:sz w:val="24"/>
          <w:szCs w:val="24"/>
        </w:rPr>
        <w:t>1996</w:t>
      </w:r>
      <w:r w:rsidR="00876F2A" w:rsidRPr="00C12279">
        <w:rPr>
          <w:rStyle w:val="FootnoteReference"/>
          <w:rFonts w:ascii="Times New Roman" w:hAnsi="Times New Roman" w:cs="Times New Roman"/>
          <w:sz w:val="24"/>
          <w:szCs w:val="24"/>
        </w:rPr>
        <w:footnoteReference w:id="6"/>
      </w:r>
      <w:r w:rsidR="00876F2A" w:rsidRPr="00C12279">
        <w:rPr>
          <w:rFonts w:ascii="Times New Roman" w:hAnsi="Times New Roman" w:cs="Times New Roman"/>
          <w:sz w:val="24"/>
          <w:szCs w:val="24"/>
        </w:rPr>
        <w:t xml:space="preserve">. </w:t>
      </w:r>
      <w:r w:rsidR="007C79B2" w:rsidRPr="00C12279">
        <w:rPr>
          <w:rFonts w:ascii="Times New Roman" w:hAnsi="Times New Roman" w:cs="Times New Roman"/>
          <w:sz w:val="24"/>
          <w:szCs w:val="24"/>
        </w:rPr>
        <w:t xml:space="preserve">The appellant </w:t>
      </w:r>
      <w:r w:rsidR="00801F99" w:rsidRPr="00C12279">
        <w:rPr>
          <w:rFonts w:ascii="Times New Roman" w:hAnsi="Times New Roman" w:cs="Times New Roman"/>
          <w:sz w:val="24"/>
          <w:szCs w:val="24"/>
        </w:rPr>
        <w:t xml:space="preserve">had access to the </w:t>
      </w:r>
      <w:r w:rsidR="00592469" w:rsidRPr="00C12279">
        <w:rPr>
          <w:rFonts w:ascii="Times New Roman" w:hAnsi="Times New Roman" w:cs="Times New Roman"/>
          <w:sz w:val="24"/>
          <w:szCs w:val="24"/>
        </w:rPr>
        <w:t xml:space="preserve">conglomerate’s </w:t>
      </w:r>
      <w:r w:rsidR="007C79B2" w:rsidRPr="00C12279">
        <w:rPr>
          <w:rFonts w:ascii="Times New Roman" w:hAnsi="Times New Roman" w:cs="Times New Roman"/>
          <w:sz w:val="24"/>
          <w:szCs w:val="24"/>
        </w:rPr>
        <w:t>trademarks</w:t>
      </w:r>
      <w:r w:rsidR="00592469" w:rsidRPr="00C12279">
        <w:rPr>
          <w:rFonts w:ascii="Times New Roman" w:hAnsi="Times New Roman" w:cs="Times New Roman"/>
          <w:sz w:val="24"/>
          <w:szCs w:val="24"/>
        </w:rPr>
        <w:t>, trade names and</w:t>
      </w:r>
      <w:r w:rsidR="007C79B2" w:rsidRPr="00C12279">
        <w:rPr>
          <w:rFonts w:ascii="Times New Roman" w:hAnsi="Times New Roman" w:cs="Times New Roman"/>
          <w:sz w:val="24"/>
          <w:szCs w:val="24"/>
        </w:rPr>
        <w:t xml:space="preserve"> engineering technology</w:t>
      </w:r>
      <w:r w:rsidR="00592469" w:rsidRPr="00C12279">
        <w:rPr>
          <w:rFonts w:ascii="Times New Roman" w:hAnsi="Times New Roman" w:cs="Times New Roman"/>
          <w:sz w:val="24"/>
          <w:szCs w:val="24"/>
        </w:rPr>
        <w:t xml:space="preserve"> and was authorised to</w:t>
      </w:r>
      <w:r w:rsidR="007C79B2" w:rsidRPr="00C12279">
        <w:rPr>
          <w:rFonts w:ascii="Times New Roman" w:hAnsi="Times New Roman" w:cs="Times New Roman"/>
          <w:sz w:val="24"/>
          <w:szCs w:val="24"/>
        </w:rPr>
        <w:t xml:space="preserve"> </w:t>
      </w:r>
      <w:r w:rsidR="0034607E" w:rsidRPr="00C12279">
        <w:rPr>
          <w:rFonts w:ascii="Times New Roman" w:hAnsi="Times New Roman" w:cs="Times New Roman"/>
          <w:sz w:val="24"/>
          <w:szCs w:val="24"/>
        </w:rPr>
        <w:t xml:space="preserve">purchase, </w:t>
      </w:r>
      <w:r w:rsidR="007C79B2" w:rsidRPr="00C12279">
        <w:rPr>
          <w:rFonts w:ascii="Times New Roman" w:hAnsi="Times New Roman" w:cs="Times New Roman"/>
          <w:sz w:val="24"/>
          <w:szCs w:val="24"/>
        </w:rPr>
        <w:t>manufacture, assemble, market, distribute and sell certain models of the brand</w:t>
      </w:r>
      <w:r w:rsidR="00592469" w:rsidRPr="00C12279">
        <w:rPr>
          <w:rFonts w:ascii="Times New Roman" w:hAnsi="Times New Roman" w:cs="Times New Roman"/>
          <w:sz w:val="24"/>
          <w:szCs w:val="24"/>
        </w:rPr>
        <w:t>, knocked down components</w:t>
      </w:r>
      <w:r w:rsidR="007C79B2" w:rsidRPr="00C12279">
        <w:rPr>
          <w:rFonts w:ascii="Times New Roman" w:hAnsi="Times New Roman" w:cs="Times New Roman"/>
          <w:sz w:val="24"/>
          <w:szCs w:val="24"/>
        </w:rPr>
        <w:t xml:space="preserve"> </w:t>
      </w:r>
      <w:r w:rsidR="00592469" w:rsidRPr="00C12279">
        <w:rPr>
          <w:rFonts w:ascii="Times New Roman" w:hAnsi="Times New Roman" w:cs="Times New Roman"/>
          <w:sz w:val="24"/>
          <w:szCs w:val="24"/>
        </w:rPr>
        <w:t>and spare parts t</w:t>
      </w:r>
      <w:r w:rsidR="009C623C" w:rsidRPr="00C12279">
        <w:rPr>
          <w:rFonts w:ascii="Times New Roman" w:hAnsi="Times New Roman" w:cs="Times New Roman"/>
          <w:sz w:val="24"/>
          <w:szCs w:val="24"/>
        </w:rPr>
        <w:t xml:space="preserve">hrough a network of </w:t>
      </w:r>
      <w:r w:rsidR="007C79B2" w:rsidRPr="00C12279">
        <w:rPr>
          <w:rFonts w:ascii="Times New Roman" w:hAnsi="Times New Roman" w:cs="Times New Roman"/>
          <w:sz w:val="24"/>
          <w:szCs w:val="24"/>
        </w:rPr>
        <w:t xml:space="preserve">dealers </w:t>
      </w:r>
      <w:r w:rsidR="009C623C" w:rsidRPr="00C12279">
        <w:rPr>
          <w:rFonts w:ascii="Times New Roman" w:hAnsi="Times New Roman" w:cs="Times New Roman"/>
          <w:sz w:val="24"/>
          <w:szCs w:val="24"/>
        </w:rPr>
        <w:t xml:space="preserve">appointed by the appellant and approved by the conglomerate </w:t>
      </w:r>
      <w:r w:rsidR="00592469" w:rsidRPr="00C12279">
        <w:rPr>
          <w:rFonts w:ascii="Times New Roman" w:hAnsi="Times New Roman" w:cs="Times New Roman"/>
          <w:sz w:val="24"/>
          <w:szCs w:val="24"/>
        </w:rPr>
        <w:t>in Zimbabwe</w:t>
      </w:r>
      <w:r w:rsidR="0034607E" w:rsidRPr="00C12279">
        <w:rPr>
          <w:rFonts w:ascii="Times New Roman" w:hAnsi="Times New Roman" w:cs="Times New Roman"/>
          <w:sz w:val="24"/>
          <w:szCs w:val="24"/>
        </w:rPr>
        <w:t xml:space="preserve">. </w:t>
      </w:r>
      <w:r w:rsidR="002B3132" w:rsidRPr="00C12279">
        <w:rPr>
          <w:rFonts w:ascii="Times New Roman" w:hAnsi="Times New Roman" w:cs="Times New Roman"/>
          <w:sz w:val="24"/>
          <w:szCs w:val="24"/>
        </w:rPr>
        <w:t xml:space="preserve">The ordering, production, shipment prices and payment of the vehicles and components </w:t>
      </w:r>
      <w:r w:rsidR="00D749D1" w:rsidRPr="00C12279">
        <w:rPr>
          <w:rFonts w:ascii="Times New Roman" w:hAnsi="Times New Roman" w:cs="Times New Roman"/>
          <w:sz w:val="24"/>
          <w:szCs w:val="24"/>
        </w:rPr>
        <w:t xml:space="preserve">in an amount sufficient to cover the price </w:t>
      </w:r>
      <w:r w:rsidR="002B3132" w:rsidRPr="00C12279">
        <w:rPr>
          <w:rFonts w:ascii="Times New Roman" w:hAnsi="Times New Roman" w:cs="Times New Roman"/>
          <w:sz w:val="24"/>
          <w:szCs w:val="24"/>
        </w:rPr>
        <w:t>was regulated by articles 5 to 7 of exh 3</w:t>
      </w:r>
      <w:r w:rsidR="002B3132" w:rsidRPr="00C12279">
        <w:rPr>
          <w:rStyle w:val="FootnoteReference"/>
          <w:rFonts w:ascii="Times New Roman" w:hAnsi="Times New Roman" w:cs="Times New Roman"/>
          <w:sz w:val="24"/>
          <w:szCs w:val="24"/>
        </w:rPr>
        <w:footnoteReference w:id="7"/>
      </w:r>
      <w:r w:rsidR="002B3132" w:rsidRPr="00C12279">
        <w:rPr>
          <w:rFonts w:ascii="Times New Roman" w:hAnsi="Times New Roman" w:cs="Times New Roman"/>
          <w:sz w:val="24"/>
          <w:szCs w:val="24"/>
        </w:rPr>
        <w:t xml:space="preserve">. </w:t>
      </w:r>
      <w:r w:rsidR="00D42DDE" w:rsidRPr="00C12279">
        <w:rPr>
          <w:rFonts w:ascii="Times New Roman" w:hAnsi="Times New Roman" w:cs="Times New Roman"/>
          <w:sz w:val="24"/>
          <w:szCs w:val="24"/>
        </w:rPr>
        <w:t xml:space="preserve">The appellant met the full cost and expenses of the shipment and demurrage, and storage costs of the vehicles and spare parts. The risk for loss or damage passed to the appellant </w:t>
      </w:r>
      <w:r w:rsidR="00217A63" w:rsidRPr="00C12279">
        <w:rPr>
          <w:rFonts w:ascii="Times New Roman" w:hAnsi="Times New Roman" w:cs="Times New Roman"/>
          <w:sz w:val="24"/>
          <w:szCs w:val="24"/>
        </w:rPr>
        <w:t>once the goods cro</w:t>
      </w:r>
      <w:r w:rsidR="00D42DDE" w:rsidRPr="00C12279">
        <w:rPr>
          <w:rFonts w:ascii="Times New Roman" w:hAnsi="Times New Roman" w:cs="Times New Roman"/>
          <w:sz w:val="24"/>
          <w:szCs w:val="24"/>
        </w:rPr>
        <w:t xml:space="preserve">ssed the ship’s rail at the port of shipment. But ownership and title of </w:t>
      </w:r>
      <w:r w:rsidR="00D63614" w:rsidRPr="00C12279">
        <w:rPr>
          <w:rFonts w:ascii="Times New Roman" w:hAnsi="Times New Roman" w:cs="Times New Roman"/>
          <w:sz w:val="24"/>
          <w:szCs w:val="24"/>
        </w:rPr>
        <w:t xml:space="preserve">the </w:t>
      </w:r>
      <w:r w:rsidR="00D42DDE" w:rsidRPr="00C12279">
        <w:rPr>
          <w:rFonts w:ascii="Times New Roman" w:hAnsi="Times New Roman" w:cs="Times New Roman"/>
          <w:sz w:val="24"/>
          <w:szCs w:val="24"/>
        </w:rPr>
        <w:t xml:space="preserve">goods was retained by the conglomerate until the payment obligation had been discharged. It was discharged by payment into an L/C bank account </w:t>
      </w:r>
      <w:r w:rsidR="00035754" w:rsidRPr="00C12279">
        <w:rPr>
          <w:rFonts w:ascii="Times New Roman" w:hAnsi="Times New Roman" w:cs="Times New Roman"/>
          <w:sz w:val="24"/>
          <w:szCs w:val="24"/>
        </w:rPr>
        <w:t xml:space="preserve">opened in the name of the conglomerate by a bank acceptable to the conglomerate by </w:t>
      </w:r>
      <w:r w:rsidR="007F7867" w:rsidRPr="00C12279">
        <w:rPr>
          <w:rFonts w:ascii="Times New Roman" w:hAnsi="Times New Roman" w:cs="Times New Roman"/>
          <w:sz w:val="24"/>
          <w:szCs w:val="24"/>
        </w:rPr>
        <w:t xml:space="preserve">irrevocable </w:t>
      </w:r>
      <w:r w:rsidR="00035754" w:rsidRPr="00C12279">
        <w:rPr>
          <w:rFonts w:ascii="Times New Roman" w:hAnsi="Times New Roman" w:cs="Times New Roman"/>
          <w:sz w:val="24"/>
          <w:szCs w:val="24"/>
        </w:rPr>
        <w:t xml:space="preserve">letters of credit at sight in favour of the conglomerate </w:t>
      </w:r>
      <w:r w:rsidR="007F7867" w:rsidRPr="00C12279">
        <w:rPr>
          <w:rFonts w:ascii="Times New Roman" w:hAnsi="Times New Roman" w:cs="Times New Roman"/>
          <w:sz w:val="24"/>
          <w:szCs w:val="24"/>
        </w:rPr>
        <w:t>at which point</w:t>
      </w:r>
      <w:r w:rsidR="00035754" w:rsidRPr="00C12279">
        <w:rPr>
          <w:rFonts w:ascii="Times New Roman" w:hAnsi="Times New Roman" w:cs="Times New Roman"/>
          <w:sz w:val="24"/>
          <w:szCs w:val="24"/>
        </w:rPr>
        <w:t xml:space="preserve"> the appellant simultaneously received the shipping documents for the relevant goods through that opening bank. Because the timelines for ordering and the confirmation of the orders and payment preceded the production of the vehicles, ownership passed to the appellant on delivery of the vehicle FOB </w:t>
      </w:r>
      <w:r w:rsidR="00A9073E" w:rsidRPr="00C12279">
        <w:rPr>
          <w:rFonts w:ascii="Times New Roman" w:hAnsi="Times New Roman" w:cs="Times New Roman"/>
          <w:sz w:val="24"/>
          <w:szCs w:val="24"/>
        </w:rPr>
        <w:t xml:space="preserve">past the ship’s rail at the port of shipment. </w:t>
      </w:r>
      <w:r w:rsidR="008E7EF0" w:rsidRPr="00C12279">
        <w:rPr>
          <w:rFonts w:ascii="Times New Roman" w:hAnsi="Times New Roman" w:cs="Times New Roman"/>
          <w:sz w:val="24"/>
          <w:szCs w:val="24"/>
        </w:rPr>
        <w:t xml:space="preserve">The appellant was solely responsible for securing government licences and permits </w:t>
      </w:r>
      <w:r w:rsidR="008E7EF0" w:rsidRPr="00C12279">
        <w:rPr>
          <w:rFonts w:ascii="Times New Roman" w:hAnsi="Times New Roman" w:cs="Times New Roman"/>
          <w:sz w:val="24"/>
          <w:szCs w:val="24"/>
        </w:rPr>
        <w:lastRenderedPageBreak/>
        <w:t>required to complete payments for and importation of the ordered goods</w:t>
      </w:r>
      <w:r w:rsidR="008E7EF0" w:rsidRPr="00C12279">
        <w:rPr>
          <w:rStyle w:val="FootnoteReference"/>
          <w:rFonts w:ascii="Times New Roman" w:hAnsi="Times New Roman" w:cs="Times New Roman"/>
          <w:sz w:val="24"/>
          <w:szCs w:val="24"/>
        </w:rPr>
        <w:footnoteReference w:id="8"/>
      </w:r>
      <w:r w:rsidR="008E7EF0" w:rsidRPr="00C12279">
        <w:rPr>
          <w:rFonts w:ascii="Times New Roman" w:hAnsi="Times New Roman" w:cs="Times New Roman"/>
          <w:sz w:val="24"/>
          <w:szCs w:val="24"/>
        </w:rPr>
        <w:t xml:space="preserve">. </w:t>
      </w:r>
      <w:r w:rsidR="00915565" w:rsidRPr="00C12279">
        <w:rPr>
          <w:rFonts w:ascii="Times New Roman" w:hAnsi="Times New Roman" w:cs="Times New Roman"/>
          <w:sz w:val="24"/>
          <w:szCs w:val="24"/>
        </w:rPr>
        <w:t xml:space="preserve">The terms and conditions contemplated a cash before delivery sale. </w:t>
      </w:r>
      <w:r w:rsidR="007F7867" w:rsidRPr="00C12279">
        <w:rPr>
          <w:rFonts w:ascii="Times New Roman" w:hAnsi="Times New Roman" w:cs="Times New Roman"/>
          <w:sz w:val="24"/>
          <w:szCs w:val="24"/>
        </w:rPr>
        <w:t xml:space="preserve"> </w:t>
      </w:r>
      <w:r w:rsidR="00A9073E" w:rsidRPr="00C12279">
        <w:rPr>
          <w:rFonts w:ascii="Times New Roman" w:hAnsi="Times New Roman" w:cs="Times New Roman"/>
          <w:sz w:val="24"/>
          <w:szCs w:val="24"/>
        </w:rPr>
        <w:t xml:space="preserve"> </w:t>
      </w:r>
      <w:r w:rsidR="00035754" w:rsidRPr="00C12279">
        <w:rPr>
          <w:rFonts w:ascii="Times New Roman" w:hAnsi="Times New Roman" w:cs="Times New Roman"/>
          <w:sz w:val="24"/>
          <w:szCs w:val="24"/>
        </w:rPr>
        <w:t xml:space="preserve"> </w:t>
      </w:r>
    </w:p>
    <w:p w14:paraId="0BDB7958" w14:textId="59C29A23" w:rsidR="00E30F48" w:rsidRPr="00C12279" w:rsidRDefault="00F132A3" w:rsidP="00C12279">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conglomerate could export</w:t>
      </w:r>
      <w:r w:rsidR="00641CCE" w:rsidRPr="00C12279">
        <w:rPr>
          <w:rFonts w:ascii="Times New Roman" w:hAnsi="Times New Roman" w:cs="Times New Roman"/>
          <w:sz w:val="24"/>
          <w:szCs w:val="24"/>
        </w:rPr>
        <w:t xml:space="preserve"> and </w:t>
      </w:r>
      <w:r w:rsidRPr="00C12279">
        <w:rPr>
          <w:rFonts w:ascii="Times New Roman" w:hAnsi="Times New Roman" w:cs="Times New Roman"/>
          <w:sz w:val="24"/>
          <w:szCs w:val="24"/>
        </w:rPr>
        <w:t xml:space="preserve">deliver </w:t>
      </w:r>
      <w:r w:rsidR="00641CCE" w:rsidRPr="00C12279">
        <w:rPr>
          <w:rFonts w:ascii="Times New Roman" w:hAnsi="Times New Roman" w:cs="Times New Roman"/>
          <w:sz w:val="24"/>
          <w:szCs w:val="24"/>
        </w:rPr>
        <w:t xml:space="preserve">to </w:t>
      </w:r>
      <w:r w:rsidRPr="00C12279">
        <w:rPr>
          <w:rFonts w:ascii="Times New Roman" w:hAnsi="Times New Roman" w:cs="Times New Roman"/>
          <w:sz w:val="24"/>
          <w:szCs w:val="24"/>
        </w:rPr>
        <w:t xml:space="preserve">and sell </w:t>
      </w:r>
      <w:r w:rsidR="00641CCE" w:rsidRPr="00C12279">
        <w:rPr>
          <w:rFonts w:ascii="Times New Roman" w:hAnsi="Times New Roman" w:cs="Times New Roman"/>
          <w:sz w:val="24"/>
          <w:szCs w:val="24"/>
        </w:rPr>
        <w:t xml:space="preserve">in </w:t>
      </w:r>
      <w:r w:rsidRPr="00C12279">
        <w:rPr>
          <w:rFonts w:ascii="Times New Roman" w:hAnsi="Times New Roman" w:cs="Times New Roman"/>
          <w:sz w:val="24"/>
          <w:szCs w:val="24"/>
        </w:rPr>
        <w:t xml:space="preserve">Zimbabwe brand vehicles in its own name </w:t>
      </w:r>
      <w:r w:rsidR="00641CCE" w:rsidRPr="00C12279">
        <w:rPr>
          <w:rFonts w:ascii="Times New Roman" w:hAnsi="Times New Roman" w:cs="Times New Roman"/>
          <w:sz w:val="24"/>
          <w:szCs w:val="24"/>
        </w:rPr>
        <w:t xml:space="preserve">through the agency of </w:t>
      </w:r>
      <w:r w:rsidR="004353A3">
        <w:rPr>
          <w:rFonts w:ascii="Times New Roman" w:hAnsi="Times New Roman" w:cs="Times New Roman"/>
          <w:sz w:val="24"/>
          <w:szCs w:val="24"/>
        </w:rPr>
        <w:t xml:space="preserve">the </w:t>
      </w:r>
      <w:r w:rsidR="00641CCE" w:rsidRPr="00C12279">
        <w:rPr>
          <w:rFonts w:ascii="Times New Roman" w:hAnsi="Times New Roman" w:cs="Times New Roman"/>
          <w:sz w:val="24"/>
          <w:szCs w:val="24"/>
        </w:rPr>
        <w:t xml:space="preserve">appellant and pay the appellant for the services rendered. </w:t>
      </w:r>
      <w:r w:rsidR="00680235" w:rsidRPr="00C12279">
        <w:rPr>
          <w:rFonts w:ascii="Times New Roman" w:hAnsi="Times New Roman" w:cs="Times New Roman"/>
          <w:sz w:val="24"/>
          <w:szCs w:val="24"/>
        </w:rPr>
        <w:t xml:space="preserve">The </w:t>
      </w:r>
      <w:r w:rsidR="00857932" w:rsidRPr="00C12279">
        <w:rPr>
          <w:rFonts w:ascii="Times New Roman" w:hAnsi="Times New Roman" w:cs="Times New Roman"/>
          <w:sz w:val="24"/>
          <w:szCs w:val="24"/>
        </w:rPr>
        <w:t>conglomerate played an active advisory role in the establishment of the appellant’s business and was entitled to receive prescribed mandatory reports at specified periods and to inspect the appellant’s operations. The appellant</w:t>
      </w:r>
      <w:r w:rsidR="00D01D69" w:rsidRPr="00C12279">
        <w:rPr>
          <w:rFonts w:ascii="Times New Roman" w:hAnsi="Times New Roman" w:cs="Times New Roman"/>
          <w:sz w:val="24"/>
          <w:szCs w:val="24"/>
        </w:rPr>
        <w:t xml:space="preserve"> undertook to maintain sufficient working capital and investment capital </w:t>
      </w:r>
      <w:r w:rsidR="000D3949" w:rsidRPr="00C12279">
        <w:rPr>
          <w:rFonts w:ascii="Times New Roman" w:hAnsi="Times New Roman" w:cs="Times New Roman"/>
          <w:sz w:val="24"/>
          <w:szCs w:val="24"/>
        </w:rPr>
        <w:t xml:space="preserve">to enhance its business activities. </w:t>
      </w:r>
      <w:r w:rsidR="00D01D69" w:rsidRPr="00C12279">
        <w:rPr>
          <w:rFonts w:ascii="Times New Roman" w:hAnsi="Times New Roman" w:cs="Times New Roman"/>
          <w:sz w:val="24"/>
          <w:szCs w:val="24"/>
        </w:rPr>
        <w:t xml:space="preserve"> </w:t>
      </w:r>
      <w:r w:rsidR="00C973C5" w:rsidRPr="00C12279">
        <w:rPr>
          <w:rFonts w:ascii="Times New Roman" w:hAnsi="Times New Roman" w:cs="Times New Roman"/>
          <w:sz w:val="24"/>
          <w:szCs w:val="24"/>
        </w:rPr>
        <w:t>Each party was in terms of article 39-2 responsible for any and all expenditure incurred and assumed in the performance</w:t>
      </w:r>
      <w:r w:rsidR="00E30F48" w:rsidRPr="00C12279">
        <w:rPr>
          <w:rFonts w:ascii="Times New Roman" w:hAnsi="Times New Roman" w:cs="Times New Roman"/>
          <w:sz w:val="24"/>
          <w:szCs w:val="24"/>
        </w:rPr>
        <w:t xml:space="preserve"> of its duties, obligations and responsibilities. Article 44 provided that:</w:t>
      </w:r>
    </w:p>
    <w:p w14:paraId="3C4C5313" w14:textId="7DCACB7A" w:rsidR="0016080D" w:rsidRPr="00C12279" w:rsidRDefault="0016080D" w:rsidP="00C12279">
      <w:pPr>
        <w:spacing w:line="240" w:lineRule="auto"/>
        <w:ind w:left="720"/>
        <w:jc w:val="both"/>
        <w:rPr>
          <w:rFonts w:ascii="Times New Roman" w:hAnsi="Times New Roman" w:cs="Times New Roman"/>
          <w:sz w:val="24"/>
          <w:szCs w:val="24"/>
        </w:rPr>
      </w:pPr>
      <w:r w:rsidRPr="00C12279">
        <w:rPr>
          <w:rFonts w:ascii="Times New Roman" w:hAnsi="Times New Roman" w:cs="Times New Roman"/>
          <w:sz w:val="24"/>
          <w:szCs w:val="24"/>
        </w:rPr>
        <w:t>“</w:t>
      </w:r>
      <w:r w:rsidRPr="00C12279">
        <w:rPr>
          <w:rFonts w:ascii="Times New Roman" w:hAnsi="Times New Roman" w:cs="Times New Roman"/>
        </w:rPr>
        <w:t>This agreement</w:t>
      </w:r>
      <w:r w:rsidRPr="00C12279">
        <w:rPr>
          <w:rFonts w:ascii="Times New Roman" w:hAnsi="Times New Roman" w:cs="Times New Roman"/>
          <w:i/>
        </w:rPr>
        <w:t xml:space="preserve"> </w:t>
      </w:r>
      <w:r w:rsidRPr="00C12279">
        <w:rPr>
          <w:rFonts w:ascii="Times New Roman" w:hAnsi="Times New Roman" w:cs="Times New Roman"/>
        </w:rPr>
        <w:t>does not constitute either party as the agent or legal representative of the other party for any purpose whatsoever. Neither party is granted any expressed or implied right or authority to assume or to create any obligation or responsibility on behalf or in the name of the other party or to bind the same in any manner whatsoever</w:t>
      </w:r>
      <w:r w:rsidRPr="00C12279">
        <w:rPr>
          <w:rFonts w:ascii="Times New Roman" w:hAnsi="Times New Roman" w:cs="Times New Roman"/>
          <w:sz w:val="24"/>
          <w:szCs w:val="24"/>
        </w:rPr>
        <w:t>.”</w:t>
      </w:r>
    </w:p>
    <w:p w14:paraId="571BD638" w14:textId="374A181D" w:rsidR="004C0DE5" w:rsidRPr="00C12279" w:rsidRDefault="00F530AD" w:rsidP="00C12279">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appellant was also required to purchase a specified minimum </w:t>
      </w:r>
      <w:r w:rsidR="004353A3">
        <w:rPr>
          <w:rFonts w:ascii="Times New Roman" w:hAnsi="Times New Roman" w:cs="Times New Roman"/>
          <w:sz w:val="24"/>
          <w:szCs w:val="24"/>
        </w:rPr>
        <w:t xml:space="preserve">number </w:t>
      </w:r>
      <w:r w:rsidRPr="00C12279">
        <w:rPr>
          <w:rFonts w:ascii="Times New Roman" w:hAnsi="Times New Roman" w:cs="Times New Roman"/>
          <w:sz w:val="24"/>
          <w:szCs w:val="24"/>
        </w:rPr>
        <w:t xml:space="preserve">of vehicles, gain market </w:t>
      </w:r>
      <w:r w:rsidR="008014A7" w:rsidRPr="00C12279">
        <w:rPr>
          <w:rFonts w:ascii="Times New Roman" w:hAnsi="Times New Roman" w:cs="Times New Roman"/>
          <w:sz w:val="24"/>
          <w:szCs w:val="24"/>
        </w:rPr>
        <w:t>share and in the event of a decline due to cir</w:t>
      </w:r>
      <w:r w:rsidR="001915D5">
        <w:rPr>
          <w:rFonts w:ascii="Times New Roman" w:hAnsi="Times New Roman" w:cs="Times New Roman"/>
          <w:sz w:val="24"/>
          <w:szCs w:val="24"/>
        </w:rPr>
        <w:t>cumstances beyond its control,</w:t>
      </w:r>
      <w:r w:rsidR="008014A7" w:rsidRPr="00C12279">
        <w:rPr>
          <w:rFonts w:ascii="Times New Roman" w:hAnsi="Times New Roman" w:cs="Times New Roman"/>
          <w:sz w:val="24"/>
          <w:szCs w:val="24"/>
        </w:rPr>
        <w:t xml:space="preserve"> implement agreed counter measures to arrest the decline or risk termination of the agreement. </w:t>
      </w:r>
    </w:p>
    <w:p w14:paraId="61F605C6" w14:textId="3E3017F5" w:rsidR="00076440" w:rsidRPr="00C12279" w:rsidRDefault="00BB1015" w:rsidP="00C12279">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appears to me that these were standard terms and conditions found in international contracts for the facilitation of international trade as demonstrated by their striking similarity with the conditions found </w:t>
      </w:r>
      <w:r w:rsidR="00217A63" w:rsidRPr="00C12279">
        <w:rPr>
          <w:rFonts w:ascii="Times New Roman" w:hAnsi="Times New Roman" w:cs="Times New Roman"/>
          <w:sz w:val="24"/>
          <w:szCs w:val="24"/>
        </w:rPr>
        <w:t xml:space="preserve">in </w:t>
      </w:r>
      <w:r w:rsidR="009A2D68" w:rsidRPr="00C12279">
        <w:rPr>
          <w:rFonts w:ascii="Times New Roman" w:hAnsi="Times New Roman" w:cs="Times New Roman"/>
          <w:i/>
          <w:sz w:val="24"/>
          <w:szCs w:val="24"/>
        </w:rPr>
        <w:t xml:space="preserve">Lendalease Finance (Pty) Ltd </w:t>
      </w:r>
      <w:r w:rsidR="009A2D68" w:rsidRPr="00C12279">
        <w:rPr>
          <w:rFonts w:ascii="Times New Roman" w:hAnsi="Times New Roman" w:cs="Times New Roman"/>
          <w:sz w:val="24"/>
          <w:szCs w:val="24"/>
        </w:rPr>
        <w:t>v</w:t>
      </w:r>
      <w:r w:rsidR="009A2D68" w:rsidRPr="00C12279">
        <w:rPr>
          <w:rFonts w:ascii="Times New Roman" w:hAnsi="Times New Roman" w:cs="Times New Roman"/>
          <w:i/>
          <w:sz w:val="24"/>
          <w:szCs w:val="24"/>
        </w:rPr>
        <w:t xml:space="preserve"> Corporacion de Mercadeo Agricola &amp; </w:t>
      </w:r>
      <w:r w:rsidR="006D6A20" w:rsidRPr="00C12279">
        <w:rPr>
          <w:rFonts w:ascii="Times New Roman" w:hAnsi="Times New Roman" w:cs="Times New Roman"/>
          <w:i/>
          <w:sz w:val="24"/>
          <w:szCs w:val="24"/>
        </w:rPr>
        <w:t xml:space="preserve">Ors </w:t>
      </w:r>
      <w:r w:rsidR="006D6A20" w:rsidRPr="00C12279">
        <w:rPr>
          <w:rFonts w:ascii="Times New Roman" w:hAnsi="Times New Roman" w:cs="Times New Roman"/>
          <w:sz w:val="24"/>
          <w:szCs w:val="24"/>
        </w:rPr>
        <w:t>1976</w:t>
      </w:r>
      <w:r w:rsidR="009A2D68" w:rsidRPr="00C12279">
        <w:rPr>
          <w:rFonts w:ascii="Times New Roman" w:hAnsi="Times New Roman" w:cs="Times New Roman"/>
          <w:sz w:val="24"/>
          <w:szCs w:val="24"/>
        </w:rPr>
        <w:t xml:space="preserve"> (4) SA 464 (A)</w:t>
      </w:r>
      <w:r w:rsidR="00217A63" w:rsidRPr="00C12279">
        <w:rPr>
          <w:rFonts w:ascii="Times New Roman" w:hAnsi="Times New Roman" w:cs="Times New Roman"/>
          <w:sz w:val="24"/>
          <w:szCs w:val="24"/>
        </w:rPr>
        <w:t xml:space="preserve"> </w:t>
      </w:r>
      <w:r w:rsidRPr="00C12279">
        <w:rPr>
          <w:rFonts w:ascii="Times New Roman" w:hAnsi="Times New Roman" w:cs="Times New Roman"/>
          <w:sz w:val="24"/>
          <w:szCs w:val="24"/>
        </w:rPr>
        <w:t>especially in regards to</w:t>
      </w:r>
      <w:r w:rsidR="00217A63" w:rsidRPr="00C12279">
        <w:rPr>
          <w:rFonts w:ascii="Times New Roman" w:hAnsi="Times New Roman" w:cs="Times New Roman"/>
          <w:sz w:val="24"/>
          <w:szCs w:val="24"/>
        </w:rPr>
        <w:t xml:space="preserve"> </w:t>
      </w:r>
      <w:r w:rsidRPr="00C12279">
        <w:rPr>
          <w:rFonts w:ascii="Times New Roman" w:hAnsi="Times New Roman" w:cs="Times New Roman"/>
          <w:sz w:val="24"/>
          <w:szCs w:val="24"/>
        </w:rPr>
        <w:t xml:space="preserve">the </w:t>
      </w:r>
      <w:r w:rsidR="008014A7" w:rsidRPr="00C12279">
        <w:rPr>
          <w:rFonts w:ascii="Times New Roman" w:hAnsi="Times New Roman" w:cs="Times New Roman"/>
          <w:sz w:val="24"/>
          <w:szCs w:val="24"/>
        </w:rPr>
        <w:t>payment arrangements</w:t>
      </w:r>
      <w:r w:rsidRPr="00C12279">
        <w:rPr>
          <w:rFonts w:ascii="Times New Roman" w:hAnsi="Times New Roman" w:cs="Times New Roman"/>
          <w:sz w:val="24"/>
          <w:szCs w:val="24"/>
        </w:rPr>
        <w:t xml:space="preserve"> </w:t>
      </w:r>
      <w:r w:rsidR="008014A7" w:rsidRPr="00C12279">
        <w:rPr>
          <w:rFonts w:ascii="Times New Roman" w:hAnsi="Times New Roman" w:cs="Times New Roman"/>
          <w:sz w:val="24"/>
          <w:szCs w:val="24"/>
        </w:rPr>
        <w:t xml:space="preserve">and </w:t>
      </w:r>
      <w:r w:rsidR="00A46FF6" w:rsidRPr="00C12279">
        <w:rPr>
          <w:rFonts w:ascii="Times New Roman" w:hAnsi="Times New Roman" w:cs="Times New Roman"/>
          <w:sz w:val="24"/>
          <w:szCs w:val="24"/>
        </w:rPr>
        <w:t xml:space="preserve">the passing of </w:t>
      </w:r>
      <w:r w:rsidR="008014A7" w:rsidRPr="00C12279">
        <w:rPr>
          <w:rFonts w:ascii="Times New Roman" w:hAnsi="Times New Roman" w:cs="Times New Roman"/>
          <w:sz w:val="24"/>
          <w:szCs w:val="24"/>
        </w:rPr>
        <w:t xml:space="preserve">both </w:t>
      </w:r>
      <w:r w:rsidR="00A46FF6" w:rsidRPr="00C12279">
        <w:rPr>
          <w:rFonts w:ascii="Times New Roman" w:hAnsi="Times New Roman" w:cs="Times New Roman"/>
          <w:sz w:val="24"/>
          <w:szCs w:val="24"/>
        </w:rPr>
        <w:t xml:space="preserve">risk and </w:t>
      </w:r>
      <w:r w:rsidR="008014A7" w:rsidRPr="00C12279">
        <w:rPr>
          <w:rFonts w:ascii="Times New Roman" w:hAnsi="Times New Roman" w:cs="Times New Roman"/>
          <w:sz w:val="24"/>
          <w:szCs w:val="24"/>
        </w:rPr>
        <w:t>ownership</w:t>
      </w:r>
      <w:r w:rsidRPr="00C12279">
        <w:rPr>
          <w:rFonts w:ascii="Times New Roman" w:hAnsi="Times New Roman" w:cs="Times New Roman"/>
          <w:sz w:val="24"/>
          <w:szCs w:val="24"/>
        </w:rPr>
        <w:t xml:space="preserve">.  </w:t>
      </w:r>
    </w:p>
    <w:p w14:paraId="36485831" w14:textId="77777777" w:rsidR="00833A5F" w:rsidRPr="00C12279" w:rsidRDefault="00833A5F" w:rsidP="008409E8">
      <w:pPr>
        <w:jc w:val="both"/>
        <w:rPr>
          <w:rFonts w:ascii="Times New Roman" w:hAnsi="Times New Roman" w:cs="Times New Roman"/>
          <w:i/>
          <w:sz w:val="24"/>
          <w:szCs w:val="24"/>
        </w:rPr>
      </w:pPr>
      <w:r w:rsidRPr="00C12279">
        <w:rPr>
          <w:rFonts w:ascii="Times New Roman" w:hAnsi="Times New Roman" w:cs="Times New Roman"/>
          <w:i/>
          <w:sz w:val="24"/>
          <w:szCs w:val="24"/>
        </w:rPr>
        <w:t xml:space="preserve">The 1 August 2007 </w:t>
      </w:r>
      <w:r w:rsidR="003105E5" w:rsidRPr="00C12279">
        <w:rPr>
          <w:rFonts w:ascii="Times New Roman" w:hAnsi="Times New Roman" w:cs="Times New Roman"/>
          <w:i/>
          <w:sz w:val="24"/>
          <w:szCs w:val="24"/>
        </w:rPr>
        <w:t>Memorandum of Understanding</w:t>
      </w:r>
      <w:r w:rsidR="00625680" w:rsidRPr="00C12279">
        <w:rPr>
          <w:rStyle w:val="FootnoteReference"/>
          <w:rFonts w:ascii="Times New Roman" w:hAnsi="Times New Roman" w:cs="Times New Roman"/>
          <w:i/>
          <w:sz w:val="24"/>
          <w:szCs w:val="24"/>
        </w:rPr>
        <w:footnoteReference w:id="9"/>
      </w:r>
    </w:p>
    <w:p w14:paraId="106C32C9" w14:textId="1E6513EA" w:rsidR="00625680" w:rsidRPr="00C12279" w:rsidRDefault="00833A5F" w:rsidP="00C12279">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appellant </w:t>
      </w:r>
      <w:r w:rsidR="007266A0" w:rsidRPr="00C12279">
        <w:rPr>
          <w:rFonts w:ascii="Times New Roman" w:hAnsi="Times New Roman" w:cs="Times New Roman"/>
          <w:sz w:val="24"/>
          <w:szCs w:val="24"/>
        </w:rPr>
        <w:t xml:space="preserve">and </w:t>
      </w:r>
      <w:r w:rsidR="008303B5" w:rsidRPr="00C12279">
        <w:rPr>
          <w:rFonts w:ascii="Times New Roman" w:hAnsi="Times New Roman" w:cs="Times New Roman"/>
          <w:sz w:val="24"/>
          <w:szCs w:val="24"/>
        </w:rPr>
        <w:t>the related party</w:t>
      </w:r>
      <w:r w:rsidR="008303B5" w:rsidRPr="00C12279">
        <w:rPr>
          <w:rStyle w:val="FootnoteReference"/>
          <w:rFonts w:ascii="Times New Roman" w:hAnsi="Times New Roman" w:cs="Times New Roman"/>
          <w:b/>
          <w:sz w:val="24"/>
          <w:szCs w:val="24"/>
        </w:rPr>
        <w:footnoteReference w:id="10"/>
      </w:r>
      <w:r w:rsidR="00937BE7" w:rsidRPr="00C12279">
        <w:rPr>
          <w:rFonts w:ascii="Times New Roman" w:hAnsi="Times New Roman" w:cs="Times New Roman"/>
          <w:sz w:val="24"/>
          <w:szCs w:val="24"/>
        </w:rPr>
        <w:t>, whom I shall refer in this judgment as</w:t>
      </w:r>
      <w:r w:rsidR="007266A0" w:rsidRPr="00C12279">
        <w:rPr>
          <w:rFonts w:ascii="Times New Roman" w:hAnsi="Times New Roman" w:cs="Times New Roman"/>
          <w:sz w:val="24"/>
          <w:szCs w:val="24"/>
        </w:rPr>
        <w:t xml:space="preserve"> the intermediary </w:t>
      </w:r>
      <w:r w:rsidRPr="00C12279">
        <w:rPr>
          <w:rFonts w:ascii="Times New Roman" w:hAnsi="Times New Roman" w:cs="Times New Roman"/>
          <w:sz w:val="24"/>
          <w:szCs w:val="24"/>
        </w:rPr>
        <w:t>signed</w:t>
      </w:r>
      <w:r w:rsidR="00937BE7" w:rsidRPr="00C12279">
        <w:rPr>
          <w:rFonts w:ascii="Times New Roman" w:hAnsi="Times New Roman" w:cs="Times New Roman"/>
          <w:sz w:val="24"/>
          <w:szCs w:val="24"/>
        </w:rPr>
        <w:t xml:space="preserve">, </w:t>
      </w:r>
      <w:r w:rsidR="003105E5" w:rsidRPr="00C12279">
        <w:rPr>
          <w:rFonts w:ascii="Times New Roman" w:hAnsi="Times New Roman" w:cs="Times New Roman"/>
          <w:sz w:val="24"/>
          <w:szCs w:val="24"/>
        </w:rPr>
        <w:t>a memorial of the procedures for import</w:t>
      </w:r>
      <w:r w:rsidR="007266A0" w:rsidRPr="00C12279">
        <w:rPr>
          <w:rFonts w:ascii="Times New Roman" w:hAnsi="Times New Roman" w:cs="Times New Roman"/>
          <w:sz w:val="24"/>
          <w:szCs w:val="24"/>
        </w:rPr>
        <w:t>ation of vehicles into Zimbabwe</w:t>
      </w:r>
      <w:r w:rsidR="00937BE7" w:rsidRPr="00C12279">
        <w:rPr>
          <w:rFonts w:ascii="Times New Roman" w:hAnsi="Times New Roman" w:cs="Times New Roman"/>
          <w:sz w:val="24"/>
          <w:szCs w:val="24"/>
        </w:rPr>
        <w:t xml:space="preserve"> in the memorandum of understanding dated</w:t>
      </w:r>
      <w:r w:rsidR="003105E5" w:rsidRPr="00C12279">
        <w:rPr>
          <w:rFonts w:ascii="Times New Roman" w:hAnsi="Times New Roman" w:cs="Times New Roman"/>
          <w:sz w:val="24"/>
          <w:szCs w:val="24"/>
        </w:rPr>
        <w:t xml:space="preserve"> 1 August 2007</w:t>
      </w:r>
      <w:r w:rsidRPr="00C12279">
        <w:rPr>
          <w:rFonts w:ascii="Times New Roman" w:hAnsi="Times New Roman" w:cs="Times New Roman"/>
          <w:sz w:val="24"/>
          <w:szCs w:val="24"/>
        </w:rPr>
        <w:t>.</w:t>
      </w:r>
      <w:r w:rsidR="003105E5" w:rsidRPr="00C12279">
        <w:rPr>
          <w:rFonts w:ascii="Times New Roman" w:hAnsi="Times New Roman" w:cs="Times New Roman"/>
          <w:sz w:val="24"/>
          <w:szCs w:val="24"/>
        </w:rPr>
        <w:t xml:space="preserve"> </w:t>
      </w:r>
      <w:r w:rsidR="0037277A" w:rsidRPr="00C12279">
        <w:rPr>
          <w:rFonts w:ascii="Times New Roman" w:hAnsi="Times New Roman" w:cs="Times New Roman"/>
          <w:sz w:val="24"/>
          <w:szCs w:val="24"/>
        </w:rPr>
        <w:t>T</w:t>
      </w:r>
      <w:r w:rsidRPr="00C12279">
        <w:rPr>
          <w:rFonts w:ascii="Times New Roman" w:hAnsi="Times New Roman" w:cs="Times New Roman"/>
          <w:sz w:val="24"/>
          <w:szCs w:val="24"/>
        </w:rPr>
        <w:t>he</w:t>
      </w:r>
      <w:r w:rsidR="0037277A" w:rsidRPr="00C12279">
        <w:rPr>
          <w:rFonts w:ascii="Times New Roman" w:hAnsi="Times New Roman" w:cs="Times New Roman"/>
          <w:sz w:val="24"/>
          <w:szCs w:val="24"/>
        </w:rPr>
        <w:t xml:space="preserve"> </w:t>
      </w:r>
      <w:r w:rsidR="007266A0" w:rsidRPr="00C12279">
        <w:rPr>
          <w:rFonts w:ascii="Times New Roman" w:hAnsi="Times New Roman" w:cs="Times New Roman"/>
          <w:sz w:val="24"/>
          <w:szCs w:val="24"/>
        </w:rPr>
        <w:t xml:space="preserve">intermediary </w:t>
      </w:r>
      <w:r w:rsidR="0037277A" w:rsidRPr="00C12279">
        <w:rPr>
          <w:rFonts w:ascii="Times New Roman" w:hAnsi="Times New Roman" w:cs="Times New Roman"/>
          <w:sz w:val="24"/>
          <w:szCs w:val="24"/>
        </w:rPr>
        <w:t xml:space="preserve">was required </w:t>
      </w:r>
      <w:r w:rsidR="007266A0" w:rsidRPr="00C12279">
        <w:rPr>
          <w:rFonts w:ascii="Times New Roman" w:hAnsi="Times New Roman" w:cs="Times New Roman"/>
          <w:sz w:val="24"/>
          <w:szCs w:val="24"/>
        </w:rPr>
        <w:t xml:space="preserve">to place </w:t>
      </w:r>
      <w:r w:rsidR="00CD0522" w:rsidRPr="00C12279">
        <w:rPr>
          <w:rFonts w:ascii="Times New Roman" w:hAnsi="Times New Roman" w:cs="Times New Roman"/>
          <w:sz w:val="24"/>
          <w:szCs w:val="24"/>
        </w:rPr>
        <w:t>monthly production order</w:t>
      </w:r>
      <w:r w:rsidR="007266A0" w:rsidRPr="00C12279">
        <w:rPr>
          <w:rFonts w:ascii="Times New Roman" w:hAnsi="Times New Roman" w:cs="Times New Roman"/>
          <w:sz w:val="24"/>
          <w:szCs w:val="24"/>
        </w:rPr>
        <w:t>s</w:t>
      </w:r>
      <w:r w:rsidR="00CD0522" w:rsidRPr="00C12279">
        <w:rPr>
          <w:rFonts w:ascii="Times New Roman" w:hAnsi="Times New Roman" w:cs="Times New Roman"/>
          <w:sz w:val="24"/>
          <w:szCs w:val="24"/>
        </w:rPr>
        <w:t xml:space="preserve"> with the brand suppliers. </w:t>
      </w:r>
      <w:r w:rsidR="00DD5D98" w:rsidRPr="00C12279">
        <w:rPr>
          <w:rFonts w:ascii="Times New Roman" w:hAnsi="Times New Roman" w:cs="Times New Roman"/>
          <w:sz w:val="24"/>
          <w:szCs w:val="24"/>
        </w:rPr>
        <w:t xml:space="preserve">The </w:t>
      </w:r>
      <w:r w:rsidR="0037277A" w:rsidRPr="00C12279">
        <w:rPr>
          <w:rFonts w:ascii="Times New Roman" w:hAnsi="Times New Roman" w:cs="Times New Roman"/>
          <w:sz w:val="24"/>
          <w:szCs w:val="24"/>
        </w:rPr>
        <w:t xml:space="preserve">importation </w:t>
      </w:r>
      <w:r w:rsidR="00DD5D98" w:rsidRPr="00C12279">
        <w:rPr>
          <w:rFonts w:ascii="Times New Roman" w:hAnsi="Times New Roman" w:cs="Times New Roman"/>
          <w:sz w:val="24"/>
          <w:szCs w:val="24"/>
        </w:rPr>
        <w:t xml:space="preserve">value </w:t>
      </w:r>
      <w:r w:rsidR="004D7A51" w:rsidRPr="00C12279">
        <w:rPr>
          <w:rFonts w:ascii="Times New Roman" w:hAnsi="Times New Roman" w:cs="Times New Roman"/>
          <w:sz w:val="24"/>
          <w:szCs w:val="24"/>
        </w:rPr>
        <w:t>of the consignment</w:t>
      </w:r>
      <w:r w:rsidR="0037277A" w:rsidRPr="00C12279">
        <w:rPr>
          <w:rFonts w:ascii="Times New Roman" w:hAnsi="Times New Roman" w:cs="Times New Roman"/>
          <w:sz w:val="24"/>
          <w:szCs w:val="24"/>
        </w:rPr>
        <w:t xml:space="preserve"> was </w:t>
      </w:r>
      <w:r w:rsidR="00DD5D98" w:rsidRPr="00C12279">
        <w:rPr>
          <w:rFonts w:ascii="Times New Roman" w:hAnsi="Times New Roman" w:cs="Times New Roman"/>
          <w:sz w:val="24"/>
          <w:szCs w:val="24"/>
        </w:rPr>
        <w:t xml:space="preserve">reflected in a manual invoice issued </w:t>
      </w:r>
      <w:r w:rsidR="007266A0" w:rsidRPr="00C12279">
        <w:rPr>
          <w:rFonts w:ascii="Times New Roman" w:hAnsi="Times New Roman" w:cs="Times New Roman"/>
          <w:sz w:val="24"/>
          <w:szCs w:val="24"/>
        </w:rPr>
        <w:t>by the intermediary</w:t>
      </w:r>
      <w:r w:rsidR="0037277A" w:rsidRPr="00C12279">
        <w:rPr>
          <w:rFonts w:ascii="Times New Roman" w:hAnsi="Times New Roman" w:cs="Times New Roman"/>
          <w:sz w:val="24"/>
          <w:szCs w:val="24"/>
        </w:rPr>
        <w:t xml:space="preserve"> to the appellant</w:t>
      </w:r>
      <w:r w:rsidR="00DD5D98" w:rsidRPr="00C12279">
        <w:rPr>
          <w:rFonts w:ascii="Times New Roman" w:hAnsi="Times New Roman" w:cs="Times New Roman"/>
          <w:sz w:val="24"/>
          <w:szCs w:val="24"/>
        </w:rPr>
        <w:t xml:space="preserve">. </w:t>
      </w:r>
      <w:r w:rsidR="004D7A51" w:rsidRPr="00C12279">
        <w:rPr>
          <w:rFonts w:ascii="Times New Roman" w:hAnsi="Times New Roman" w:cs="Times New Roman"/>
          <w:sz w:val="24"/>
          <w:szCs w:val="24"/>
        </w:rPr>
        <w:t>The vehicles</w:t>
      </w:r>
      <w:r w:rsidR="00CD0522" w:rsidRPr="00C12279">
        <w:rPr>
          <w:rFonts w:ascii="Times New Roman" w:hAnsi="Times New Roman" w:cs="Times New Roman"/>
          <w:sz w:val="24"/>
          <w:szCs w:val="24"/>
        </w:rPr>
        <w:t xml:space="preserve"> were imported into Zimbabwe and held in the </w:t>
      </w:r>
      <w:r w:rsidR="004D7A51" w:rsidRPr="00C12279">
        <w:rPr>
          <w:rFonts w:ascii="Times New Roman" w:hAnsi="Times New Roman" w:cs="Times New Roman"/>
          <w:sz w:val="24"/>
          <w:szCs w:val="24"/>
        </w:rPr>
        <w:t xml:space="preserve">appellant’s </w:t>
      </w:r>
      <w:r w:rsidR="00CD0522" w:rsidRPr="00C12279">
        <w:rPr>
          <w:rFonts w:ascii="Times New Roman" w:hAnsi="Times New Roman" w:cs="Times New Roman"/>
          <w:sz w:val="24"/>
          <w:szCs w:val="24"/>
        </w:rPr>
        <w:t>bo</w:t>
      </w:r>
      <w:r w:rsidR="004D7A51" w:rsidRPr="00C12279">
        <w:rPr>
          <w:rFonts w:ascii="Times New Roman" w:hAnsi="Times New Roman" w:cs="Times New Roman"/>
          <w:sz w:val="24"/>
          <w:szCs w:val="24"/>
        </w:rPr>
        <w:t xml:space="preserve">nded warehouse </w:t>
      </w:r>
      <w:r w:rsidR="00CD0522" w:rsidRPr="00C12279">
        <w:rPr>
          <w:rFonts w:ascii="Times New Roman" w:hAnsi="Times New Roman" w:cs="Times New Roman"/>
          <w:sz w:val="24"/>
          <w:szCs w:val="24"/>
        </w:rPr>
        <w:t xml:space="preserve">as </w:t>
      </w:r>
      <w:r w:rsidR="00CD0522" w:rsidRPr="00C12279">
        <w:rPr>
          <w:rFonts w:ascii="Times New Roman" w:hAnsi="Times New Roman" w:cs="Times New Roman"/>
          <w:sz w:val="24"/>
          <w:szCs w:val="24"/>
        </w:rPr>
        <w:lastRenderedPageBreak/>
        <w:t>consignment stock</w:t>
      </w:r>
      <w:r w:rsidR="007266A0" w:rsidRPr="00C12279">
        <w:rPr>
          <w:rFonts w:ascii="Times New Roman" w:hAnsi="Times New Roman" w:cs="Times New Roman"/>
          <w:sz w:val="24"/>
          <w:szCs w:val="24"/>
        </w:rPr>
        <w:t xml:space="preserve"> with the intermediary retaining </w:t>
      </w:r>
      <w:r w:rsidR="00DF1C3D" w:rsidRPr="00C12279">
        <w:rPr>
          <w:rFonts w:ascii="Times New Roman" w:hAnsi="Times New Roman" w:cs="Times New Roman"/>
          <w:sz w:val="24"/>
          <w:szCs w:val="24"/>
        </w:rPr>
        <w:t xml:space="preserve">ownership of the vehicles until </w:t>
      </w:r>
      <w:r w:rsidR="004D7A51" w:rsidRPr="00C12279">
        <w:rPr>
          <w:rFonts w:ascii="Times New Roman" w:hAnsi="Times New Roman" w:cs="Times New Roman"/>
          <w:sz w:val="24"/>
          <w:szCs w:val="24"/>
        </w:rPr>
        <w:t>payment was made.</w:t>
      </w:r>
      <w:r w:rsidR="00DF1C3D" w:rsidRPr="00C12279">
        <w:rPr>
          <w:rFonts w:ascii="Times New Roman" w:hAnsi="Times New Roman" w:cs="Times New Roman"/>
          <w:sz w:val="24"/>
          <w:szCs w:val="24"/>
        </w:rPr>
        <w:t xml:space="preserve"> </w:t>
      </w:r>
      <w:r w:rsidR="004D7A51" w:rsidRPr="00C12279">
        <w:rPr>
          <w:rFonts w:ascii="Times New Roman" w:hAnsi="Times New Roman" w:cs="Times New Roman"/>
          <w:sz w:val="24"/>
          <w:szCs w:val="24"/>
        </w:rPr>
        <w:t xml:space="preserve">Once payment was made, the invoice was stamped by customs </w:t>
      </w:r>
      <w:r w:rsidR="006D6A20" w:rsidRPr="00C12279">
        <w:rPr>
          <w:rFonts w:ascii="Times New Roman" w:hAnsi="Times New Roman" w:cs="Times New Roman"/>
          <w:sz w:val="24"/>
          <w:szCs w:val="24"/>
        </w:rPr>
        <w:t xml:space="preserve">officials </w:t>
      </w:r>
      <w:r w:rsidR="004D7A51" w:rsidRPr="00C12279">
        <w:rPr>
          <w:rFonts w:ascii="Times New Roman" w:hAnsi="Times New Roman" w:cs="Times New Roman"/>
          <w:sz w:val="24"/>
          <w:szCs w:val="24"/>
        </w:rPr>
        <w:t>and duty and other imposts paid for the consignment by a clearing agent before ownership was transferred to the appellant</w:t>
      </w:r>
      <w:r w:rsidR="000C50E6" w:rsidRPr="00C12279">
        <w:rPr>
          <w:rFonts w:ascii="Times New Roman" w:hAnsi="Times New Roman" w:cs="Times New Roman"/>
          <w:sz w:val="24"/>
          <w:szCs w:val="24"/>
        </w:rPr>
        <w:t xml:space="preserve">. The appellant in turn invoiced </w:t>
      </w:r>
      <w:r w:rsidR="00625680" w:rsidRPr="00C12279">
        <w:rPr>
          <w:rFonts w:ascii="Times New Roman" w:hAnsi="Times New Roman" w:cs="Times New Roman"/>
          <w:sz w:val="24"/>
          <w:szCs w:val="24"/>
        </w:rPr>
        <w:t xml:space="preserve">and transferred </w:t>
      </w:r>
      <w:r w:rsidR="000C50E6" w:rsidRPr="00C12279">
        <w:rPr>
          <w:rFonts w:ascii="Times New Roman" w:hAnsi="Times New Roman" w:cs="Times New Roman"/>
          <w:sz w:val="24"/>
          <w:szCs w:val="24"/>
        </w:rPr>
        <w:t>the vehicle</w:t>
      </w:r>
      <w:r w:rsidR="00E17085" w:rsidRPr="00C12279">
        <w:rPr>
          <w:rFonts w:ascii="Times New Roman" w:hAnsi="Times New Roman" w:cs="Times New Roman"/>
          <w:sz w:val="24"/>
          <w:szCs w:val="24"/>
        </w:rPr>
        <w:t>s to an</w:t>
      </w:r>
      <w:r w:rsidR="000C50E6" w:rsidRPr="00C12279">
        <w:rPr>
          <w:rFonts w:ascii="Times New Roman" w:hAnsi="Times New Roman" w:cs="Times New Roman"/>
          <w:sz w:val="24"/>
          <w:szCs w:val="24"/>
        </w:rPr>
        <w:t xml:space="preserve"> authorised dealer</w:t>
      </w:r>
      <w:r w:rsidR="00625680" w:rsidRPr="00C12279">
        <w:rPr>
          <w:rFonts w:ascii="Times New Roman" w:hAnsi="Times New Roman" w:cs="Times New Roman"/>
          <w:sz w:val="24"/>
          <w:szCs w:val="24"/>
        </w:rPr>
        <w:t xml:space="preserve"> for sale. </w:t>
      </w:r>
      <w:r w:rsidR="00EA5095" w:rsidRPr="00C12279">
        <w:rPr>
          <w:rFonts w:ascii="Times New Roman" w:hAnsi="Times New Roman" w:cs="Times New Roman"/>
          <w:sz w:val="24"/>
          <w:szCs w:val="24"/>
        </w:rPr>
        <w:t xml:space="preserve"> </w:t>
      </w:r>
    </w:p>
    <w:p w14:paraId="21E4FA79" w14:textId="77777777" w:rsidR="00CE47F7" w:rsidRPr="00C12279" w:rsidRDefault="00CE47F7" w:rsidP="008409E8">
      <w:pPr>
        <w:jc w:val="both"/>
        <w:rPr>
          <w:rFonts w:ascii="Times New Roman" w:hAnsi="Times New Roman" w:cs="Times New Roman"/>
          <w:i/>
          <w:sz w:val="24"/>
          <w:szCs w:val="24"/>
        </w:rPr>
      </w:pPr>
      <w:r w:rsidRPr="00C12279">
        <w:rPr>
          <w:rFonts w:ascii="Times New Roman" w:hAnsi="Times New Roman" w:cs="Times New Roman"/>
          <w:i/>
          <w:sz w:val="24"/>
          <w:szCs w:val="24"/>
        </w:rPr>
        <w:t>The Distribution Agreement of 25 April 2011</w:t>
      </w:r>
    </w:p>
    <w:p w14:paraId="6869C94C" w14:textId="05323CB9" w:rsidR="00833A5F" w:rsidRPr="00C12279" w:rsidRDefault="00B0267B" w:rsidP="00E26BEA">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On 25 April</w:t>
      </w:r>
      <w:r w:rsidR="00F844E3" w:rsidRPr="00C12279">
        <w:rPr>
          <w:rFonts w:ascii="Times New Roman" w:hAnsi="Times New Roman" w:cs="Times New Roman"/>
          <w:sz w:val="24"/>
          <w:szCs w:val="24"/>
        </w:rPr>
        <w:t xml:space="preserve"> 2011 </w:t>
      </w:r>
      <w:r w:rsidRPr="00C12279">
        <w:rPr>
          <w:rFonts w:ascii="Times New Roman" w:hAnsi="Times New Roman" w:cs="Times New Roman"/>
          <w:sz w:val="24"/>
          <w:szCs w:val="24"/>
        </w:rPr>
        <w:t xml:space="preserve">the appellant and </w:t>
      </w:r>
      <w:r w:rsidR="001F370B" w:rsidRPr="00C12279">
        <w:rPr>
          <w:rFonts w:ascii="Times New Roman" w:hAnsi="Times New Roman" w:cs="Times New Roman"/>
          <w:sz w:val="24"/>
          <w:szCs w:val="24"/>
        </w:rPr>
        <w:t>the conglomerate entered into a</w:t>
      </w:r>
      <w:r w:rsidR="00DF1952" w:rsidRPr="00C12279">
        <w:rPr>
          <w:rFonts w:ascii="Times New Roman" w:hAnsi="Times New Roman" w:cs="Times New Roman"/>
          <w:sz w:val="24"/>
          <w:szCs w:val="24"/>
        </w:rPr>
        <w:t xml:space="preserve"> </w:t>
      </w:r>
      <w:r w:rsidRPr="00C12279">
        <w:rPr>
          <w:rFonts w:ascii="Times New Roman" w:hAnsi="Times New Roman" w:cs="Times New Roman"/>
          <w:sz w:val="24"/>
          <w:szCs w:val="24"/>
        </w:rPr>
        <w:t>“Distribution Agreement”</w:t>
      </w:r>
      <w:r w:rsidR="00CE47F7" w:rsidRPr="00C12279">
        <w:rPr>
          <w:rStyle w:val="FootnoteReference"/>
          <w:rFonts w:ascii="Times New Roman" w:hAnsi="Times New Roman" w:cs="Times New Roman"/>
          <w:sz w:val="24"/>
          <w:szCs w:val="24"/>
        </w:rPr>
        <w:t xml:space="preserve"> </w:t>
      </w:r>
      <w:r w:rsidR="00CE47F7" w:rsidRPr="00C12279">
        <w:rPr>
          <w:rStyle w:val="FootnoteReference"/>
          <w:rFonts w:ascii="Times New Roman" w:hAnsi="Times New Roman" w:cs="Times New Roman"/>
          <w:sz w:val="24"/>
          <w:szCs w:val="24"/>
        </w:rPr>
        <w:footnoteReference w:id="11"/>
      </w:r>
      <w:r w:rsidR="00CE47F7" w:rsidRPr="00C12279">
        <w:rPr>
          <w:rFonts w:ascii="Times New Roman" w:hAnsi="Times New Roman" w:cs="Times New Roman"/>
          <w:sz w:val="24"/>
          <w:szCs w:val="24"/>
        </w:rPr>
        <w:t xml:space="preserve"> </w:t>
      </w:r>
      <w:r w:rsidR="001F370B" w:rsidRPr="00C12279">
        <w:rPr>
          <w:rFonts w:ascii="Times New Roman" w:hAnsi="Times New Roman" w:cs="Times New Roman"/>
          <w:sz w:val="24"/>
          <w:szCs w:val="24"/>
        </w:rPr>
        <w:t xml:space="preserve">consisting of 39 articles </w:t>
      </w:r>
      <w:r w:rsidR="00CE47F7" w:rsidRPr="00C12279">
        <w:rPr>
          <w:rFonts w:ascii="Times New Roman" w:hAnsi="Times New Roman" w:cs="Times New Roman"/>
          <w:sz w:val="24"/>
          <w:szCs w:val="24"/>
        </w:rPr>
        <w:t>with retroactive effect</w:t>
      </w:r>
      <w:r w:rsidR="002C1320" w:rsidRPr="00C12279">
        <w:rPr>
          <w:rStyle w:val="FootnoteReference"/>
          <w:rFonts w:ascii="Times New Roman" w:hAnsi="Times New Roman" w:cs="Times New Roman"/>
          <w:sz w:val="24"/>
          <w:szCs w:val="24"/>
        </w:rPr>
        <w:footnoteReference w:id="12"/>
      </w:r>
      <w:r w:rsidR="00CE47F7" w:rsidRPr="00C12279">
        <w:rPr>
          <w:rFonts w:ascii="Times New Roman" w:hAnsi="Times New Roman" w:cs="Times New Roman"/>
          <w:sz w:val="24"/>
          <w:szCs w:val="24"/>
        </w:rPr>
        <w:t xml:space="preserve"> from 1 February 2007</w:t>
      </w:r>
      <w:r w:rsidRPr="00C12279">
        <w:rPr>
          <w:rFonts w:ascii="Times New Roman" w:hAnsi="Times New Roman" w:cs="Times New Roman"/>
          <w:sz w:val="24"/>
          <w:szCs w:val="24"/>
        </w:rPr>
        <w:t xml:space="preserve">. </w:t>
      </w:r>
      <w:r w:rsidR="00EF5C87" w:rsidRPr="00C12279">
        <w:rPr>
          <w:rFonts w:ascii="Times New Roman" w:hAnsi="Times New Roman" w:cs="Times New Roman"/>
          <w:sz w:val="24"/>
          <w:szCs w:val="24"/>
        </w:rPr>
        <w:t xml:space="preserve"> </w:t>
      </w:r>
      <w:r w:rsidR="00076440" w:rsidRPr="00C12279">
        <w:rPr>
          <w:rFonts w:ascii="Times New Roman" w:hAnsi="Times New Roman" w:cs="Times New Roman"/>
          <w:sz w:val="24"/>
          <w:szCs w:val="24"/>
        </w:rPr>
        <w:t>It appeared to be a reproduction of an incomplete Distribution Agreement dated 31 January 2007 that was only signed and initialled by the appellant</w:t>
      </w:r>
      <w:r w:rsidR="00DA3547" w:rsidRPr="00C12279">
        <w:rPr>
          <w:rFonts w:ascii="Times New Roman" w:hAnsi="Times New Roman" w:cs="Times New Roman"/>
          <w:sz w:val="24"/>
          <w:szCs w:val="24"/>
        </w:rPr>
        <w:t>’s</w:t>
      </w:r>
      <w:r w:rsidR="00076440" w:rsidRPr="00C12279">
        <w:rPr>
          <w:rFonts w:ascii="Times New Roman" w:hAnsi="Times New Roman" w:cs="Times New Roman"/>
          <w:sz w:val="24"/>
          <w:szCs w:val="24"/>
        </w:rPr>
        <w:t xml:space="preserve"> managing director</w:t>
      </w:r>
      <w:r w:rsidR="00076440" w:rsidRPr="00C12279">
        <w:rPr>
          <w:rStyle w:val="FootnoteReference"/>
          <w:rFonts w:ascii="Times New Roman" w:hAnsi="Times New Roman" w:cs="Times New Roman"/>
          <w:sz w:val="24"/>
          <w:szCs w:val="24"/>
        </w:rPr>
        <w:footnoteReference w:id="13"/>
      </w:r>
      <w:r w:rsidR="00076440" w:rsidRPr="00C12279">
        <w:rPr>
          <w:rFonts w:ascii="Times New Roman" w:hAnsi="Times New Roman" w:cs="Times New Roman"/>
          <w:sz w:val="24"/>
          <w:szCs w:val="24"/>
        </w:rPr>
        <w:t xml:space="preserve">. </w:t>
      </w:r>
      <w:r w:rsidR="00B366BC" w:rsidRPr="00C12279">
        <w:rPr>
          <w:rFonts w:ascii="Times New Roman" w:hAnsi="Times New Roman" w:cs="Times New Roman"/>
          <w:sz w:val="24"/>
          <w:szCs w:val="24"/>
        </w:rPr>
        <w:t>The new agreement was amongst other</w:t>
      </w:r>
      <w:r w:rsidR="007C27E8" w:rsidRPr="00C12279">
        <w:rPr>
          <w:rFonts w:ascii="Times New Roman" w:hAnsi="Times New Roman" w:cs="Times New Roman"/>
          <w:sz w:val="24"/>
          <w:szCs w:val="24"/>
        </w:rPr>
        <w:t xml:space="preserve"> things precipitated by changes in the appellant’s management and ownership as contemplate</w:t>
      </w:r>
      <w:r w:rsidR="00A60863" w:rsidRPr="00C12279">
        <w:rPr>
          <w:rFonts w:ascii="Times New Roman" w:hAnsi="Times New Roman" w:cs="Times New Roman"/>
          <w:sz w:val="24"/>
          <w:szCs w:val="24"/>
        </w:rPr>
        <w:t xml:space="preserve">d by article 40 of the original </w:t>
      </w:r>
      <w:r w:rsidR="007C27E8" w:rsidRPr="00C12279">
        <w:rPr>
          <w:rFonts w:ascii="Times New Roman" w:hAnsi="Times New Roman" w:cs="Times New Roman"/>
          <w:sz w:val="24"/>
          <w:szCs w:val="24"/>
        </w:rPr>
        <w:t xml:space="preserve">agreement and confirmed by article 20 of the new agreement. </w:t>
      </w:r>
      <w:r w:rsidR="00AD0BA5" w:rsidRPr="00C12279">
        <w:rPr>
          <w:rFonts w:ascii="Times New Roman" w:hAnsi="Times New Roman" w:cs="Times New Roman"/>
          <w:sz w:val="24"/>
          <w:szCs w:val="24"/>
        </w:rPr>
        <w:t xml:space="preserve">It substituted </w:t>
      </w:r>
      <w:r w:rsidR="00A60863" w:rsidRPr="00C12279">
        <w:rPr>
          <w:rFonts w:ascii="Times New Roman" w:hAnsi="Times New Roman" w:cs="Times New Roman"/>
          <w:sz w:val="24"/>
          <w:szCs w:val="24"/>
        </w:rPr>
        <w:t xml:space="preserve">the </w:t>
      </w:r>
      <w:r w:rsidR="00DF5192" w:rsidRPr="00C12279">
        <w:rPr>
          <w:rFonts w:ascii="Times New Roman" w:hAnsi="Times New Roman" w:cs="Times New Roman"/>
          <w:sz w:val="24"/>
          <w:szCs w:val="24"/>
        </w:rPr>
        <w:t>original</w:t>
      </w:r>
      <w:r w:rsidR="00A60863" w:rsidRPr="00C12279">
        <w:rPr>
          <w:rFonts w:ascii="Times New Roman" w:hAnsi="Times New Roman" w:cs="Times New Roman"/>
          <w:sz w:val="24"/>
          <w:szCs w:val="24"/>
        </w:rPr>
        <w:t xml:space="preserve"> agreement</w:t>
      </w:r>
      <w:r w:rsidR="00EF5C87" w:rsidRPr="00C12279">
        <w:rPr>
          <w:rFonts w:ascii="Times New Roman" w:hAnsi="Times New Roman" w:cs="Times New Roman"/>
          <w:sz w:val="24"/>
          <w:szCs w:val="24"/>
        </w:rPr>
        <w:t xml:space="preserve">. </w:t>
      </w:r>
      <w:r w:rsidR="0020564F" w:rsidRPr="00C12279">
        <w:rPr>
          <w:rFonts w:ascii="Times New Roman" w:hAnsi="Times New Roman" w:cs="Times New Roman"/>
          <w:sz w:val="24"/>
          <w:szCs w:val="24"/>
        </w:rPr>
        <w:t>The preamble, structure and in most respects the contents</w:t>
      </w:r>
      <w:r w:rsidR="00DF5192" w:rsidRPr="00C12279">
        <w:rPr>
          <w:rFonts w:ascii="Times New Roman" w:hAnsi="Times New Roman" w:cs="Times New Roman"/>
          <w:sz w:val="24"/>
          <w:szCs w:val="24"/>
        </w:rPr>
        <w:t xml:space="preserve"> mirrored word for word the</w:t>
      </w:r>
      <w:r w:rsidR="0020564F" w:rsidRPr="00C12279">
        <w:rPr>
          <w:rFonts w:ascii="Times New Roman" w:hAnsi="Times New Roman" w:cs="Times New Roman"/>
          <w:sz w:val="24"/>
          <w:szCs w:val="24"/>
        </w:rPr>
        <w:t xml:space="preserve"> </w:t>
      </w:r>
      <w:r w:rsidR="00CE47F7" w:rsidRPr="00C12279">
        <w:rPr>
          <w:rFonts w:ascii="Times New Roman" w:hAnsi="Times New Roman" w:cs="Times New Roman"/>
          <w:sz w:val="24"/>
          <w:szCs w:val="24"/>
        </w:rPr>
        <w:t xml:space="preserve">original </w:t>
      </w:r>
      <w:r w:rsidR="0020564F" w:rsidRPr="00C12279">
        <w:rPr>
          <w:rFonts w:ascii="Times New Roman" w:hAnsi="Times New Roman" w:cs="Times New Roman"/>
          <w:sz w:val="24"/>
          <w:szCs w:val="24"/>
        </w:rPr>
        <w:t xml:space="preserve">agreement. </w:t>
      </w:r>
      <w:r w:rsidR="00CE47F7" w:rsidRPr="00C12279">
        <w:rPr>
          <w:rFonts w:ascii="Times New Roman" w:hAnsi="Times New Roman" w:cs="Times New Roman"/>
          <w:sz w:val="24"/>
          <w:szCs w:val="24"/>
        </w:rPr>
        <w:t xml:space="preserve"> </w:t>
      </w:r>
      <w:r w:rsidR="00F069CE" w:rsidRPr="00C12279">
        <w:rPr>
          <w:rFonts w:ascii="Times New Roman" w:hAnsi="Times New Roman" w:cs="Times New Roman"/>
          <w:sz w:val="24"/>
          <w:szCs w:val="24"/>
        </w:rPr>
        <w:t>The noticeable change was the wholesale remo</w:t>
      </w:r>
      <w:r w:rsidR="00CC4D06" w:rsidRPr="00C12279">
        <w:rPr>
          <w:rFonts w:ascii="Times New Roman" w:hAnsi="Times New Roman" w:cs="Times New Roman"/>
          <w:sz w:val="24"/>
          <w:szCs w:val="24"/>
        </w:rPr>
        <w:t xml:space="preserve">val of the right to purchase knocked down </w:t>
      </w:r>
      <w:r w:rsidR="00F069CE" w:rsidRPr="00C12279">
        <w:rPr>
          <w:rFonts w:ascii="Times New Roman" w:hAnsi="Times New Roman" w:cs="Times New Roman"/>
          <w:sz w:val="24"/>
          <w:szCs w:val="24"/>
        </w:rPr>
        <w:t xml:space="preserve">kits for assembling </w:t>
      </w:r>
      <w:r w:rsidR="00F76B71" w:rsidRPr="00C12279">
        <w:rPr>
          <w:rFonts w:ascii="Times New Roman" w:hAnsi="Times New Roman" w:cs="Times New Roman"/>
          <w:sz w:val="24"/>
          <w:szCs w:val="24"/>
        </w:rPr>
        <w:t xml:space="preserve">from </w:t>
      </w:r>
      <w:r w:rsidR="00F069CE" w:rsidRPr="00C12279">
        <w:rPr>
          <w:rFonts w:ascii="Times New Roman" w:hAnsi="Times New Roman" w:cs="Times New Roman"/>
          <w:sz w:val="24"/>
          <w:szCs w:val="24"/>
        </w:rPr>
        <w:t xml:space="preserve">and </w:t>
      </w:r>
      <w:r w:rsidR="00262D87" w:rsidRPr="00C12279">
        <w:rPr>
          <w:rFonts w:ascii="Times New Roman" w:hAnsi="Times New Roman" w:cs="Times New Roman"/>
          <w:sz w:val="24"/>
          <w:szCs w:val="24"/>
        </w:rPr>
        <w:t xml:space="preserve">the transfer </w:t>
      </w:r>
      <w:r w:rsidR="000E0367" w:rsidRPr="00C12279">
        <w:rPr>
          <w:rFonts w:ascii="Times New Roman" w:hAnsi="Times New Roman" w:cs="Times New Roman"/>
          <w:sz w:val="24"/>
          <w:szCs w:val="24"/>
        </w:rPr>
        <w:t>of technological</w:t>
      </w:r>
      <w:r w:rsidR="00F76B71" w:rsidRPr="00C12279">
        <w:rPr>
          <w:rFonts w:ascii="Times New Roman" w:hAnsi="Times New Roman" w:cs="Times New Roman"/>
          <w:sz w:val="24"/>
          <w:szCs w:val="24"/>
        </w:rPr>
        <w:t xml:space="preserve"> assistance and assembly by the conglomerate to the appellant. </w:t>
      </w:r>
      <w:r w:rsidR="000B3147" w:rsidRPr="00C12279">
        <w:rPr>
          <w:rFonts w:ascii="Times New Roman" w:hAnsi="Times New Roman" w:cs="Times New Roman"/>
          <w:sz w:val="24"/>
          <w:szCs w:val="24"/>
        </w:rPr>
        <w:t>Articles 21, 22 and 23 mirror</w:t>
      </w:r>
      <w:r w:rsidR="00CC4D06" w:rsidRPr="00C12279">
        <w:rPr>
          <w:rFonts w:ascii="Times New Roman" w:hAnsi="Times New Roman" w:cs="Times New Roman"/>
          <w:sz w:val="24"/>
          <w:szCs w:val="24"/>
        </w:rPr>
        <w:t>ed</w:t>
      </w:r>
      <w:r w:rsidR="000B3147" w:rsidRPr="00C12279">
        <w:rPr>
          <w:rFonts w:ascii="Times New Roman" w:hAnsi="Times New Roman" w:cs="Times New Roman"/>
          <w:sz w:val="24"/>
          <w:szCs w:val="24"/>
        </w:rPr>
        <w:t xml:space="preserve"> word for word articles 5, 6 and 7 of the original agreement in respect of </w:t>
      </w:r>
      <w:r w:rsidR="00CC4D06" w:rsidRPr="00C12279">
        <w:rPr>
          <w:rFonts w:ascii="Times New Roman" w:hAnsi="Times New Roman" w:cs="Times New Roman"/>
          <w:sz w:val="24"/>
          <w:szCs w:val="24"/>
        </w:rPr>
        <w:t xml:space="preserve">the </w:t>
      </w:r>
      <w:r w:rsidR="000B3147" w:rsidRPr="00C12279">
        <w:rPr>
          <w:rFonts w:ascii="Times New Roman" w:hAnsi="Times New Roman" w:cs="Times New Roman"/>
          <w:sz w:val="24"/>
          <w:szCs w:val="24"/>
        </w:rPr>
        <w:t>ordering, production and shipment of the vehicles and spare parts</w:t>
      </w:r>
      <w:r w:rsidR="00EF5C87" w:rsidRPr="00C12279">
        <w:rPr>
          <w:rFonts w:ascii="Times New Roman" w:hAnsi="Times New Roman" w:cs="Times New Roman"/>
          <w:sz w:val="24"/>
          <w:szCs w:val="24"/>
        </w:rPr>
        <w:t xml:space="preserve">. Article 24 </w:t>
      </w:r>
      <w:r w:rsidR="003F1DE5" w:rsidRPr="00C12279">
        <w:rPr>
          <w:rFonts w:ascii="Times New Roman" w:hAnsi="Times New Roman" w:cs="Times New Roman"/>
          <w:sz w:val="24"/>
          <w:szCs w:val="24"/>
        </w:rPr>
        <w:t xml:space="preserve">like article 10 in the original agreement </w:t>
      </w:r>
      <w:r w:rsidR="00EF5C87" w:rsidRPr="00C12279">
        <w:rPr>
          <w:rFonts w:ascii="Times New Roman" w:hAnsi="Times New Roman" w:cs="Times New Roman"/>
          <w:sz w:val="24"/>
          <w:szCs w:val="24"/>
        </w:rPr>
        <w:t xml:space="preserve">dealt with </w:t>
      </w:r>
      <w:r w:rsidR="003F1DE5" w:rsidRPr="00C12279">
        <w:rPr>
          <w:rFonts w:ascii="Times New Roman" w:hAnsi="Times New Roman" w:cs="Times New Roman"/>
          <w:sz w:val="24"/>
          <w:szCs w:val="24"/>
        </w:rPr>
        <w:t xml:space="preserve">the supply of spare parts whose purchase prices were computed on a </w:t>
      </w:r>
      <w:r w:rsidR="00DA3547" w:rsidRPr="00C12279">
        <w:rPr>
          <w:rFonts w:ascii="Times New Roman" w:hAnsi="Times New Roman" w:cs="Times New Roman"/>
          <w:sz w:val="24"/>
          <w:szCs w:val="24"/>
        </w:rPr>
        <w:t xml:space="preserve">cost, insurance and freight, </w:t>
      </w:r>
      <w:r w:rsidR="003F1DE5" w:rsidRPr="00C12279">
        <w:rPr>
          <w:rFonts w:ascii="Times New Roman" w:hAnsi="Times New Roman" w:cs="Times New Roman"/>
          <w:sz w:val="24"/>
          <w:szCs w:val="24"/>
        </w:rPr>
        <w:t xml:space="preserve">CIF or </w:t>
      </w:r>
      <w:r w:rsidR="00DF5192" w:rsidRPr="00C12279">
        <w:rPr>
          <w:rFonts w:ascii="Times New Roman" w:hAnsi="Times New Roman" w:cs="Times New Roman"/>
          <w:sz w:val="24"/>
          <w:szCs w:val="24"/>
        </w:rPr>
        <w:t xml:space="preserve">free on board, </w:t>
      </w:r>
      <w:r w:rsidR="003F1DE5" w:rsidRPr="00C12279">
        <w:rPr>
          <w:rFonts w:ascii="Times New Roman" w:hAnsi="Times New Roman" w:cs="Times New Roman"/>
          <w:sz w:val="24"/>
          <w:szCs w:val="24"/>
        </w:rPr>
        <w:t xml:space="preserve">FOB basis </w:t>
      </w:r>
      <w:r w:rsidR="00922C58" w:rsidRPr="00C12279">
        <w:rPr>
          <w:rFonts w:ascii="Times New Roman" w:hAnsi="Times New Roman" w:cs="Times New Roman"/>
          <w:sz w:val="24"/>
          <w:szCs w:val="24"/>
        </w:rPr>
        <w:t xml:space="preserve">derived from </w:t>
      </w:r>
      <w:r w:rsidR="003F1DE5" w:rsidRPr="00C12279">
        <w:rPr>
          <w:rFonts w:ascii="Times New Roman" w:hAnsi="Times New Roman" w:cs="Times New Roman"/>
          <w:sz w:val="24"/>
          <w:szCs w:val="24"/>
        </w:rPr>
        <w:t>a price list provided by the conglomerate</w:t>
      </w:r>
      <w:r w:rsidR="0001198A" w:rsidRPr="00C12279">
        <w:rPr>
          <w:rFonts w:ascii="Times New Roman" w:hAnsi="Times New Roman" w:cs="Times New Roman"/>
          <w:sz w:val="24"/>
          <w:szCs w:val="24"/>
        </w:rPr>
        <w:t xml:space="preserve">. </w:t>
      </w:r>
      <w:r w:rsidR="002C5F46" w:rsidRPr="00C12279">
        <w:rPr>
          <w:rFonts w:ascii="Times New Roman" w:hAnsi="Times New Roman" w:cs="Times New Roman"/>
          <w:sz w:val="24"/>
          <w:szCs w:val="24"/>
        </w:rPr>
        <w:t>The grounds for termination were generally similar to t</w:t>
      </w:r>
      <w:r w:rsidR="001915D5">
        <w:rPr>
          <w:rFonts w:ascii="Times New Roman" w:hAnsi="Times New Roman" w:cs="Times New Roman"/>
          <w:sz w:val="24"/>
          <w:szCs w:val="24"/>
        </w:rPr>
        <w:t>hose in the original agreement.</w:t>
      </w:r>
    </w:p>
    <w:p w14:paraId="3D5C648B" w14:textId="6E388938" w:rsidR="00B30846" w:rsidRPr="00C12279" w:rsidRDefault="00AA4EE3" w:rsidP="008409E8">
      <w:pPr>
        <w:jc w:val="both"/>
        <w:rPr>
          <w:rFonts w:ascii="Times New Roman" w:hAnsi="Times New Roman" w:cs="Times New Roman"/>
          <w:i/>
          <w:sz w:val="24"/>
          <w:szCs w:val="24"/>
        </w:rPr>
      </w:pPr>
      <w:r w:rsidRPr="00C12279">
        <w:rPr>
          <w:rFonts w:ascii="Times New Roman" w:hAnsi="Times New Roman" w:cs="Times New Roman"/>
          <w:i/>
          <w:sz w:val="24"/>
          <w:szCs w:val="24"/>
        </w:rPr>
        <w:t>The Memorandum on Sales and P</w:t>
      </w:r>
      <w:r w:rsidR="00B30846" w:rsidRPr="00C12279">
        <w:rPr>
          <w:rFonts w:ascii="Times New Roman" w:hAnsi="Times New Roman" w:cs="Times New Roman"/>
          <w:i/>
          <w:sz w:val="24"/>
          <w:szCs w:val="24"/>
        </w:rPr>
        <w:t>urchase of the conglomerate vehicles of 25 April 2011</w:t>
      </w:r>
      <w:r w:rsidR="00E023BC" w:rsidRPr="00C12279">
        <w:rPr>
          <w:rStyle w:val="FootnoteReference"/>
          <w:rFonts w:ascii="Times New Roman" w:hAnsi="Times New Roman" w:cs="Times New Roman"/>
          <w:i/>
          <w:sz w:val="24"/>
          <w:szCs w:val="24"/>
        </w:rPr>
        <w:footnoteReference w:id="14"/>
      </w:r>
    </w:p>
    <w:p w14:paraId="1C89EC9C" w14:textId="6E588B4D" w:rsidR="00B30846" w:rsidRPr="001B298C" w:rsidRDefault="00B30846" w:rsidP="00E26BEA">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appellant and the conglomerate entered into a memorandum on Sales and Pur</w:t>
      </w:r>
      <w:r w:rsidR="00C10B5D" w:rsidRPr="00C12279">
        <w:rPr>
          <w:rFonts w:ascii="Times New Roman" w:hAnsi="Times New Roman" w:cs="Times New Roman"/>
          <w:sz w:val="24"/>
          <w:szCs w:val="24"/>
        </w:rPr>
        <w:t>chases of brand vehicles with the intermediary</w:t>
      </w:r>
      <w:r w:rsidR="00200913" w:rsidRPr="00C12279">
        <w:rPr>
          <w:rFonts w:ascii="Times New Roman" w:hAnsi="Times New Roman" w:cs="Times New Roman"/>
          <w:sz w:val="24"/>
          <w:szCs w:val="24"/>
        </w:rPr>
        <w:t xml:space="preserve"> retroactive from 1 February 2007</w:t>
      </w:r>
      <w:r w:rsidRPr="00C12279">
        <w:rPr>
          <w:rFonts w:ascii="Times New Roman" w:hAnsi="Times New Roman" w:cs="Times New Roman"/>
          <w:sz w:val="24"/>
          <w:szCs w:val="24"/>
        </w:rPr>
        <w:t xml:space="preserve"> soon after signing the Distribution Agreement. The appellant appointed and the conglomerat</w:t>
      </w:r>
      <w:r w:rsidR="00C10B5D" w:rsidRPr="00C12279">
        <w:rPr>
          <w:rFonts w:ascii="Times New Roman" w:hAnsi="Times New Roman" w:cs="Times New Roman"/>
          <w:sz w:val="24"/>
          <w:szCs w:val="24"/>
        </w:rPr>
        <w:t>e approved the appointment of the intermediary</w:t>
      </w:r>
      <w:r w:rsidRPr="00C12279">
        <w:rPr>
          <w:rFonts w:ascii="Times New Roman" w:hAnsi="Times New Roman" w:cs="Times New Roman"/>
          <w:sz w:val="24"/>
          <w:szCs w:val="24"/>
        </w:rPr>
        <w:t xml:space="preserve"> as</w:t>
      </w:r>
      <w:r w:rsidR="00C10B5D" w:rsidRPr="00C12279">
        <w:rPr>
          <w:rFonts w:ascii="Times New Roman" w:hAnsi="Times New Roman" w:cs="Times New Roman"/>
          <w:sz w:val="24"/>
          <w:szCs w:val="24"/>
        </w:rPr>
        <w:t xml:space="preserve"> the intermediary for the sale</w:t>
      </w:r>
      <w:r w:rsidRPr="00C12279">
        <w:rPr>
          <w:rFonts w:ascii="Times New Roman" w:hAnsi="Times New Roman" w:cs="Times New Roman"/>
          <w:sz w:val="24"/>
          <w:szCs w:val="24"/>
        </w:rPr>
        <w:t xml:space="preserve"> and purchase of the vehicles from the conglomerate under the Distribution Agreement. The three parties agreed that the intermediary would purchase the vehicles from the conglomerate </w:t>
      </w:r>
      <w:r w:rsidR="008622F6" w:rsidRPr="00C12279">
        <w:rPr>
          <w:rFonts w:ascii="Times New Roman" w:hAnsi="Times New Roman" w:cs="Times New Roman"/>
          <w:sz w:val="24"/>
          <w:szCs w:val="24"/>
        </w:rPr>
        <w:t>and sell</w:t>
      </w:r>
      <w:r w:rsidRPr="00C12279">
        <w:rPr>
          <w:rFonts w:ascii="Times New Roman" w:hAnsi="Times New Roman" w:cs="Times New Roman"/>
          <w:sz w:val="24"/>
          <w:szCs w:val="24"/>
        </w:rPr>
        <w:t xml:space="preserve"> </w:t>
      </w:r>
      <w:r w:rsidRPr="00C12279">
        <w:rPr>
          <w:rFonts w:ascii="Times New Roman" w:hAnsi="Times New Roman" w:cs="Times New Roman"/>
          <w:sz w:val="24"/>
          <w:szCs w:val="24"/>
        </w:rPr>
        <w:lastRenderedPageBreak/>
        <w:t>them to the appellant.</w:t>
      </w:r>
      <w:r w:rsidR="008F01B3" w:rsidRPr="00C12279">
        <w:rPr>
          <w:rFonts w:ascii="Times New Roman" w:hAnsi="Times New Roman" w:cs="Times New Roman"/>
          <w:sz w:val="24"/>
          <w:szCs w:val="24"/>
        </w:rPr>
        <w:t xml:space="preserve"> The parties all </w:t>
      </w:r>
      <w:r w:rsidR="001B298C">
        <w:rPr>
          <w:rFonts w:ascii="Times New Roman" w:hAnsi="Times New Roman" w:cs="Times New Roman"/>
          <w:sz w:val="24"/>
          <w:szCs w:val="24"/>
        </w:rPr>
        <w:t>incorporated the ordering, pricing</w:t>
      </w:r>
      <w:r w:rsidR="008F01B3" w:rsidRPr="00C12279">
        <w:rPr>
          <w:rFonts w:ascii="Times New Roman" w:hAnsi="Times New Roman" w:cs="Times New Roman"/>
          <w:sz w:val="24"/>
          <w:szCs w:val="24"/>
        </w:rPr>
        <w:t xml:space="preserve"> and payment and supply of spare parts provisions in articles 21, 23 and 24 of the Distribution Agreement. </w:t>
      </w:r>
      <w:r w:rsidR="008F01B3" w:rsidRPr="001B298C">
        <w:rPr>
          <w:rFonts w:ascii="Times New Roman" w:hAnsi="Times New Roman" w:cs="Times New Roman"/>
          <w:sz w:val="24"/>
          <w:szCs w:val="24"/>
        </w:rPr>
        <w:t>They further agreed that</w:t>
      </w:r>
      <w:r w:rsidR="00A24D99" w:rsidRPr="001B298C">
        <w:rPr>
          <w:rFonts w:ascii="Times New Roman" w:hAnsi="Times New Roman" w:cs="Times New Roman"/>
          <w:sz w:val="24"/>
          <w:szCs w:val="24"/>
        </w:rPr>
        <w:t xml:space="preserve"> any violation or default of tho</w:t>
      </w:r>
      <w:r w:rsidR="008F01B3" w:rsidRPr="001B298C">
        <w:rPr>
          <w:rFonts w:ascii="Times New Roman" w:hAnsi="Times New Roman" w:cs="Times New Roman"/>
          <w:sz w:val="24"/>
          <w:szCs w:val="24"/>
        </w:rPr>
        <w:t xml:space="preserve">se provisions by the intermediary would be </w:t>
      </w:r>
      <w:r w:rsidR="00A1108A">
        <w:rPr>
          <w:rFonts w:ascii="Times New Roman" w:hAnsi="Times New Roman" w:cs="Times New Roman"/>
          <w:sz w:val="24"/>
          <w:szCs w:val="24"/>
        </w:rPr>
        <w:t>ascribed to</w:t>
      </w:r>
      <w:r w:rsidR="008F01B3" w:rsidRPr="001B298C">
        <w:rPr>
          <w:rFonts w:ascii="Times New Roman" w:hAnsi="Times New Roman" w:cs="Times New Roman"/>
          <w:sz w:val="24"/>
          <w:szCs w:val="24"/>
        </w:rPr>
        <w:t xml:space="preserve"> the appellant</w:t>
      </w:r>
      <w:r w:rsidR="00A1108A">
        <w:rPr>
          <w:rFonts w:ascii="Times New Roman" w:hAnsi="Times New Roman" w:cs="Times New Roman"/>
          <w:sz w:val="24"/>
          <w:szCs w:val="24"/>
        </w:rPr>
        <w:t>.</w:t>
      </w:r>
    </w:p>
    <w:p w14:paraId="7246D46A" w14:textId="0CE69EEE" w:rsidR="00E023BC" w:rsidRPr="00C12279" w:rsidRDefault="00E023BC" w:rsidP="008409E8">
      <w:pPr>
        <w:jc w:val="both"/>
        <w:rPr>
          <w:rFonts w:ascii="Times New Roman" w:hAnsi="Times New Roman" w:cs="Times New Roman"/>
          <w:i/>
          <w:sz w:val="24"/>
          <w:szCs w:val="24"/>
        </w:rPr>
      </w:pPr>
      <w:r w:rsidRPr="00C12279">
        <w:rPr>
          <w:rFonts w:ascii="Times New Roman" w:hAnsi="Times New Roman" w:cs="Times New Roman"/>
          <w:i/>
          <w:sz w:val="24"/>
          <w:szCs w:val="24"/>
        </w:rPr>
        <w:t xml:space="preserve">The Management </w:t>
      </w:r>
      <w:r w:rsidR="004B3B57" w:rsidRPr="00C12279">
        <w:rPr>
          <w:rFonts w:ascii="Times New Roman" w:hAnsi="Times New Roman" w:cs="Times New Roman"/>
          <w:i/>
          <w:sz w:val="24"/>
          <w:szCs w:val="24"/>
        </w:rPr>
        <w:t xml:space="preserve">Services Agreement between the Appellant and the Intermediary </w:t>
      </w:r>
      <w:r w:rsidRPr="00C12279">
        <w:rPr>
          <w:rFonts w:ascii="Times New Roman" w:hAnsi="Times New Roman" w:cs="Times New Roman"/>
          <w:i/>
          <w:sz w:val="24"/>
          <w:szCs w:val="24"/>
        </w:rPr>
        <w:t>of 2 March 2009</w:t>
      </w:r>
      <w:r w:rsidRPr="00C12279">
        <w:rPr>
          <w:rStyle w:val="FootnoteReference"/>
          <w:rFonts w:ascii="Times New Roman" w:hAnsi="Times New Roman" w:cs="Times New Roman"/>
          <w:i/>
          <w:sz w:val="24"/>
          <w:szCs w:val="24"/>
        </w:rPr>
        <w:footnoteReference w:id="15"/>
      </w:r>
    </w:p>
    <w:p w14:paraId="224FEC1B" w14:textId="26102608" w:rsidR="00A62919" w:rsidRPr="00C12279" w:rsidRDefault="00E023BC" w:rsidP="008B18C7">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On 2 March 2009 the appellant and the intermediary entered into a Management Services</w:t>
      </w:r>
      <w:r w:rsidR="008D46B9" w:rsidRPr="00C12279">
        <w:rPr>
          <w:rFonts w:ascii="Times New Roman" w:hAnsi="Times New Roman" w:cs="Times New Roman"/>
          <w:sz w:val="24"/>
          <w:szCs w:val="24"/>
        </w:rPr>
        <w:t>/Technical Services</w:t>
      </w:r>
      <w:r w:rsidRPr="00C12279">
        <w:rPr>
          <w:rFonts w:ascii="Times New Roman" w:hAnsi="Times New Roman" w:cs="Times New Roman"/>
          <w:sz w:val="24"/>
          <w:szCs w:val="24"/>
        </w:rPr>
        <w:t xml:space="preserve"> Agreement </w:t>
      </w:r>
      <w:r w:rsidR="008D4D0F" w:rsidRPr="00C12279">
        <w:rPr>
          <w:rFonts w:ascii="Times New Roman" w:hAnsi="Times New Roman" w:cs="Times New Roman"/>
          <w:sz w:val="24"/>
          <w:szCs w:val="24"/>
        </w:rPr>
        <w:t xml:space="preserve">which was governed by the laws of Zimbabwe and took effect on </w:t>
      </w:r>
      <w:r w:rsidR="00257D09" w:rsidRPr="00C12279">
        <w:rPr>
          <w:rFonts w:ascii="Times New Roman" w:hAnsi="Times New Roman" w:cs="Times New Roman"/>
          <w:sz w:val="24"/>
          <w:szCs w:val="24"/>
        </w:rPr>
        <w:t xml:space="preserve">1 March 2009. </w:t>
      </w:r>
      <w:r w:rsidRPr="00C12279">
        <w:rPr>
          <w:rFonts w:ascii="Times New Roman" w:hAnsi="Times New Roman" w:cs="Times New Roman"/>
          <w:sz w:val="24"/>
          <w:szCs w:val="24"/>
        </w:rPr>
        <w:t xml:space="preserve"> </w:t>
      </w:r>
      <w:r w:rsidR="00983CBD" w:rsidRPr="00C12279">
        <w:rPr>
          <w:rFonts w:ascii="Times New Roman" w:hAnsi="Times New Roman" w:cs="Times New Roman"/>
          <w:sz w:val="24"/>
          <w:szCs w:val="24"/>
        </w:rPr>
        <w:t xml:space="preserve">They were motivated by the introduction of the </w:t>
      </w:r>
      <w:r w:rsidR="00B07DB5" w:rsidRPr="00C12279">
        <w:rPr>
          <w:rFonts w:ascii="Times New Roman" w:hAnsi="Times New Roman" w:cs="Times New Roman"/>
          <w:sz w:val="24"/>
          <w:szCs w:val="24"/>
        </w:rPr>
        <w:t>multicurrency financial regime in</w:t>
      </w:r>
      <w:r w:rsidR="00983CBD" w:rsidRPr="00C12279">
        <w:rPr>
          <w:rFonts w:ascii="Times New Roman" w:hAnsi="Times New Roman" w:cs="Times New Roman"/>
          <w:sz w:val="24"/>
          <w:szCs w:val="24"/>
        </w:rPr>
        <w:t xml:space="preserve"> Zimbab</w:t>
      </w:r>
      <w:r w:rsidR="00B07DB5" w:rsidRPr="00C12279">
        <w:rPr>
          <w:rFonts w:ascii="Times New Roman" w:hAnsi="Times New Roman" w:cs="Times New Roman"/>
          <w:sz w:val="24"/>
          <w:szCs w:val="24"/>
        </w:rPr>
        <w:t xml:space="preserve">we. </w:t>
      </w:r>
      <w:r w:rsidR="006060E7" w:rsidRPr="00C12279">
        <w:rPr>
          <w:rFonts w:ascii="Times New Roman" w:hAnsi="Times New Roman" w:cs="Times New Roman"/>
          <w:sz w:val="24"/>
          <w:szCs w:val="24"/>
        </w:rPr>
        <w:t>It</w:t>
      </w:r>
      <w:r w:rsidRPr="00C12279">
        <w:rPr>
          <w:rFonts w:ascii="Times New Roman" w:hAnsi="Times New Roman" w:cs="Times New Roman"/>
          <w:sz w:val="24"/>
          <w:szCs w:val="24"/>
        </w:rPr>
        <w:t xml:space="preserve"> was to run for an indefinite period</w:t>
      </w:r>
      <w:r w:rsidR="00257D09" w:rsidRPr="00C12279">
        <w:rPr>
          <w:rFonts w:ascii="Times New Roman" w:hAnsi="Times New Roman" w:cs="Times New Roman"/>
          <w:sz w:val="24"/>
          <w:szCs w:val="24"/>
        </w:rPr>
        <w:t>.</w:t>
      </w:r>
      <w:r w:rsidRPr="00C12279">
        <w:rPr>
          <w:rFonts w:ascii="Times New Roman" w:hAnsi="Times New Roman" w:cs="Times New Roman"/>
          <w:sz w:val="24"/>
          <w:szCs w:val="24"/>
        </w:rPr>
        <w:t xml:space="preserve"> The intermediary </w:t>
      </w:r>
      <w:r w:rsidR="00A62919" w:rsidRPr="00C12279">
        <w:rPr>
          <w:rFonts w:ascii="Times New Roman" w:hAnsi="Times New Roman" w:cs="Times New Roman"/>
          <w:sz w:val="24"/>
          <w:szCs w:val="24"/>
        </w:rPr>
        <w:t>undertook to:</w:t>
      </w:r>
    </w:p>
    <w:p w14:paraId="6F219C8D" w14:textId="77777777" w:rsidR="00E023BC" w:rsidRPr="00C12279" w:rsidRDefault="00A62919" w:rsidP="008B18C7">
      <w:pPr>
        <w:spacing w:line="240" w:lineRule="auto"/>
        <w:ind w:left="720"/>
        <w:jc w:val="both"/>
        <w:rPr>
          <w:rFonts w:ascii="Times New Roman" w:hAnsi="Times New Roman" w:cs="Times New Roman"/>
          <w:sz w:val="24"/>
          <w:szCs w:val="24"/>
        </w:rPr>
      </w:pPr>
      <w:r w:rsidRPr="00C12279">
        <w:rPr>
          <w:rFonts w:ascii="Times New Roman" w:hAnsi="Times New Roman" w:cs="Times New Roman"/>
          <w:sz w:val="24"/>
          <w:szCs w:val="24"/>
        </w:rPr>
        <w:t>“</w:t>
      </w:r>
      <w:r w:rsidRPr="008B18C7">
        <w:rPr>
          <w:rFonts w:ascii="Times New Roman" w:hAnsi="Times New Roman" w:cs="Times New Roman"/>
        </w:rPr>
        <w:t>provide administrative services, financial services and support and logistical services and support to help appellant achieve its goals in terms of gaining market share, growth and profitability</w:t>
      </w:r>
      <w:r w:rsidR="00656105" w:rsidRPr="008B18C7">
        <w:rPr>
          <w:rFonts w:ascii="Times New Roman" w:hAnsi="Times New Roman" w:cs="Times New Roman"/>
        </w:rPr>
        <w:t>…… ensure that new developments and systems will be properly communicated together with appropriate facilitation of technical support, system materials and training</w:t>
      </w:r>
      <w:r w:rsidR="00DF3E25" w:rsidRPr="008B18C7">
        <w:rPr>
          <w:rFonts w:ascii="Times New Roman" w:hAnsi="Times New Roman" w:cs="Times New Roman"/>
        </w:rPr>
        <w:t>… (</w:t>
      </w:r>
      <w:r w:rsidR="00656105" w:rsidRPr="008B18C7">
        <w:rPr>
          <w:rFonts w:ascii="Times New Roman" w:hAnsi="Times New Roman" w:cs="Times New Roman"/>
        </w:rPr>
        <w:t>and) be available to provide help and guidance on any aspect of the business mentioned, at the request of appellant</w:t>
      </w:r>
      <w:r w:rsidR="00656105" w:rsidRPr="00C12279">
        <w:rPr>
          <w:rFonts w:ascii="Times New Roman" w:hAnsi="Times New Roman" w:cs="Times New Roman"/>
          <w:sz w:val="24"/>
          <w:szCs w:val="24"/>
        </w:rPr>
        <w:t xml:space="preserve">.” </w:t>
      </w:r>
    </w:p>
    <w:p w14:paraId="777FB7C5" w14:textId="5B6933FD" w:rsidR="00D413F8" w:rsidRPr="00C12279" w:rsidRDefault="00257D09" w:rsidP="000C6EBF">
      <w:pPr>
        <w:jc w:val="both"/>
        <w:rPr>
          <w:rFonts w:ascii="Times New Roman" w:hAnsi="Times New Roman" w:cs="Times New Roman"/>
          <w:sz w:val="24"/>
          <w:szCs w:val="24"/>
        </w:rPr>
      </w:pPr>
      <w:r w:rsidRPr="00C12279">
        <w:rPr>
          <w:rFonts w:ascii="Times New Roman" w:hAnsi="Times New Roman" w:cs="Times New Roman"/>
          <w:sz w:val="24"/>
          <w:szCs w:val="24"/>
        </w:rPr>
        <w:t>In regards to the</w:t>
      </w:r>
      <w:r w:rsidR="00D413F8" w:rsidRPr="00C12279">
        <w:rPr>
          <w:rFonts w:ascii="Times New Roman" w:hAnsi="Times New Roman" w:cs="Times New Roman"/>
          <w:sz w:val="24"/>
          <w:szCs w:val="24"/>
        </w:rPr>
        <w:t xml:space="preserve"> computation </w:t>
      </w:r>
      <w:r w:rsidRPr="00C12279">
        <w:rPr>
          <w:rFonts w:ascii="Times New Roman" w:hAnsi="Times New Roman" w:cs="Times New Roman"/>
          <w:sz w:val="24"/>
          <w:szCs w:val="24"/>
        </w:rPr>
        <w:t xml:space="preserve">of the fees </w:t>
      </w:r>
      <w:r w:rsidR="00D413F8" w:rsidRPr="00C12279">
        <w:rPr>
          <w:rFonts w:ascii="Times New Roman" w:hAnsi="Times New Roman" w:cs="Times New Roman"/>
          <w:sz w:val="24"/>
          <w:szCs w:val="24"/>
        </w:rPr>
        <w:t>the parties agreed that:</w:t>
      </w:r>
    </w:p>
    <w:p w14:paraId="79B9E5CB" w14:textId="77777777" w:rsidR="009A6F03" w:rsidRPr="00C12279" w:rsidRDefault="00F220F5" w:rsidP="008B18C7">
      <w:pPr>
        <w:spacing w:line="240" w:lineRule="auto"/>
        <w:ind w:left="720"/>
        <w:jc w:val="both"/>
        <w:rPr>
          <w:rFonts w:ascii="Times New Roman" w:hAnsi="Times New Roman" w:cs="Times New Roman"/>
          <w:sz w:val="24"/>
          <w:szCs w:val="24"/>
        </w:rPr>
      </w:pPr>
      <w:r w:rsidRPr="00C12279">
        <w:rPr>
          <w:rFonts w:ascii="Times New Roman" w:hAnsi="Times New Roman" w:cs="Times New Roman"/>
          <w:sz w:val="24"/>
          <w:szCs w:val="24"/>
        </w:rPr>
        <w:t>“</w:t>
      </w:r>
      <w:r w:rsidRPr="008B18C7">
        <w:rPr>
          <w:rFonts w:ascii="Times New Roman" w:hAnsi="Times New Roman" w:cs="Times New Roman"/>
        </w:rPr>
        <w:t>the intermediary</w:t>
      </w:r>
      <w:r w:rsidR="00D413F8" w:rsidRPr="008B18C7">
        <w:rPr>
          <w:rFonts w:ascii="Times New Roman" w:hAnsi="Times New Roman" w:cs="Times New Roman"/>
        </w:rPr>
        <w:t xml:space="preserve"> will calculate the fees </w:t>
      </w:r>
      <w:r w:rsidR="009A6F03" w:rsidRPr="008B18C7">
        <w:rPr>
          <w:rFonts w:ascii="Times New Roman" w:hAnsi="Times New Roman" w:cs="Times New Roman"/>
        </w:rPr>
        <w:t xml:space="preserve">based on both the turnover reported by appellant </w:t>
      </w:r>
      <w:r w:rsidR="009A6F03" w:rsidRPr="008B18C7">
        <w:rPr>
          <w:rFonts w:ascii="Times New Roman" w:hAnsi="Times New Roman" w:cs="Times New Roman"/>
          <w:u w:val="single"/>
        </w:rPr>
        <w:t>and also</w:t>
      </w:r>
      <w:r w:rsidR="009A6F03" w:rsidRPr="008B18C7">
        <w:rPr>
          <w:rFonts w:ascii="Times New Roman" w:hAnsi="Times New Roman" w:cs="Times New Roman"/>
        </w:rPr>
        <w:t xml:space="preserve"> the level of input that has been provided in terms of this agreement</w:t>
      </w:r>
      <w:r w:rsidR="00D413F8" w:rsidRPr="008B18C7">
        <w:rPr>
          <w:rFonts w:ascii="Times New Roman" w:hAnsi="Times New Roman" w:cs="Times New Roman"/>
        </w:rPr>
        <w:t>. The fees to be provided for shall be 2% of turnover however this will not necessarily be the amount finally invoiced. The amount finally invoiced shall not exceed 4% of turnover.</w:t>
      </w:r>
      <w:r w:rsidRPr="00C12279">
        <w:rPr>
          <w:rFonts w:ascii="Times New Roman" w:hAnsi="Times New Roman" w:cs="Times New Roman"/>
          <w:sz w:val="24"/>
          <w:szCs w:val="24"/>
        </w:rPr>
        <w:t xml:space="preserve">” </w:t>
      </w:r>
    </w:p>
    <w:p w14:paraId="6BB185DE" w14:textId="77777777" w:rsidR="00F05B97" w:rsidRPr="00C12279" w:rsidRDefault="00F05B97" w:rsidP="000C6EBF">
      <w:pPr>
        <w:jc w:val="both"/>
        <w:rPr>
          <w:rFonts w:ascii="Times New Roman" w:hAnsi="Times New Roman" w:cs="Times New Roman"/>
          <w:sz w:val="24"/>
          <w:szCs w:val="24"/>
        </w:rPr>
      </w:pPr>
      <w:r w:rsidRPr="00C12279">
        <w:rPr>
          <w:rFonts w:ascii="Times New Roman" w:hAnsi="Times New Roman" w:cs="Times New Roman"/>
          <w:sz w:val="24"/>
          <w:szCs w:val="24"/>
        </w:rPr>
        <w:t>And in respect of payment they agreed that:</w:t>
      </w:r>
    </w:p>
    <w:p w14:paraId="4D8092DB" w14:textId="5917A561" w:rsidR="00A544CE" w:rsidRPr="00C12279" w:rsidRDefault="00F05B97" w:rsidP="00C97769">
      <w:pPr>
        <w:spacing w:line="240" w:lineRule="auto"/>
        <w:ind w:left="720"/>
        <w:jc w:val="both"/>
        <w:rPr>
          <w:rFonts w:ascii="Times New Roman" w:hAnsi="Times New Roman" w:cs="Times New Roman"/>
          <w:sz w:val="24"/>
          <w:szCs w:val="24"/>
        </w:rPr>
      </w:pPr>
      <w:r w:rsidRPr="008B18C7">
        <w:rPr>
          <w:rFonts w:ascii="Times New Roman" w:hAnsi="Times New Roman" w:cs="Times New Roman"/>
        </w:rPr>
        <w:t xml:space="preserve">“Payment of the management fees shall ordinarily be made in the year following that on which the fees have been based </w:t>
      </w:r>
      <w:r w:rsidR="00E46E89" w:rsidRPr="008B18C7">
        <w:rPr>
          <w:rFonts w:ascii="Times New Roman" w:hAnsi="Times New Roman" w:cs="Times New Roman"/>
        </w:rPr>
        <w:t>on receipt of an invoice from the intermediary</w:t>
      </w:r>
      <w:r w:rsidRPr="008B18C7">
        <w:rPr>
          <w:rFonts w:ascii="Times New Roman" w:hAnsi="Times New Roman" w:cs="Times New Roman"/>
        </w:rPr>
        <w:t>. For cash flow purposes it will be permissible to make part payments but at least two half-yearly payments will be required</w:t>
      </w:r>
      <w:r w:rsidRPr="00C12279">
        <w:rPr>
          <w:rFonts w:ascii="Times New Roman" w:hAnsi="Times New Roman" w:cs="Times New Roman"/>
          <w:sz w:val="24"/>
          <w:szCs w:val="24"/>
        </w:rPr>
        <w:t xml:space="preserve">.” </w:t>
      </w:r>
    </w:p>
    <w:p w14:paraId="30C0A84A" w14:textId="356DE79E" w:rsidR="004D6468" w:rsidRPr="00C12279" w:rsidRDefault="004D6468" w:rsidP="008409E8">
      <w:pPr>
        <w:jc w:val="both"/>
        <w:rPr>
          <w:rFonts w:ascii="Times New Roman" w:hAnsi="Times New Roman" w:cs="Times New Roman"/>
          <w:i/>
          <w:sz w:val="24"/>
          <w:szCs w:val="24"/>
        </w:rPr>
      </w:pPr>
      <w:r w:rsidRPr="00C12279">
        <w:rPr>
          <w:rFonts w:ascii="Times New Roman" w:hAnsi="Times New Roman" w:cs="Times New Roman"/>
          <w:i/>
          <w:sz w:val="24"/>
          <w:szCs w:val="24"/>
        </w:rPr>
        <w:t>The implementa</w:t>
      </w:r>
      <w:r w:rsidR="00825618" w:rsidRPr="00C12279">
        <w:rPr>
          <w:rFonts w:ascii="Times New Roman" w:hAnsi="Times New Roman" w:cs="Times New Roman"/>
          <w:i/>
          <w:sz w:val="24"/>
          <w:szCs w:val="24"/>
        </w:rPr>
        <w:t xml:space="preserve">tion and operation of the </w:t>
      </w:r>
      <w:r w:rsidRPr="00C12279">
        <w:rPr>
          <w:rFonts w:ascii="Times New Roman" w:hAnsi="Times New Roman" w:cs="Times New Roman"/>
          <w:i/>
          <w:sz w:val="24"/>
          <w:szCs w:val="24"/>
        </w:rPr>
        <w:t>agreements</w:t>
      </w:r>
    </w:p>
    <w:p w14:paraId="0DD551E1" w14:textId="2F463AF3" w:rsidR="00695B12" w:rsidRPr="00C12279" w:rsidRDefault="00BE0A63" w:rsidP="008B18C7">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evidence of the appellant’s managing director was that the intermediary</w:t>
      </w:r>
      <w:r w:rsidR="006F5714" w:rsidRPr="00C12279">
        <w:rPr>
          <w:rFonts w:ascii="Times New Roman" w:hAnsi="Times New Roman" w:cs="Times New Roman"/>
          <w:sz w:val="24"/>
          <w:szCs w:val="24"/>
        </w:rPr>
        <w:t>, a Mauritian registered</w:t>
      </w:r>
      <w:r w:rsidR="0075310A" w:rsidRPr="00C12279">
        <w:rPr>
          <w:rFonts w:ascii="Times New Roman" w:hAnsi="Times New Roman" w:cs="Times New Roman"/>
          <w:sz w:val="24"/>
          <w:szCs w:val="24"/>
        </w:rPr>
        <w:t xml:space="preserve"> short-term credit financier </w:t>
      </w:r>
      <w:r w:rsidRPr="00C12279">
        <w:rPr>
          <w:rFonts w:ascii="Times New Roman" w:hAnsi="Times New Roman" w:cs="Times New Roman"/>
          <w:sz w:val="24"/>
          <w:szCs w:val="24"/>
        </w:rPr>
        <w:t>interposed between the conglomerate and the appellant in the purchase of the vehic</w:t>
      </w:r>
      <w:r w:rsidR="000C6EBF">
        <w:rPr>
          <w:rFonts w:ascii="Times New Roman" w:hAnsi="Times New Roman" w:cs="Times New Roman"/>
          <w:sz w:val="24"/>
          <w:szCs w:val="24"/>
        </w:rPr>
        <w:t>les and spare parts destined to</w:t>
      </w:r>
      <w:r w:rsidRPr="00C12279">
        <w:rPr>
          <w:rFonts w:ascii="Times New Roman" w:hAnsi="Times New Roman" w:cs="Times New Roman"/>
          <w:sz w:val="24"/>
          <w:szCs w:val="24"/>
        </w:rPr>
        <w:t xml:space="preserve"> Zimbabwe. Customers in Zimbabwe would place an order on the b</w:t>
      </w:r>
      <w:r w:rsidR="00825618" w:rsidRPr="00C12279">
        <w:rPr>
          <w:rFonts w:ascii="Times New Roman" w:hAnsi="Times New Roman" w:cs="Times New Roman"/>
          <w:sz w:val="24"/>
          <w:szCs w:val="24"/>
        </w:rPr>
        <w:t xml:space="preserve">rand model </w:t>
      </w:r>
      <w:r w:rsidR="006F5714" w:rsidRPr="00C12279">
        <w:rPr>
          <w:rFonts w:ascii="Times New Roman" w:hAnsi="Times New Roman" w:cs="Times New Roman"/>
          <w:sz w:val="24"/>
          <w:szCs w:val="24"/>
        </w:rPr>
        <w:t>of their choice</w:t>
      </w:r>
      <w:r w:rsidRPr="00C12279">
        <w:rPr>
          <w:rFonts w:ascii="Times New Roman" w:hAnsi="Times New Roman" w:cs="Times New Roman"/>
          <w:sz w:val="24"/>
          <w:szCs w:val="24"/>
        </w:rPr>
        <w:t xml:space="preserve"> either to the appellant or an approved dealer appointed by the appellant. The </w:t>
      </w:r>
      <w:r w:rsidR="008C7AFD" w:rsidRPr="00C12279">
        <w:rPr>
          <w:rFonts w:ascii="Times New Roman" w:hAnsi="Times New Roman" w:cs="Times New Roman"/>
          <w:sz w:val="24"/>
          <w:szCs w:val="24"/>
        </w:rPr>
        <w:t>appellant would group the orders and submit</w:t>
      </w:r>
      <w:r w:rsidR="00F77D5B" w:rsidRPr="00C12279">
        <w:rPr>
          <w:rFonts w:ascii="Times New Roman" w:hAnsi="Times New Roman" w:cs="Times New Roman"/>
          <w:sz w:val="24"/>
          <w:szCs w:val="24"/>
        </w:rPr>
        <w:t xml:space="preserve"> a bulky </w:t>
      </w:r>
      <w:r w:rsidR="008C7AFD" w:rsidRPr="00C12279">
        <w:rPr>
          <w:rFonts w:ascii="Times New Roman" w:hAnsi="Times New Roman" w:cs="Times New Roman"/>
          <w:sz w:val="24"/>
          <w:szCs w:val="24"/>
        </w:rPr>
        <w:t xml:space="preserve">order of the required stock of vehicles </w:t>
      </w:r>
      <w:r w:rsidR="00F77D5B" w:rsidRPr="00C12279">
        <w:rPr>
          <w:rFonts w:ascii="Times New Roman" w:hAnsi="Times New Roman" w:cs="Times New Roman"/>
          <w:sz w:val="24"/>
          <w:szCs w:val="24"/>
        </w:rPr>
        <w:t>4 months in advance to</w:t>
      </w:r>
      <w:r w:rsidR="008C7AFD" w:rsidRPr="00C12279">
        <w:rPr>
          <w:rFonts w:ascii="Times New Roman" w:hAnsi="Times New Roman" w:cs="Times New Roman"/>
          <w:sz w:val="24"/>
          <w:szCs w:val="24"/>
        </w:rPr>
        <w:t xml:space="preserve"> the intermediary</w:t>
      </w:r>
      <w:r w:rsidR="00056DAE" w:rsidRPr="00C12279">
        <w:rPr>
          <w:rFonts w:ascii="Times New Roman" w:hAnsi="Times New Roman" w:cs="Times New Roman"/>
          <w:sz w:val="24"/>
          <w:szCs w:val="24"/>
        </w:rPr>
        <w:t xml:space="preserve"> which in turn placed orders with the conglomerate</w:t>
      </w:r>
      <w:r w:rsidR="008C7AFD" w:rsidRPr="00C12279">
        <w:rPr>
          <w:rFonts w:ascii="Times New Roman" w:hAnsi="Times New Roman" w:cs="Times New Roman"/>
          <w:sz w:val="24"/>
          <w:szCs w:val="24"/>
        </w:rPr>
        <w:t xml:space="preserve">. </w:t>
      </w:r>
      <w:r w:rsidR="00056DAE" w:rsidRPr="00C12279">
        <w:rPr>
          <w:rFonts w:ascii="Times New Roman" w:hAnsi="Times New Roman" w:cs="Times New Roman"/>
          <w:sz w:val="24"/>
          <w:szCs w:val="24"/>
        </w:rPr>
        <w:t xml:space="preserve">The conglomerate would </w:t>
      </w:r>
      <w:r w:rsidR="00056DAE" w:rsidRPr="00C12279">
        <w:rPr>
          <w:rFonts w:ascii="Times New Roman" w:hAnsi="Times New Roman" w:cs="Times New Roman"/>
          <w:sz w:val="24"/>
          <w:szCs w:val="24"/>
        </w:rPr>
        <w:lastRenderedPageBreak/>
        <w:t xml:space="preserve">build the ordered vehicles for the intermediary. </w:t>
      </w:r>
      <w:r w:rsidR="008C7AFD" w:rsidRPr="00C12279">
        <w:rPr>
          <w:rFonts w:ascii="Times New Roman" w:hAnsi="Times New Roman" w:cs="Times New Roman"/>
          <w:sz w:val="24"/>
          <w:szCs w:val="24"/>
        </w:rPr>
        <w:t xml:space="preserve">The intermediary </w:t>
      </w:r>
      <w:r w:rsidRPr="00C12279">
        <w:rPr>
          <w:rFonts w:ascii="Times New Roman" w:hAnsi="Times New Roman" w:cs="Times New Roman"/>
          <w:sz w:val="24"/>
          <w:szCs w:val="24"/>
        </w:rPr>
        <w:t xml:space="preserve">would </w:t>
      </w:r>
      <w:r w:rsidR="00787FA1" w:rsidRPr="00C12279">
        <w:rPr>
          <w:rFonts w:ascii="Times New Roman" w:hAnsi="Times New Roman" w:cs="Times New Roman"/>
          <w:sz w:val="24"/>
          <w:szCs w:val="24"/>
        </w:rPr>
        <w:t xml:space="preserve">purchase the vehicles in its own name </w:t>
      </w:r>
      <w:r w:rsidR="00792F6C" w:rsidRPr="00C12279">
        <w:rPr>
          <w:rFonts w:ascii="Times New Roman" w:hAnsi="Times New Roman" w:cs="Times New Roman"/>
          <w:sz w:val="24"/>
          <w:szCs w:val="24"/>
        </w:rPr>
        <w:t xml:space="preserve">from the conglomerate </w:t>
      </w:r>
      <w:r w:rsidR="00787FA1" w:rsidRPr="00C12279">
        <w:rPr>
          <w:rFonts w:ascii="Times New Roman" w:hAnsi="Times New Roman" w:cs="Times New Roman"/>
          <w:sz w:val="24"/>
          <w:szCs w:val="24"/>
        </w:rPr>
        <w:t xml:space="preserve">and consign them directly to the appellant’s bonded warehouse in Zimbabwe. </w:t>
      </w:r>
      <w:r w:rsidR="0075310A" w:rsidRPr="00C12279">
        <w:rPr>
          <w:rFonts w:ascii="Times New Roman" w:hAnsi="Times New Roman" w:cs="Times New Roman"/>
          <w:sz w:val="24"/>
          <w:szCs w:val="24"/>
        </w:rPr>
        <w:t>The intermediary retained ownership of the consignment</w:t>
      </w:r>
      <w:r w:rsidR="008C7AFD" w:rsidRPr="00C12279">
        <w:rPr>
          <w:rFonts w:ascii="Times New Roman" w:hAnsi="Times New Roman" w:cs="Times New Roman"/>
          <w:sz w:val="24"/>
          <w:szCs w:val="24"/>
        </w:rPr>
        <w:t xml:space="preserve"> </w:t>
      </w:r>
      <w:r w:rsidR="007708EE" w:rsidRPr="00C12279">
        <w:rPr>
          <w:rFonts w:ascii="Times New Roman" w:hAnsi="Times New Roman" w:cs="Times New Roman"/>
          <w:sz w:val="24"/>
          <w:szCs w:val="24"/>
        </w:rPr>
        <w:t xml:space="preserve">in bond until it was paid. </w:t>
      </w:r>
      <w:r w:rsidR="00403B30" w:rsidRPr="00C12279">
        <w:rPr>
          <w:rFonts w:ascii="Times New Roman" w:hAnsi="Times New Roman" w:cs="Times New Roman"/>
          <w:sz w:val="24"/>
          <w:szCs w:val="24"/>
        </w:rPr>
        <w:t xml:space="preserve">Ownership vested in the appellant upon payment of the purchase price equivalent to the value for duty purposes. </w:t>
      </w:r>
      <w:r w:rsidR="007708EE" w:rsidRPr="00C12279">
        <w:rPr>
          <w:rFonts w:ascii="Times New Roman" w:hAnsi="Times New Roman" w:cs="Times New Roman"/>
          <w:sz w:val="24"/>
          <w:szCs w:val="24"/>
        </w:rPr>
        <w:t xml:space="preserve">Thereafter </w:t>
      </w:r>
      <w:r w:rsidR="00403B30" w:rsidRPr="00C12279">
        <w:rPr>
          <w:rFonts w:ascii="Times New Roman" w:hAnsi="Times New Roman" w:cs="Times New Roman"/>
          <w:sz w:val="24"/>
          <w:szCs w:val="24"/>
        </w:rPr>
        <w:t xml:space="preserve">the </w:t>
      </w:r>
      <w:r w:rsidR="007708EE" w:rsidRPr="00C12279">
        <w:rPr>
          <w:rFonts w:ascii="Times New Roman" w:hAnsi="Times New Roman" w:cs="Times New Roman"/>
          <w:sz w:val="24"/>
          <w:szCs w:val="24"/>
        </w:rPr>
        <w:t xml:space="preserve">appellant would </w:t>
      </w:r>
      <w:r w:rsidR="00566F88" w:rsidRPr="00C12279">
        <w:rPr>
          <w:rFonts w:ascii="Times New Roman" w:hAnsi="Times New Roman" w:cs="Times New Roman"/>
          <w:sz w:val="24"/>
          <w:szCs w:val="24"/>
        </w:rPr>
        <w:t xml:space="preserve">where applicable </w:t>
      </w:r>
      <w:r w:rsidR="007708EE" w:rsidRPr="00C12279">
        <w:rPr>
          <w:rFonts w:ascii="Times New Roman" w:hAnsi="Times New Roman" w:cs="Times New Roman"/>
          <w:sz w:val="24"/>
          <w:szCs w:val="24"/>
        </w:rPr>
        <w:t xml:space="preserve">pay </w:t>
      </w:r>
      <w:r w:rsidR="00152AC5" w:rsidRPr="00C12279">
        <w:rPr>
          <w:rFonts w:ascii="Times New Roman" w:hAnsi="Times New Roman" w:cs="Times New Roman"/>
          <w:sz w:val="24"/>
          <w:szCs w:val="24"/>
        </w:rPr>
        <w:t xml:space="preserve">customs </w:t>
      </w:r>
      <w:r w:rsidR="007708EE" w:rsidRPr="00C12279">
        <w:rPr>
          <w:rFonts w:ascii="Times New Roman" w:hAnsi="Times New Roman" w:cs="Times New Roman"/>
          <w:sz w:val="24"/>
          <w:szCs w:val="24"/>
        </w:rPr>
        <w:t>duty</w:t>
      </w:r>
      <w:r w:rsidR="00926034" w:rsidRPr="00C12279">
        <w:rPr>
          <w:rFonts w:ascii="Times New Roman" w:hAnsi="Times New Roman" w:cs="Times New Roman"/>
          <w:sz w:val="24"/>
          <w:szCs w:val="24"/>
        </w:rPr>
        <w:t>, sur</w:t>
      </w:r>
      <w:r w:rsidR="00152AC5" w:rsidRPr="00C12279">
        <w:rPr>
          <w:rFonts w:ascii="Times New Roman" w:hAnsi="Times New Roman" w:cs="Times New Roman"/>
          <w:sz w:val="24"/>
          <w:szCs w:val="24"/>
        </w:rPr>
        <w:t>taxes</w:t>
      </w:r>
      <w:r w:rsidR="00926034" w:rsidRPr="00C12279">
        <w:rPr>
          <w:rFonts w:ascii="Times New Roman" w:hAnsi="Times New Roman" w:cs="Times New Roman"/>
          <w:sz w:val="24"/>
          <w:szCs w:val="24"/>
        </w:rPr>
        <w:t xml:space="preserve"> and VAT</w:t>
      </w:r>
      <w:r w:rsidR="00566F88" w:rsidRPr="00C12279">
        <w:rPr>
          <w:rFonts w:ascii="Times New Roman" w:hAnsi="Times New Roman" w:cs="Times New Roman"/>
          <w:sz w:val="24"/>
          <w:szCs w:val="24"/>
        </w:rPr>
        <w:t xml:space="preserve"> based on the agreed value</w:t>
      </w:r>
      <w:r w:rsidR="007708EE" w:rsidRPr="00C12279">
        <w:rPr>
          <w:rFonts w:ascii="Times New Roman" w:hAnsi="Times New Roman" w:cs="Times New Roman"/>
          <w:sz w:val="24"/>
          <w:szCs w:val="24"/>
        </w:rPr>
        <w:t xml:space="preserve"> through a clearing agent before the consignment was released from the bonded warehouse and delivered to the approved dealer and end user</w:t>
      </w:r>
      <w:r w:rsidR="00152AC5" w:rsidRPr="00C12279">
        <w:rPr>
          <w:rFonts w:ascii="Times New Roman" w:hAnsi="Times New Roman" w:cs="Times New Roman"/>
          <w:sz w:val="24"/>
          <w:szCs w:val="24"/>
        </w:rPr>
        <w:t>.</w:t>
      </w:r>
      <w:r w:rsidR="005C0DCF" w:rsidRPr="00C12279">
        <w:rPr>
          <w:rFonts w:ascii="Times New Roman" w:hAnsi="Times New Roman" w:cs="Times New Roman"/>
          <w:sz w:val="24"/>
          <w:szCs w:val="24"/>
        </w:rPr>
        <w:t xml:space="preserve"> </w:t>
      </w:r>
      <w:r w:rsidR="00881B86" w:rsidRPr="00C12279">
        <w:rPr>
          <w:rFonts w:ascii="Times New Roman" w:hAnsi="Times New Roman" w:cs="Times New Roman"/>
          <w:sz w:val="24"/>
          <w:szCs w:val="24"/>
        </w:rPr>
        <w:t xml:space="preserve">The appellant used to import stock from a South African related party and the conglomerate under value rulings 18 and 29 of 2001 before the advent of the French holding company. These were replaced by value ruling 15 of 2007 on </w:t>
      </w:r>
      <w:r w:rsidR="0095507D" w:rsidRPr="00C12279">
        <w:rPr>
          <w:rFonts w:ascii="Times New Roman" w:hAnsi="Times New Roman" w:cs="Times New Roman"/>
          <w:sz w:val="24"/>
          <w:szCs w:val="24"/>
        </w:rPr>
        <w:t>5 November 2007 following upon protracted negotiations between the appellant and the respondent that commenced on 26 March 2006.</w:t>
      </w:r>
      <w:r w:rsidR="0095507D" w:rsidRPr="00C12279">
        <w:rPr>
          <w:rStyle w:val="FootnoteReference"/>
          <w:rFonts w:ascii="Times New Roman" w:hAnsi="Times New Roman" w:cs="Times New Roman"/>
          <w:sz w:val="24"/>
          <w:szCs w:val="24"/>
        </w:rPr>
        <w:footnoteReference w:id="16"/>
      </w:r>
      <w:r w:rsidR="0095507D" w:rsidRPr="00C12279">
        <w:rPr>
          <w:rFonts w:ascii="Times New Roman" w:hAnsi="Times New Roman" w:cs="Times New Roman"/>
          <w:sz w:val="24"/>
          <w:szCs w:val="24"/>
        </w:rPr>
        <w:t xml:space="preserve"> </w:t>
      </w:r>
    </w:p>
    <w:p w14:paraId="7126B510" w14:textId="606376BD" w:rsidR="005B42E4" w:rsidRPr="00C12279" w:rsidRDefault="0095507D" w:rsidP="008B18C7">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A sample of the documents used in the consignment of the vehicles from the intermediary to the appellant were captured on pp 14 to 38 of exh 2</w:t>
      </w:r>
      <w:r w:rsidR="00735A26" w:rsidRPr="00C12279">
        <w:rPr>
          <w:rFonts w:ascii="Times New Roman" w:hAnsi="Times New Roman" w:cs="Times New Roman"/>
          <w:sz w:val="24"/>
          <w:szCs w:val="24"/>
        </w:rPr>
        <w:t xml:space="preserve"> and pp 1</w:t>
      </w:r>
      <w:r w:rsidR="008B18C7">
        <w:rPr>
          <w:rFonts w:ascii="Times New Roman" w:hAnsi="Times New Roman" w:cs="Times New Roman"/>
          <w:sz w:val="24"/>
          <w:szCs w:val="24"/>
        </w:rPr>
        <w:t xml:space="preserve"> </w:t>
      </w:r>
      <w:r w:rsidR="00735A26" w:rsidRPr="00C12279">
        <w:rPr>
          <w:rFonts w:ascii="Times New Roman" w:hAnsi="Times New Roman" w:cs="Times New Roman"/>
          <w:sz w:val="24"/>
          <w:szCs w:val="24"/>
        </w:rPr>
        <w:t>to 9 of exh 5</w:t>
      </w:r>
      <w:r w:rsidRPr="00C12279">
        <w:rPr>
          <w:rFonts w:ascii="Times New Roman" w:hAnsi="Times New Roman" w:cs="Times New Roman"/>
          <w:sz w:val="24"/>
          <w:szCs w:val="24"/>
        </w:rPr>
        <w:t>.  These were commercial invoices, telegraphic transfers and Zimra certificates of origin, bills of entry and customs clearance certificates. These commercial invoices</w:t>
      </w:r>
      <w:r w:rsidR="00F4319B" w:rsidRPr="00C12279">
        <w:rPr>
          <w:rStyle w:val="FootnoteReference"/>
          <w:rFonts w:ascii="Times New Roman" w:hAnsi="Times New Roman" w:cs="Times New Roman"/>
          <w:sz w:val="24"/>
          <w:szCs w:val="24"/>
        </w:rPr>
        <w:footnoteReference w:id="17"/>
      </w:r>
      <w:r w:rsidR="00276C86">
        <w:rPr>
          <w:rFonts w:ascii="Times New Roman" w:hAnsi="Times New Roman" w:cs="Times New Roman"/>
          <w:sz w:val="24"/>
          <w:szCs w:val="24"/>
        </w:rPr>
        <w:t xml:space="preserve"> denot</w:t>
      </w:r>
      <w:r w:rsidRPr="00C12279">
        <w:rPr>
          <w:rFonts w:ascii="Times New Roman" w:hAnsi="Times New Roman" w:cs="Times New Roman"/>
          <w:sz w:val="24"/>
          <w:szCs w:val="24"/>
        </w:rPr>
        <w:t>ed the intermediary as the supplier</w:t>
      </w:r>
      <w:r w:rsidR="0049518A" w:rsidRPr="00C12279">
        <w:rPr>
          <w:rFonts w:ascii="Times New Roman" w:hAnsi="Times New Roman" w:cs="Times New Roman"/>
          <w:sz w:val="24"/>
          <w:szCs w:val="24"/>
        </w:rPr>
        <w:t xml:space="preserve"> and the appellant as the purchaser and consignee. The vehicles were fully described by model, chassis and engine number, colour and year of manufacture. The order number, dates of issue and delivery, method of shipment, origin and destination together with the terms of payment</w:t>
      </w:r>
      <w:r w:rsidR="005A24F6" w:rsidRPr="00C12279">
        <w:rPr>
          <w:rFonts w:ascii="Times New Roman" w:hAnsi="Times New Roman" w:cs="Times New Roman"/>
          <w:sz w:val="24"/>
          <w:szCs w:val="24"/>
        </w:rPr>
        <w:t>, the free on board purchase price, the cost of freight, insurance and total CIF price,  denominated in United States dollars were also indicated.</w:t>
      </w:r>
      <w:r w:rsidR="002A6538" w:rsidRPr="00C12279">
        <w:rPr>
          <w:rFonts w:ascii="Times New Roman" w:hAnsi="Times New Roman" w:cs="Times New Roman"/>
          <w:sz w:val="24"/>
          <w:szCs w:val="24"/>
        </w:rPr>
        <w:t xml:space="preserve"> The certificates of origin</w:t>
      </w:r>
      <w:r w:rsidR="002A6538" w:rsidRPr="00C12279">
        <w:rPr>
          <w:rStyle w:val="FootnoteReference"/>
          <w:rFonts w:ascii="Times New Roman" w:hAnsi="Times New Roman" w:cs="Times New Roman"/>
          <w:sz w:val="24"/>
          <w:szCs w:val="24"/>
        </w:rPr>
        <w:footnoteReference w:id="18"/>
      </w:r>
      <w:r w:rsidR="002A6538" w:rsidRPr="00C12279">
        <w:rPr>
          <w:rFonts w:ascii="Times New Roman" w:hAnsi="Times New Roman" w:cs="Times New Roman"/>
          <w:sz w:val="24"/>
          <w:szCs w:val="24"/>
        </w:rPr>
        <w:t xml:space="preserve"> certified that each vehicle was manufactured by the supplier in South Africa and </w:t>
      </w:r>
      <w:r w:rsidR="000100AF" w:rsidRPr="00C12279">
        <w:rPr>
          <w:rFonts w:ascii="Times New Roman" w:hAnsi="Times New Roman" w:cs="Times New Roman"/>
          <w:sz w:val="24"/>
          <w:szCs w:val="24"/>
        </w:rPr>
        <w:t xml:space="preserve">bore the same information </w:t>
      </w:r>
      <w:r w:rsidR="002A6538" w:rsidRPr="00C12279">
        <w:rPr>
          <w:rFonts w:ascii="Times New Roman" w:hAnsi="Times New Roman" w:cs="Times New Roman"/>
          <w:sz w:val="24"/>
          <w:szCs w:val="24"/>
        </w:rPr>
        <w:t xml:space="preserve">contained </w:t>
      </w:r>
      <w:r w:rsidR="000100AF" w:rsidRPr="00C12279">
        <w:rPr>
          <w:rFonts w:ascii="Times New Roman" w:hAnsi="Times New Roman" w:cs="Times New Roman"/>
          <w:sz w:val="24"/>
          <w:szCs w:val="24"/>
        </w:rPr>
        <w:t xml:space="preserve">in the commercial invoice in regards to the supplier, consignee and description of the vehicle. </w:t>
      </w:r>
      <w:r w:rsidR="00091E9A" w:rsidRPr="00C12279">
        <w:rPr>
          <w:rFonts w:ascii="Times New Roman" w:hAnsi="Times New Roman" w:cs="Times New Roman"/>
          <w:sz w:val="24"/>
          <w:szCs w:val="24"/>
        </w:rPr>
        <w:t xml:space="preserve"> </w:t>
      </w:r>
    </w:p>
    <w:p w14:paraId="6290C51F" w14:textId="74FD29C9" w:rsidR="00091E9A" w:rsidRPr="00C12279" w:rsidRDefault="00091E9A" w:rsidP="008B18C7">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bills of entry</w:t>
      </w:r>
      <w:r w:rsidRPr="00C12279">
        <w:rPr>
          <w:rStyle w:val="FootnoteReference"/>
          <w:rFonts w:ascii="Times New Roman" w:hAnsi="Times New Roman" w:cs="Times New Roman"/>
          <w:sz w:val="24"/>
          <w:szCs w:val="24"/>
        </w:rPr>
        <w:footnoteReference w:id="19"/>
      </w:r>
      <w:r w:rsidRPr="00C12279">
        <w:rPr>
          <w:rFonts w:ascii="Times New Roman" w:hAnsi="Times New Roman" w:cs="Times New Roman"/>
          <w:sz w:val="24"/>
          <w:szCs w:val="24"/>
        </w:rPr>
        <w:t xml:space="preserve"> were completed by the clearing agent and identified the intermediary as the exporter or consignor. They identified the country of supply and destination, the description and total invoice value of each vehicle separately from the freight and insurance charges. The customs clearance certificates</w:t>
      </w:r>
      <w:r w:rsidRPr="00C12279">
        <w:rPr>
          <w:rStyle w:val="FootnoteReference"/>
          <w:rFonts w:ascii="Times New Roman" w:hAnsi="Times New Roman" w:cs="Times New Roman"/>
          <w:sz w:val="24"/>
          <w:szCs w:val="24"/>
        </w:rPr>
        <w:footnoteReference w:id="20"/>
      </w:r>
      <w:r w:rsidRPr="00C12279">
        <w:rPr>
          <w:rFonts w:ascii="Times New Roman" w:hAnsi="Times New Roman" w:cs="Times New Roman"/>
          <w:sz w:val="24"/>
          <w:szCs w:val="24"/>
        </w:rPr>
        <w:t xml:space="preserve"> for each vehicle were issued by Zimra. They contained the full description of the vehicle shown in the commercial invoice. </w:t>
      </w:r>
      <w:r w:rsidRPr="00C12279">
        <w:rPr>
          <w:rFonts w:ascii="Times New Roman" w:hAnsi="Times New Roman" w:cs="Times New Roman"/>
          <w:sz w:val="24"/>
          <w:szCs w:val="24"/>
        </w:rPr>
        <w:lastRenderedPageBreak/>
        <w:t>The cost, freight and insurance price for each vehicle sold was captured in a combined invoice</w:t>
      </w:r>
      <w:r w:rsidRPr="00C12279">
        <w:rPr>
          <w:rStyle w:val="FootnoteReference"/>
          <w:rFonts w:ascii="Times New Roman" w:hAnsi="Times New Roman" w:cs="Times New Roman"/>
          <w:sz w:val="24"/>
          <w:szCs w:val="24"/>
        </w:rPr>
        <w:footnoteReference w:id="21"/>
      </w:r>
      <w:r w:rsidRPr="00C12279">
        <w:rPr>
          <w:rFonts w:ascii="Times New Roman" w:hAnsi="Times New Roman" w:cs="Times New Roman"/>
          <w:sz w:val="24"/>
          <w:szCs w:val="24"/>
        </w:rPr>
        <w:t xml:space="preserve"> issued by the intermediary to the appellant, which the appellant submitted to its bankers with instructions to pay the intermediary by telegraphic transfer</w:t>
      </w:r>
      <w:r w:rsidRPr="00C12279">
        <w:rPr>
          <w:rStyle w:val="FootnoteReference"/>
          <w:rFonts w:ascii="Times New Roman" w:hAnsi="Times New Roman" w:cs="Times New Roman"/>
          <w:sz w:val="24"/>
          <w:szCs w:val="24"/>
        </w:rPr>
        <w:footnoteReference w:id="22"/>
      </w:r>
      <w:r w:rsidRPr="00C12279">
        <w:rPr>
          <w:rFonts w:ascii="Times New Roman" w:hAnsi="Times New Roman" w:cs="Times New Roman"/>
          <w:sz w:val="24"/>
          <w:szCs w:val="24"/>
        </w:rPr>
        <w:t>.  The sequence of dates on these documents showed that an advance payment by telegraphic transfer was made on 12 February 2007, the certificate of origin was presented on 15 April 2007 while the commercial invoice was issued on 24 April 2007 and the vehicle was cleared by a bill of entry at the port of entry on 9 May 2007. Thereafter a customs clearance certificate was issued on 19 June 2007.</w:t>
      </w:r>
    </w:p>
    <w:p w14:paraId="4F1B5E5B" w14:textId="00B4FB3E" w:rsidR="006060E7" w:rsidRPr="00C12279" w:rsidRDefault="006060E7" w:rsidP="008B18C7">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It was com</w:t>
      </w:r>
      <w:r w:rsidR="000A0975" w:rsidRPr="00C12279">
        <w:rPr>
          <w:rFonts w:ascii="Times New Roman" w:hAnsi="Times New Roman" w:cs="Times New Roman"/>
          <w:sz w:val="24"/>
          <w:szCs w:val="24"/>
        </w:rPr>
        <w:t>mon ground that t</w:t>
      </w:r>
      <w:r w:rsidRPr="00C12279">
        <w:rPr>
          <w:rFonts w:ascii="Times New Roman" w:hAnsi="Times New Roman" w:cs="Times New Roman"/>
          <w:sz w:val="24"/>
          <w:szCs w:val="24"/>
        </w:rPr>
        <w:t>he</w:t>
      </w:r>
      <w:r w:rsidR="00F82E4E" w:rsidRPr="00C12279">
        <w:rPr>
          <w:rFonts w:ascii="Times New Roman" w:hAnsi="Times New Roman" w:cs="Times New Roman"/>
          <w:sz w:val="24"/>
          <w:szCs w:val="24"/>
        </w:rPr>
        <w:t xml:space="preserve"> intermediary’s consignment was delivered to Zimbabwe and warehoused by the appellant in bond. </w:t>
      </w:r>
      <w:r w:rsidR="00771299" w:rsidRPr="00C12279">
        <w:rPr>
          <w:rFonts w:ascii="Times New Roman" w:hAnsi="Times New Roman" w:cs="Times New Roman"/>
          <w:sz w:val="24"/>
          <w:szCs w:val="24"/>
        </w:rPr>
        <w:t>It was common cause that the appel</w:t>
      </w:r>
      <w:r w:rsidR="00F82E4E" w:rsidRPr="00C12279">
        <w:rPr>
          <w:rFonts w:ascii="Times New Roman" w:hAnsi="Times New Roman" w:cs="Times New Roman"/>
          <w:sz w:val="24"/>
          <w:szCs w:val="24"/>
        </w:rPr>
        <w:t>lant did not suffer any exposure to foreign currency risk or credit</w:t>
      </w:r>
      <w:r w:rsidR="00771299" w:rsidRPr="00C12279">
        <w:rPr>
          <w:rFonts w:ascii="Times New Roman" w:hAnsi="Times New Roman" w:cs="Times New Roman"/>
          <w:sz w:val="24"/>
          <w:szCs w:val="24"/>
        </w:rPr>
        <w:t xml:space="preserve"> risk since </w:t>
      </w:r>
      <w:r w:rsidR="004E5640" w:rsidRPr="00C12279">
        <w:rPr>
          <w:rFonts w:ascii="Times New Roman" w:hAnsi="Times New Roman" w:cs="Times New Roman"/>
          <w:sz w:val="24"/>
          <w:szCs w:val="24"/>
        </w:rPr>
        <w:t xml:space="preserve">the </w:t>
      </w:r>
      <w:r w:rsidR="00771299" w:rsidRPr="00C12279">
        <w:rPr>
          <w:rFonts w:ascii="Times New Roman" w:hAnsi="Times New Roman" w:cs="Times New Roman"/>
          <w:sz w:val="24"/>
          <w:szCs w:val="24"/>
        </w:rPr>
        <w:t xml:space="preserve">end users </w:t>
      </w:r>
      <w:r w:rsidR="004E5640" w:rsidRPr="00C12279">
        <w:rPr>
          <w:rFonts w:ascii="Times New Roman" w:hAnsi="Times New Roman" w:cs="Times New Roman"/>
          <w:sz w:val="24"/>
          <w:szCs w:val="24"/>
        </w:rPr>
        <w:t>were required to make payment</w:t>
      </w:r>
      <w:r w:rsidR="00771299" w:rsidRPr="00C12279">
        <w:rPr>
          <w:rFonts w:ascii="Times New Roman" w:hAnsi="Times New Roman" w:cs="Times New Roman"/>
          <w:sz w:val="24"/>
          <w:szCs w:val="24"/>
        </w:rPr>
        <w:t xml:space="preserve"> before the relevant vehicle</w:t>
      </w:r>
      <w:r w:rsidR="003907C3" w:rsidRPr="00C12279">
        <w:rPr>
          <w:rFonts w:ascii="Times New Roman" w:hAnsi="Times New Roman" w:cs="Times New Roman"/>
          <w:sz w:val="24"/>
          <w:szCs w:val="24"/>
        </w:rPr>
        <w:t>s were</w:t>
      </w:r>
      <w:r w:rsidR="00771299" w:rsidRPr="00C12279">
        <w:rPr>
          <w:rFonts w:ascii="Times New Roman" w:hAnsi="Times New Roman" w:cs="Times New Roman"/>
          <w:sz w:val="24"/>
          <w:szCs w:val="24"/>
        </w:rPr>
        <w:t xml:space="preserve"> dispatched from South Africa</w:t>
      </w:r>
      <w:r w:rsidR="003907C3" w:rsidRPr="00C12279">
        <w:rPr>
          <w:rStyle w:val="FootnoteReference"/>
          <w:rFonts w:ascii="Times New Roman" w:hAnsi="Times New Roman" w:cs="Times New Roman"/>
          <w:sz w:val="24"/>
          <w:szCs w:val="24"/>
        </w:rPr>
        <w:footnoteReference w:id="23"/>
      </w:r>
      <w:r w:rsidR="00A50B44" w:rsidRPr="00C12279">
        <w:rPr>
          <w:rFonts w:ascii="Times New Roman" w:hAnsi="Times New Roman" w:cs="Times New Roman"/>
          <w:sz w:val="24"/>
          <w:szCs w:val="24"/>
        </w:rPr>
        <w:t xml:space="preserve"> in 2009 and 2010</w:t>
      </w:r>
      <w:r w:rsidR="003907C3" w:rsidRPr="00C12279">
        <w:rPr>
          <w:rFonts w:ascii="Times New Roman" w:hAnsi="Times New Roman" w:cs="Times New Roman"/>
          <w:sz w:val="24"/>
          <w:szCs w:val="24"/>
        </w:rPr>
        <w:t xml:space="preserve">. </w:t>
      </w:r>
      <w:r w:rsidR="00A50B44" w:rsidRPr="00C12279">
        <w:rPr>
          <w:rFonts w:ascii="Times New Roman" w:hAnsi="Times New Roman" w:cs="Times New Roman"/>
          <w:sz w:val="24"/>
          <w:szCs w:val="24"/>
        </w:rPr>
        <w:t>However in 2011 and 2012 the appellant was exposed to foreign currency risk through the importation of inventory, the liability of which was settled in South Africa</w:t>
      </w:r>
      <w:r w:rsidR="00056DF8" w:rsidRPr="00C12279">
        <w:rPr>
          <w:rFonts w:ascii="Times New Roman" w:hAnsi="Times New Roman" w:cs="Times New Roman"/>
          <w:sz w:val="24"/>
          <w:szCs w:val="24"/>
        </w:rPr>
        <w:t xml:space="preserve"> in a carrying amount of US$264 729 and US$294 956 respectively</w:t>
      </w:r>
      <w:r w:rsidR="00056DF8" w:rsidRPr="00C12279">
        <w:rPr>
          <w:rStyle w:val="FootnoteReference"/>
          <w:rFonts w:ascii="Times New Roman" w:hAnsi="Times New Roman" w:cs="Times New Roman"/>
          <w:sz w:val="24"/>
          <w:szCs w:val="24"/>
        </w:rPr>
        <w:footnoteReference w:id="24"/>
      </w:r>
      <w:r w:rsidR="00056DF8" w:rsidRPr="00C12279">
        <w:rPr>
          <w:rFonts w:ascii="Times New Roman" w:hAnsi="Times New Roman" w:cs="Times New Roman"/>
          <w:sz w:val="24"/>
          <w:szCs w:val="24"/>
        </w:rPr>
        <w:t>.</w:t>
      </w:r>
      <w:r w:rsidR="00A50B44" w:rsidRPr="00C12279">
        <w:rPr>
          <w:rFonts w:ascii="Times New Roman" w:hAnsi="Times New Roman" w:cs="Times New Roman"/>
          <w:sz w:val="24"/>
          <w:szCs w:val="24"/>
        </w:rPr>
        <w:t xml:space="preserve"> </w:t>
      </w:r>
      <w:r w:rsidR="004E5640" w:rsidRPr="00C12279">
        <w:rPr>
          <w:rFonts w:ascii="Times New Roman" w:hAnsi="Times New Roman" w:cs="Times New Roman"/>
          <w:sz w:val="24"/>
          <w:szCs w:val="24"/>
        </w:rPr>
        <w:t xml:space="preserve">It </w:t>
      </w:r>
      <w:r w:rsidR="00C301CB" w:rsidRPr="00C12279">
        <w:rPr>
          <w:rFonts w:ascii="Times New Roman" w:hAnsi="Times New Roman" w:cs="Times New Roman"/>
          <w:sz w:val="24"/>
          <w:szCs w:val="24"/>
        </w:rPr>
        <w:t>was common</w:t>
      </w:r>
      <w:r w:rsidR="004E5640" w:rsidRPr="00C12279">
        <w:rPr>
          <w:rFonts w:ascii="Times New Roman" w:hAnsi="Times New Roman" w:cs="Times New Roman"/>
          <w:sz w:val="24"/>
          <w:szCs w:val="24"/>
        </w:rPr>
        <w:t xml:space="preserve"> ground </w:t>
      </w:r>
      <w:r w:rsidR="00771299" w:rsidRPr="00C12279">
        <w:rPr>
          <w:rFonts w:ascii="Times New Roman" w:hAnsi="Times New Roman" w:cs="Times New Roman"/>
          <w:sz w:val="24"/>
          <w:szCs w:val="24"/>
        </w:rPr>
        <w:t>that the appellant received vehicle prepayments in the sum of US$2 064 187.00</w:t>
      </w:r>
      <w:r w:rsidR="00AA51E8" w:rsidRPr="00C12279">
        <w:rPr>
          <w:rFonts w:ascii="Times New Roman" w:hAnsi="Times New Roman" w:cs="Times New Roman"/>
          <w:sz w:val="24"/>
          <w:szCs w:val="24"/>
        </w:rPr>
        <w:t xml:space="preserve"> 4</w:t>
      </w:r>
      <w:r w:rsidR="00C301CB" w:rsidRPr="00C12279">
        <w:rPr>
          <w:rStyle w:val="FootnoteReference"/>
          <w:rFonts w:ascii="Times New Roman" w:hAnsi="Times New Roman" w:cs="Times New Roman"/>
          <w:sz w:val="24"/>
          <w:szCs w:val="24"/>
        </w:rPr>
        <w:footnoteReference w:id="25"/>
      </w:r>
      <w:r w:rsidR="003A2141" w:rsidRPr="00C12279">
        <w:rPr>
          <w:rFonts w:ascii="Times New Roman" w:hAnsi="Times New Roman" w:cs="Times New Roman"/>
          <w:sz w:val="24"/>
          <w:szCs w:val="24"/>
        </w:rPr>
        <w:t xml:space="preserve"> in 2010 that was </w:t>
      </w:r>
      <w:r w:rsidR="00FA601C" w:rsidRPr="00C12279">
        <w:rPr>
          <w:rFonts w:ascii="Times New Roman" w:hAnsi="Times New Roman" w:cs="Times New Roman"/>
          <w:sz w:val="24"/>
          <w:szCs w:val="24"/>
        </w:rPr>
        <w:t>subsequently</w:t>
      </w:r>
      <w:r w:rsidR="00AA51E8" w:rsidRPr="00C12279">
        <w:rPr>
          <w:rFonts w:ascii="Times New Roman" w:hAnsi="Times New Roman" w:cs="Times New Roman"/>
          <w:sz w:val="24"/>
          <w:szCs w:val="24"/>
        </w:rPr>
        <w:t xml:space="preserve"> </w:t>
      </w:r>
      <w:r w:rsidR="003A2141" w:rsidRPr="00C12279">
        <w:rPr>
          <w:rFonts w:ascii="Times New Roman" w:hAnsi="Times New Roman" w:cs="Times New Roman"/>
          <w:sz w:val="24"/>
          <w:szCs w:val="24"/>
        </w:rPr>
        <w:t xml:space="preserve">revised to US$ 4 693 512 </w:t>
      </w:r>
      <w:r w:rsidR="00C301CB" w:rsidRPr="00C12279">
        <w:rPr>
          <w:rStyle w:val="FootnoteReference"/>
          <w:rFonts w:ascii="Times New Roman" w:hAnsi="Times New Roman" w:cs="Times New Roman"/>
          <w:sz w:val="24"/>
          <w:szCs w:val="24"/>
        </w:rPr>
        <w:footnoteReference w:id="26"/>
      </w:r>
      <w:r w:rsidR="00AA51E8" w:rsidRPr="00C12279">
        <w:rPr>
          <w:rFonts w:ascii="Times New Roman" w:hAnsi="Times New Roman" w:cs="Times New Roman"/>
          <w:sz w:val="24"/>
          <w:szCs w:val="24"/>
        </w:rPr>
        <w:t xml:space="preserve"> </w:t>
      </w:r>
      <w:r w:rsidR="003A2141" w:rsidRPr="00C12279">
        <w:rPr>
          <w:rFonts w:ascii="Times New Roman" w:hAnsi="Times New Roman" w:cs="Times New Roman"/>
          <w:sz w:val="24"/>
          <w:szCs w:val="24"/>
        </w:rPr>
        <w:t xml:space="preserve">in the 2011 </w:t>
      </w:r>
      <w:r w:rsidR="00FA601C" w:rsidRPr="00C12279">
        <w:rPr>
          <w:rFonts w:ascii="Times New Roman" w:hAnsi="Times New Roman" w:cs="Times New Roman"/>
          <w:sz w:val="24"/>
          <w:szCs w:val="24"/>
        </w:rPr>
        <w:t>financial</w:t>
      </w:r>
      <w:r w:rsidR="003A2141" w:rsidRPr="00C12279">
        <w:rPr>
          <w:rFonts w:ascii="Times New Roman" w:hAnsi="Times New Roman" w:cs="Times New Roman"/>
          <w:sz w:val="24"/>
          <w:szCs w:val="24"/>
        </w:rPr>
        <w:t xml:space="preserve"> statements</w:t>
      </w:r>
      <w:r w:rsidR="00771299" w:rsidRPr="00C12279">
        <w:rPr>
          <w:rFonts w:ascii="Times New Roman" w:hAnsi="Times New Roman" w:cs="Times New Roman"/>
          <w:sz w:val="24"/>
          <w:szCs w:val="24"/>
        </w:rPr>
        <w:t>, US$</w:t>
      </w:r>
      <w:r w:rsidR="00AA51E8" w:rsidRPr="00C12279">
        <w:rPr>
          <w:rFonts w:ascii="Times New Roman" w:hAnsi="Times New Roman" w:cs="Times New Roman"/>
          <w:sz w:val="24"/>
          <w:szCs w:val="24"/>
        </w:rPr>
        <w:t xml:space="preserve"> 3 086 165</w:t>
      </w:r>
      <w:r w:rsidR="00771299" w:rsidRPr="00C12279">
        <w:rPr>
          <w:rFonts w:ascii="Times New Roman" w:hAnsi="Times New Roman" w:cs="Times New Roman"/>
          <w:sz w:val="24"/>
          <w:szCs w:val="24"/>
        </w:rPr>
        <w:t xml:space="preserve"> </w:t>
      </w:r>
      <w:r w:rsidR="00AA51E8" w:rsidRPr="00C12279">
        <w:rPr>
          <w:rFonts w:ascii="Times New Roman" w:hAnsi="Times New Roman" w:cs="Times New Roman"/>
          <w:sz w:val="24"/>
          <w:szCs w:val="24"/>
        </w:rPr>
        <w:t>in 2011</w:t>
      </w:r>
      <w:r w:rsidR="003A2141" w:rsidRPr="00C12279">
        <w:rPr>
          <w:rStyle w:val="FootnoteReference"/>
          <w:rFonts w:ascii="Times New Roman" w:hAnsi="Times New Roman" w:cs="Times New Roman"/>
          <w:sz w:val="24"/>
          <w:szCs w:val="24"/>
        </w:rPr>
        <w:footnoteReference w:id="27"/>
      </w:r>
      <w:r w:rsidR="00AA51E8" w:rsidRPr="00C12279">
        <w:rPr>
          <w:rFonts w:ascii="Times New Roman" w:hAnsi="Times New Roman" w:cs="Times New Roman"/>
          <w:sz w:val="24"/>
          <w:szCs w:val="24"/>
        </w:rPr>
        <w:t xml:space="preserve">  and US$ 755 673</w:t>
      </w:r>
      <w:r w:rsidR="004A2C28" w:rsidRPr="00C12279">
        <w:rPr>
          <w:rStyle w:val="FootnoteReference"/>
          <w:rFonts w:ascii="Times New Roman" w:hAnsi="Times New Roman" w:cs="Times New Roman"/>
          <w:sz w:val="24"/>
          <w:szCs w:val="24"/>
        </w:rPr>
        <w:footnoteReference w:id="28"/>
      </w:r>
      <w:r w:rsidR="004A2C28" w:rsidRPr="00C12279">
        <w:rPr>
          <w:rFonts w:ascii="Times New Roman" w:hAnsi="Times New Roman" w:cs="Times New Roman"/>
          <w:sz w:val="24"/>
          <w:szCs w:val="24"/>
        </w:rPr>
        <w:t xml:space="preserve"> </w:t>
      </w:r>
      <w:r w:rsidR="001F118A" w:rsidRPr="00C12279">
        <w:rPr>
          <w:rFonts w:ascii="Times New Roman" w:hAnsi="Times New Roman" w:cs="Times New Roman"/>
          <w:sz w:val="24"/>
          <w:szCs w:val="24"/>
        </w:rPr>
        <w:t>in 2012.</w:t>
      </w:r>
    </w:p>
    <w:p w14:paraId="79067497" w14:textId="77777777" w:rsidR="00005451" w:rsidRPr="00C12279" w:rsidRDefault="00005451" w:rsidP="008409E8">
      <w:pPr>
        <w:jc w:val="both"/>
        <w:rPr>
          <w:rFonts w:ascii="Times New Roman" w:hAnsi="Times New Roman" w:cs="Times New Roman"/>
          <w:i/>
          <w:sz w:val="24"/>
          <w:szCs w:val="24"/>
        </w:rPr>
      </w:pPr>
      <w:r w:rsidRPr="00C12279">
        <w:rPr>
          <w:rFonts w:ascii="Times New Roman" w:hAnsi="Times New Roman" w:cs="Times New Roman"/>
          <w:i/>
          <w:sz w:val="24"/>
          <w:szCs w:val="24"/>
        </w:rPr>
        <w:t>Summary of the tripartite arrangement</w:t>
      </w:r>
    </w:p>
    <w:p w14:paraId="07B3CFA0" w14:textId="751B3B4F" w:rsidR="004405BB" w:rsidRPr="00C12279" w:rsidRDefault="00005451" w:rsidP="008B18C7">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nature and scope of the tripartite arrangement between the parties was concisely set out by Mr </w:t>
      </w:r>
      <w:r w:rsidRPr="00C12279">
        <w:rPr>
          <w:rFonts w:ascii="Times New Roman" w:hAnsi="Times New Roman" w:cs="Times New Roman"/>
          <w:i/>
          <w:sz w:val="24"/>
          <w:szCs w:val="24"/>
        </w:rPr>
        <w:t>Magwaliba</w:t>
      </w:r>
      <w:r w:rsidRPr="00C12279">
        <w:rPr>
          <w:rFonts w:ascii="Times New Roman" w:hAnsi="Times New Roman" w:cs="Times New Roman"/>
          <w:sz w:val="24"/>
          <w:szCs w:val="24"/>
        </w:rPr>
        <w:t xml:space="preserve"> in para 5 of his written heads of argument.  </w:t>
      </w:r>
      <w:r w:rsidR="00330BC7" w:rsidRPr="00C12279">
        <w:rPr>
          <w:rFonts w:ascii="Times New Roman" w:hAnsi="Times New Roman" w:cs="Times New Roman"/>
          <w:sz w:val="24"/>
          <w:szCs w:val="24"/>
        </w:rPr>
        <w:t xml:space="preserve">A customer placed an order to the appellant through an approved dealer appointed by the appellant. </w:t>
      </w:r>
      <w:r w:rsidRPr="00C12279">
        <w:rPr>
          <w:rFonts w:ascii="Times New Roman" w:hAnsi="Times New Roman" w:cs="Times New Roman"/>
          <w:sz w:val="24"/>
          <w:szCs w:val="24"/>
        </w:rPr>
        <w:t xml:space="preserve">The appellant placed orders with the intermediary, which in turn procured </w:t>
      </w:r>
      <w:r w:rsidR="00330BC7" w:rsidRPr="00C12279">
        <w:rPr>
          <w:rFonts w:ascii="Times New Roman" w:hAnsi="Times New Roman" w:cs="Times New Roman"/>
          <w:sz w:val="24"/>
          <w:szCs w:val="24"/>
        </w:rPr>
        <w:t xml:space="preserve">the </w:t>
      </w:r>
      <w:r w:rsidRPr="00C12279">
        <w:rPr>
          <w:rFonts w:ascii="Times New Roman" w:hAnsi="Times New Roman" w:cs="Times New Roman"/>
          <w:sz w:val="24"/>
          <w:szCs w:val="24"/>
        </w:rPr>
        <w:t xml:space="preserve">motor vehicles from the conglomerate. </w:t>
      </w:r>
      <w:r w:rsidR="00565833" w:rsidRPr="00C12279">
        <w:rPr>
          <w:rFonts w:ascii="Times New Roman" w:hAnsi="Times New Roman" w:cs="Times New Roman"/>
          <w:sz w:val="24"/>
          <w:szCs w:val="24"/>
        </w:rPr>
        <w:t>The appellant received the motor vehicles in</w:t>
      </w:r>
      <w:r w:rsidR="00330BC7" w:rsidRPr="00C12279">
        <w:rPr>
          <w:rFonts w:ascii="Times New Roman" w:hAnsi="Times New Roman" w:cs="Times New Roman"/>
          <w:sz w:val="24"/>
          <w:szCs w:val="24"/>
        </w:rPr>
        <w:t xml:space="preserve"> Zimbabwe and kept them in a bonded warehouse. Ownership of the motor vehicles remained with the intermediary until </w:t>
      </w:r>
      <w:r w:rsidR="00330BC7" w:rsidRPr="00C12279">
        <w:rPr>
          <w:rFonts w:ascii="Times New Roman" w:hAnsi="Times New Roman" w:cs="Times New Roman"/>
          <w:sz w:val="24"/>
          <w:szCs w:val="24"/>
        </w:rPr>
        <w:lastRenderedPageBreak/>
        <w:t>duty had been paid</w:t>
      </w:r>
      <w:r w:rsidR="00565833" w:rsidRPr="00C12279">
        <w:rPr>
          <w:rFonts w:ascii="Times New Roman" w:hAnsi="Times New Roman" w:cs="Times New Roman"/>
          <w:sz w:val="24"/>
          <w:szCs w:val="24"/>
        </w:rPr>
        <w:t xml:space="preserve"> by the appellant</w:t>
      </w:r>
      <w:r w:rsidR="00330BC7" w:rsidRPr="00C12279">
        <w:rPr>
          <w:rFonts w:ascii="Times New Roman" w:hAnsi="Times New Roman" w:cs="Times New Roman"/>
          <w:sz w:val="24"/>
          <w:szCs w:val="24"/>
        </w:rPr>
        <w:t>. The purchase of a motor vehicle by a customer resulted in the payment of duty to the respondent by the appellant before the vehicle was released to the customer. The intermediary was paid the transaction value of the motor vehicle</w:t>
      </w:r>
      <w:r w:rsidR="00565833" w:rsidRPr="00C12279">
        <w:rPr>
          <w:rFonts w:ascii="Times New Roman" w:hAnsi="Times New Roman" w:cs="Times New Roman"/>
          <w:sz w:val="24"/>
          <w:szCs w:val="24"/>
        </w:rPr>
        <w:t>, which according to the letter of the appellant to the respondent of 8 August 2007 included a 5% administration charge and interest of the selling price on the price list</w:t>
      </w:r>
      <w:r w:rsidR="00565833" w:rsidRPr="00C12279">
        <w:rPr>
          <w:rStyle w:val="FootnoteReference"/>
          <w:rFonts w:ascii="Times New Roman" w:hAnsi="Times New Roman" w:cs="Times New Roman"/>
          <w:sz w:val="24"/>
          <w:szCs w:val="24"/>
        </w:rPr>
        <w:footnoteReference w:id="29"/>
      </w:r>
      <w:r w:rsidR="00565833" w:rsidRPr="00C12279">
        <w:rPr>
          <w:rFonts w:ascii="Times New Roman" w:hAnsi="Times New Roman" w:cs="Times New Roman"/>
          <w:sz w:val="24"/>
          <w:szCs w:val="24"/>
        </w:rPr>
        <w:t>, in which was incorporated</w:t>
      </w:r>
      <w:r w:rsidR="00330BC7" w:rsidRPr="00C12279">
        <w:rPr>
          <w:rFonts w:ascii="Times New Roman" w:hAnsi="Times New Roman" w:cs="Times New Roman"/>
          <w:sz w:val="24"/>
          <w:szCs w:val="24"/>
        </w:rPr>
        <w:t xml:space="preserve"> its mark-up</w:t>
      </w:r>
      <w:r w:rsidR="004405BB" w:rsidRPr="00C12279">
        <w:rPr>
          <w:rFonts w:ascii="Times New Roman" w:hAnsi="Times New Roman" w:cs="Times New Roman"/>
          <w:sz w:val="24"/>
          <w:szCs w:val="24"/>
        </w:rPr>
        <w:t xml:space="preserve"> of between 7.5% and 10%</w:t>
      </w:r>
      <w:r w:rsidR="00565833" w:rsidRPr="00C12279">
        <w:rPr>
          <w:rFonts w:ascii="Times New Roman" w:hAnsi="Times New Roman" w:cs="Times New Roman"/>
          <w:sz w:val="24"/>
          <w:szCs w:val="24"/>
        </w:rPr>
        <w:t xml:space="preserve">. </w:t>
      </w:r>
      <w:r w:rsidR="00330BC7" w:rsidRPr="00C12279">
        <w:rPr>
          <w:rFonts w:ascii="Times New Roman" w:hAnsi="Times New Roman" w:cs="Times New Roman"/>
          <w:sz w:val="24"/>
          <w:szCs w:val="24"/>
        </w:rPr>
        <w:t>The appellant was responsible for rentals, marketing expenses and payment of duty. It sold the vehicles to the dealers at a mark-up of 7.5%</w:t>
      </w:r>
      <w:r w:rsidR="004405BB" w:rsidRPr="00C12279">
        <w:rPr>
          <w:rFonts w:ascii="Times New Roman" w:hAnsi="Times New Roman" w:cs="Times New Roman"/>
          <w:sz w:val="24"/>
          <w:szCs w:val="24"/>
        </w:rPr>
        <w:t xml:space="preserve"> and the dealers sold the vehicle to the </w:t>
      </w:r>
      <w:r w:rsidR="00C208C1" w:rsidRPr="00C12279">
        <w:rPr>
          <w:rFonts w:ascii="Times New Roman" w:hAnsi="Times New Roman" w:cs="Times New Roman"/>
          <w:sz w:val="24"/>
          <w:szCs w:val="24"/>
        </w:rPr>
        <w:t xml:space="preserve">end </w:t>
      </w:r>
      <w:r w:rsidR="004405BB" w:rsidRPr="00C12279">
        <w:rPr>
          <w:rFonts w:ascii="Times New Roman" w:hAnsi="Times New Roman" w:cs="Times New Roman"/>
          <w:sz w:val="24"/>
          <w:szCs w:val="24"/>
        </w:rPr>
        <w:t>customer</w:t>
      </w:r>
      <w:r w:rsidR="00330BC7" w:rsidRPr="00C12279">
        <w:rPr>
          <w:rFonts w:ascii="Times New Roman" w:hAnsi="Times New Roman" w:cs="Times New Roman"/>
          <w:sz w:val="24"/>
          <w:szCs w:val="24"/>
        </w:rPr>
        <w:t xml:space="preserve">. </w:t>
      </w:r>
    </w:p>
    <w:p w14:paraId="21AE3044" w14:textId="77777777" w:rsidR="008A72C8" w:rsidRDefault="008A72C8" w:rsidP="008B18C7">
      <w:pPr>
        <w:spacing w:after="0"/>
        <w:jc w:val="both"/>
        <w:rPr>
          <w:rFonts w:ascii="Times New Roman" w:hAnsi="Times New Roman" w:cs="Times New Roman"/>
          <w:i/>
          <w:sz w:val="24"/>
          <w:szCs w:val="24"/>
        </w:rPr>
      </w:pPr>
    </w:p>
    <w:p w14:paraId="1830EFE4" w14:textId="77777777" w:rsidR="00617774" w:rsidRDefault="00617774" w:rsidP="008B18C7">
      <w:pPr>
        <w:spacing w:after="0"/>
        <w:jc w:val="both"/>
        <w:rPr>
          <w:rFonts w:ascii="Times New Roman" w:hAnsi="Times New Roman" w:cs="Times New Roman"/>
          <w:i/>
          <w:sz w:val="24"/>
          <w:szCs w:val="24"/>
        </w:rPr>
      </w:pPr>
      <w:r w:rsidRPr="00C12279">
        <w:rPr>
          <w:rFonts w:ascii="Times New Roman" w:hAnsi="Times New Roman" w:cs="Times New Roman"/>
          <w:i/>
          <w:sz w:val="24"/>
          <w:szCs w:val="24"/>
        </w:rPr>
        <w:t>Concessions made at the commencement of the appeal hearing</w:t>
      </w:r>
    </w:p>
    <w:p w14:paraId="7B3072F2" w14:textId="77777777" w:rsidR="00C97769" w:rsidRPr="00C12279" w:rsidRDefault="00C97769" w:rsidP="008B18C7">
      <w:pPr>
        <w:spacing w:after="0"/>
        <w:jc w:val="both"/>
        <w:rPr>
          <w:rFonts w:ascii="Times New Roman" w:hAnsi="Times New Roman" w:cs="Times New Roman"/>
          <w:i/>
          <w:sz w:val="24"/>
          <w:szCs w:val="24"/>
        </w:rPr>
      </w:pPr>
    </w:p>
    <w:p w14:paraId="659E3FBB" w14:textId="463143A2" w:rsidR="00C42665" w:rsidRPr="00C12279" w:rsidRDefault="008C796F" w:rsidP="008B18C7">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At the commencement of hearing, the appellant </w:t>
      </w:r>
      <w:r w:rsidR="00A945D4" w:rsidRPr="00C12279">
        <w:rPr>
          <w:rFonts w:ascii="Times New Roman" w:hAnsi="Times New Roman" w:cs="Times New Roman"/>
          <w:sz w:val="24"/>
          <w:szCs w:val="24"/>
        </w:rPr>
        <w:t xml:space="preserve">confirmed the concession first made in the letter of 19 June 2014 </w:t>
      </w:r>
      <w:r w:rsidRPr="00C12279">
        <w:rPr>
          <w:rFonts w:ascii="Times New Roman" w:hAnsi="Times New Roman" w:cs="Times New Roman"/>
          <w:sz w:val="24"/>
          <w:szCs w:val="24"/>
        </w:rPr>
        <w:t xml:space="preserve">that it was remiss in failing to charge </w:t>
      </w:r>
      <w:r w:rsidR="00F95D12" w:rsidRPr="00C12279">
        <w:rPr>
          <w:rFonts w:ascii="Times New Roman" w:hAnsi="Times New Roman" w:cs="Times New Roman"/>
          <w:sz w:val="24"/>
          <w:szCs w:val="24"/>
        </w:rPr>
        <w:t xml:space="preserve">the intermediary </w:t>
      </w:r>
      <w:r w:rsidR="003117B7" w:rsidRPr="00C12279">
        <w:rPr>
          <w:rFonts w:ascii="Times New Roman" w:hAnsi="Times New Roman" w:cs="Times New Roman"/>
          <w:sz w:val="24"/>
          <w:szCs w:val="24"/>
        </w:rPr>
        <w:t xml:space="preserve">a mark-up of 7% </w:t>
      </w:r>
      <w:r w:rsidR="00F95D12" w:rsidRPr="00C12279">
        <w:rPr>
          <w:rFonts w:ascii="Times New Roman" w:hAnsi="Times New Roman" w:cs="Times New Roman"/>
          <w:sz w:val="24"/>
          <w:szCs w:val="24"/>
        </w:rPr>
        <w:t>for transit services</w:t>
      </w:r>
      <w:r w:rsidR="00636E82" w:rsidRPr="00C12279">
        <w:rPr>
          <w:rFonts w:ascii="Times New Roman" w:hAnsi="Times New Roman" w:cs="Times New Roman"/>
          <w:sz w:val="24"/>
          <w:szCs w:val="24"/>
        </w:rPr>
        <w:t xml:space="preserve"> rendered in the sum of US$ 2 24</w:t>
      </w:r>
      <w:r w:rsidR="00E14470" w:rsidRPr="00C12279">
        <w:rPr>
          <w:rFonts w:ascii="Times New Roman" w:hAnsi="Times New Roman" w:cs="Times New Roman"/>
          <w:sz w:val="24"/>
          <w:szCs w:val="24"/>
        </w:rPr>
        <w:t>0 for 2009, US$ 2 505.87 for 2010 US$2 198.13 for 2011 and US$3 273.40</w:t>
      </w:r>
      <w:r w:rsidR="00F95D12" w:rsidRPr="00C12279">
        <w:rPr>
          <w:rFonts w:ascii="Times New Roman" w:hAnsi="Times New Roman" w:cs="Times New Roman"/>
          <w:sz w:val="24"/>
          <w:szCs w:val="24"/>
        </w:rPr>
        <w:t xml:space="preserve"> for 2012 in respect of vehicles exported</w:t>
      </w:r>
      <w:r w:rsidR="00455C4F" w:rsidRPr="00C12279">
        <w:rPr>
          <w:rFonts w:ascii="Times New Roman" w:hAnsi="Times New Roman" w:cs="Times New Roman"/>
          <w:sz w:val="24"/>
          <w:szCs w:val="24"/>
        </w:rPr>
        <w:t xml:space="preserve"> by the intermediary to </w:t>
      </w:r>
      <w:r w:rsidRPr="00C12279">
        <w:rPr>
          <w:rFonts w:ascii="Times New Roman" w:hAnsi="Times New Roman" w:cs="Times New Roman"/>
          <w:sz w:val="24"/>
          <w:szCs w:val="24"/>
        </w:rPr>
        <w:t>Zambia, Malawi and Tanzania</w:t>
      </w:r>
      <w:r w:rsidR="00F95D12" w:rsidRPr="00C12279">
        <w:rPr>
          <w:rFonts w:ascii="Times New Roman" w:hAnsi="Times New Roman" w:cs="Times New Roman"/>
          <w:sz w:val="24"/>
          <w:szCs w:val="24"/>
        </w:rPr>
        <w:t>.</w:t>
      </w:r>
      <w:r w:rsidRPr="00C12279">
        <w:rPr>
          <w:rFonts w:ascii="Times New Roman" w:hAnsi="Times New Roman" w:cs="Times New Roman"/>
          <w:sz w:val="24"/>
          <w:szCs w:val="24"/>
        </w:rPr>
        <w:t xml:space="preserve"> </w:t>
      </w:r>
      <w:r w:rsidR="00F9270C" w:rsidRPr="00C12279">
        <w:rPr>
          <w:rFonts w:ascii="Times New Roman" w:hAnsi="Times New Roman" w:cs="Times New Roman"/>
          <w:sz w:val="24"/>
          <w:szCs w:val="24"/>
        </w:rPr>
        <w:t xml:space="preserve">Again, the appellant conceded that it paid management fees to the intermediary when such fees were not due in the sum of US$130 000 in 2009, US$ 140 000 in 2010, US$ 256 629 in 2011 and US$140 000 in 2012. </w:t>
      </w:r>
    </w:p>
    <w:p w14:paraId="5F08F97B" w14:textId="02FFCFD0" w:rsidR="00774879" w:rsidRPr="00C12279" w:rsidRDefault="00F95D12" w:rsidP="008B18C7">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In the same vein, the respondent conceded that it wrongly raised notional interest</w:t>
      </w:r>
      <w:r w:rsidR="003117B7" w:rsidRPr="00C12279">
        <w:rPr>
          <w:rFonts w:ascii="Times New Roman" w:hAnsi="Times New Roman" w:cs="Times New Roman"/>
          <w:sz w:val="24"/>
          <w:szCs w:val="24"/>
        </w:rPr>
        <w:t xml:space="preserve"> at the rate of 24%</w:t>
      </w:r>
      <w:r w:rsidRPr="00C12279">
        <w:rPr>
          <w:rFonts w:ascii="Times New Roman" w:hAnsi="Times New Roman" w:cs="Times New Roman"/>
          <w:sz w:val="24"/>
          <w:szCs w:val="24"/>
        </w:rPr>
        <w:t xml:space="preserve"> in the sum of US$ 97 279.92 in respect of the 2012</w:t>
      </w:r>
      <w:r w:rsidR="00774879" w:rsidRPr="00C12279">
        <w:rPr>
          <w:rFonts w:ascii="Times New Roman" w:hAnsi="Times New Roman" w:cs="Times New Roman"/>
          <w:sz w:val="24"/>
          <w:szCs w:val="24"/>
        </w:rPr>
        <w:t xml:space="preserve"> loan to GS and in the sum o</w:t>
      </w:r>
      <w:r w:rsidRPr="00C12279">
        <w:rPr>
          <w:rFonts w:ascii="Times New Roman" w:hAnsi="Times New Roman" w:cs="Times New Roman"/>
          <w:sz w:val="24"/>
          <w:szCs w:val="24"/>
        </w:rPr>
        <w:t xml:space="preserve">f US$ 106 953.12 for 2010, US$ 266 879.52 for 2011 and US$124 666.80 for 2012 </w:t>
      </w:r>
      <w:r w:rsidR="00774879" w:rsidRPr="00C12279">
        <w:rPr>
          <w:rFonts w:ascii="Times New Roman" w:hAnsi="Times New Roman" w:cs="Times New Roman"/>
          <w:sz w:val="24"/>
          <w:szCs w:val="24"/>
        </w:rPr>
        <w:t xml:space="preserve">in respect of the loans availed to ADI. </w:t>
      </w:r>
    </w:p>
    <w:p w14:paraId="7657D7F8" w14:textId="77777777" w:rsidR="007E02B3" w:rsidRPr="00C12279" w:rsidRDefault="007E02B3" w:rsidP="008409E8">
      <w:pPr>
        <w:jc w:val="both"/>
        <w:rPr>
          <w:rFonts w:ascii="Times New Roman" w:hAnsi="Times New Roman" w:cs="Times New Roman"/>
          <w:i/>
          <w:sz w:val="24"/>
          <w:szCs w:val="24"/>
        </w:rPr>
      </w:pPr>
      <w:r w:rsidRPr="00C12279">
        <w:rPr>
          <w:rFonts w:ascii="Times New Roman" w:hAnsi="Times New Roman" w:cs="Times New Roman"/>
          <w:i/>
          <w:sz w:val="24"/>
          <w:szCs w:val="24"/>
        </w:rPr>
        <w:t>Assessment of witnesses</w:t>
      </w:r>
    </w:p>
    <w:p w14:paraId="6AEF4E56" w14:textId="3BAC3B21" w:rsidR="0066075B" w:rsidRPr="00C12279" w:rsidRDefault="007E02B3" w:rsidP="008B18C7">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appellant </w:t>
      </w:r>
      <w:r w:rsidR="00692115">
        <w:rPr>
          <w:rFonts w:ascii="Times New Roman" w:hAnsi="Times New Roman" w:cs="Times New Roman"/>
          <w:sz w:val="24"/>
          <w:szCs w:val="24"/>
        </w:rPr>
        <w:t xml:space="preserve">acted in a devious manner in regards to management fees. </w:t>
      </w:r>
      <w:r w:rsidR="005A3D5D" w:rsidRPr="00C12279">
        <w:rPr>
          <w:rFonts w:ascii="Times New Roman" w:hAnsi="Times New Roman" w:cs="Times New Roman"/>
          <w:sz w:val="24"/>
          <w:szCs w:val="24"/>
        </w:rPr>
        <w:t xml:space="preserve">Its conduct amounted to a deliberate act of </w:t>
      </w:r>
      <w:r w:rsidRPr="00C12279">
        <w:rPr>
          <w:rFonts w:ascii="Times New Roman" w:hAnsi="Times New Roman" w:cs="Times New Roman"/>
          <w:sz w:val="24"/>
          <w:szCs w:val="24"/>
        </w:rPr>
        <w:t xml:space="preserve">transfer pricing </w:t>
      </w:r>
      <w:r w:rsidR="005A3D5D" w:rsidRPr="00C12279">
        <w:rPr>
          <w:rFonts w:ascii="Times New Roman" w:hAnsi="Times New Roman" w:cs="Times New Roman"/>
          <w:sz w:val="24"/>
          <w:szCs w:val="24"/>
        </w:rPr>
        <w:t>which was done with intent to avoid tax. The production of backdated agreements gave the impression that these were created as a response to the tax investigation. This was apparent from the purported agreement of 31 January2007 which had the appellant’s signatures only that was rejected by the respondent and resulted in the production of duly signed agreement of 25 April 2011</w:t>
      </w:r>
      <w:r w:rsidR="00664284">
        <w:rPr>
          <w:rFonts w:ascii="Times New Roman" w:hAnsi="Times New Roman" w:cs="Times New Roman"/>
          <w:sz w:val="24"/>
          <w:szCs w:val="24"/>
        </w:rPr>
        <w:t xml:space="preserve"> backdated to 1 February 2007. </w:t>
      </w:r>
      <w:r w:rsidR="005A3D5D" w:rsidRPr="00C12279">
        <w:rPr>
          <w:rFonts w:ascii="Times New Roman" w:hAnsi="Times New Roman" w:cs="Times New Roman"/>
          <w:sz w:val="24"/>
          <w:szCs w:val="24"/>
        </w:rPr>
        <w:t xml:space="preserve">The managing director misled the court that </w:t>
      </w:r>
      <w:r w:rsidR="00335927" w:rsidRPr="00C12279">
        <w:rPr>
          <w:rFonts w:ascii="Times New Roman" w:hAnsi="Times New Roman" w:cs="Times New Roman"/>
          <w:sz w:val="24"/>
          <w:szCs w:val="24"/>
        </w:rPr>
        <w:t>t</w:t>
      </w:r>
      <w:r w:rsidR="005A3D5D" w:rsidRPr="00C12279">
        <w:rPr>
          <w:rFonts w:ascii="Times New Roman" w:hAnsi="Times New Roman" w:cs="Times New Roman"/>
          <w:sz w:val="24"/>
          <w:szCs w:val="24"/>
        </w:rPr>
        <w:t xml:space="preserve">he </w:t>
      </w:r>
      <w:r w:rsidR="00335927" w:rsidRPr="00C12279">
        <w:rPr>
          <w:rFonts w:ascii="Times New Roman" w:hAnsi="Times New Roman" w:cs="Times New Roman"/>
          <w:sz w:val="24"/>
          <w:szCs w:val="24"/>
        </w:rPr>
        <w:t xml:space="preserve">appellant provided </w:t>
      </w:r>
      <w:r w:rsidR="005A3D5D" w:rsidRPr="00C12279">
        <w:rPr>
          <w:rFonts w:ascii="Times New Roman" w:hAnsi="Times New Roman" w:cs="Times New Roman"/>
          <w:sz w:val="24"/>
          <w:szCs w:val="24"/>
        </w:rPr>
        <w:t>fu</w:t>
      </w:r>
      <w:r w:rsidR="00335927" w:rsidRPr="00C12279">
        <w:rPr>
          <w:rFonts w:ascii="Times New Roman" w:hAnsi="Times New Roman" w:cs="Times New Roman"/>
          <w:sz w:val="24"/>
          <w:szCs w:val="24"/>
        </w:rPr>
        <w:t>nctional analysis input under duress, contrary to his letter of 12 Jul</w:t>
      </w:r>
      <w:r w:rsidR="00664284">
        <w:rPr>
          <w:rFonts w:ascii="Times New Roman" w:hAnsi="Times New Roman" w:cs="Times New Roman"/>
          <w:sz w:val="24"/>
          <w:szCs w:val="24"/>
        </w:rPr>
        <w:t>y 2013 in which he requested</w:t>
      </w:r>
      <w:r w:rsidR="00335927" w:rsidRPr="00C12279">
        <w:rPr>
          <w:rFonts w:ascii="Times New Roman" w:hAnsi="Times New Roman" w:cs="Times New Roman"/>
          <w:sz w:val="24"/>
          <w:szCs w:val="24"/>
        </w:rPr>
        <w:t xml:space="preserve"> two weeks </w:t>
      </w:r>
      <w:r w:rsidR="00664284">
        <w:rPr>
          <w:rFonts w:ascii="Times New Roman" w:hAnsi="Times New Roman" w:cs="Times New Roman"/>
          <w:sz w:val="24"/>
          <w:szCs w:val="24"/>
        </w:rPr>
        <w:t xml:space="preserve">within which to provide the requested information, thus affording the </w:t>
      </w:r>
      <w:r w:rsidR="00E0514C">
        <w:rPr>
          <w:rFonts w:ascii="Times New Roman" w:hAnsi="Times New Roman" w:cs="Times New Roman"/>
          <w:sz w:val="24"/>
          <w:szCs w:val="24"/>
        </w:rPr>
        <w:t xml:space="preserve">appellant in </w:t>
      </w:r>
      <w:r w:rsidR="00E0514C">
        <w:rPr>
          <w:rFonts w:ascii="Times New Roman" w:hAnsi="Times New Roman" w:cs="Times New Roman"/>
          <w:sz w:val="24"/>
          <w:szCs w:val="24"/>
        </w:rPr>
        <w:lastRenderedPageBreak/>
        <w:t xml:space="preserve">excess of a month from the date of the initial request. </w:t>
      </w:r>
      <w:r w:rsidR="00335927" w:rsidRPr="00C12279">
        <w:rPr>
          <w:rFonts w:ascii="Times New Roman" w:hAnsi="Times New Roman" w:cs="Times New Roman"/>
          <w:sz w:val="24"/>
          <w:szCs w:val="24"/>
        </w:rPr>
        <w:t>He disputed making prepayments to the intermediary yet the financial statements</w:t>
      </w:r>
      <w:r w:rsidR="0094754D" w:rsidRPr="00C12279">
        <w:rPr>
          <w:rFonts w:ascii="Times New Roman" w:hAnsi="Times New Roman" w:cs="Times New Roman"/>
          <w:sz w:val="24"/>
          <w:szCs w:val="24"/>
        </w:rPr>
        <w:t xml:space="preserve"> in note 17 on p 71 of exh 1 show that US$4 693 512 was paid in 2010 and US$ 3 086 165 in 2011 before</w:t>
      </w:r>
      <w:r w:rsidR="00E0514C">
        <w:rPr>
          <w:rFonts w:ascii="Times New Roman" w:hAnsi="Times New Roman" w:cs="Times New Roman"/>
          <w:sz w:val="24"/>
          <w:szCs w:val="24"/>
        </w:rPr>
        <w:t xml:space="preserve"> the vehicles were exported in</w:t>
      </w:r>
      <w:r w:rsidR="0094754D" w:rsidRPr="00C12279">
        <w:rPr>
          <w:rFonts w:ascii="Times New Roman" w:hAnsi="Times New Roman" w:cs="Times New Roman"/>
          <w:sz w:val="24"/>
          <w:szCs w:val="24"/>
        </w:rPr>
        <w:t xml:space="preserve"> bond. He falsely averred </w:t>
      </w:r>
      <w:r w:rsidR="00E0514C">
        <w:rPr>
          <w:rFonts w:ascii="Times New Roman" w:hAnsi="Times New Roman" w:cs="Times New Roman"/>
          <w:sz w:val="24"/>
          <w:szCs w:val="24"/>
        </w:rPr>
        <w:t xml:space="preserve">and thus copied the evidence adduced by the tax consultant in his presence </w:t>
      </w:r>
      <w:r w:rsidR="0094754D" w:rsidRPr="00C12279">
        <w:rPr>
          <w:rFonts w:ascii="Times New Roman" w:hAnsi="Times New Roman" w:cs="Times New Roman"/>
          <w:sz w:val="24"/>
          <w:szCs w:val="24"/>
        </w:rPr>
        <w:t xml:space="preserve">that </w:t>
      </w:r>
      <w:r w:rsidR="00E0514C">
        <w:rPr>
          <w:rFonts w:ascii="Times New Roman" w:hAnsi="Times New Roman" w:cs="Times New Roman"/>
          <w:sz w:val="24"/>
          <w:szCs w:val="24"/>
        </w:rPr>
        <w:t xml:space="preserve">the </w:t>
      </w:r>
      <w:r w:rsidR="0094754D" w:rsidRPr="00C12279">
        <w:rPr>
          <w:rFonts w:ascii="Times New Roman" w:hAnsi="Times New Roman" w:cs="Times New Roman"/>
          <w:sz w:val="24"/>
          <w:szCs w:val="24"/>
        </w:rPr>
        <w:t>audi</w:t>
      </w:r>
      <w:r w:rsidR="00E0514C">
        <w:rPr>
          <w:rFonts w:ascii="Times New Roman" w:hAnsi="Times New Roman" w:cs="Times New Roman"/>
          <w:sz w:val="24"/>
          <w:szCs w:val="24"/>
        </w:rPr>
        <w:t>ts</w:t>
      </w:r>
      <w:r w:rsidR="0094754D" w:rsidRPr="00C12279">
        <w:rPr>
          <w:rFonts w:ascii="Times New Roman" w:hAnsi="Times New Roman" w:cs="Times New Roman"/>
          <w:sz w:val="24"/>
          <w:szCs w:val="24"/>
        </w:rPr>
        <w:t xml:space="preserve"> for his company commenced in November of each year in contradistinction to the timelines indicated in the audit engagement letter. </w:t>
      </w:r>
      <w:r w:rsidR="00C76A2C">
        <w:rPr>
          <w:rFonts w:ascii="Times New Roman" w:hAnsi="Times New Roman" w:cs="Times New Roman"/>
          <w:sz w:val="24"/>
          <w:szCs w:val="24"/>
        </w:rPr>
        <w:t xml:space="preserve">The tax consultant prevaricated on what the respondent’s generally prevailing practice in regards to provisions was. </w:t>
      </w:r>
      <w:r w:rsidR="00E0514C">
        <w:rPr>
          <w:rFonts w:ascii="Times New Roman" w:hAnsi="Times New Roman" w:cs="Times New Roman"/>
          <w:sz w:val="24"/>
          <w:szCs w:val="24"/>
        </w:rPr>
        <w:t xml:space="preserve">The chief investigations officer failed to demonstrate how he arrived at the apportionment ratio he used in his functional analysis. He testified that the </w:t>
      </w:r>
      <w:r w:rsidR="00C76A2C">
        <w:rPr>
          <w:rFonts w:ascii="Times New Roman" w:hAnsi="Times New Roman" w:cs="Times New Roman"/>
          <w:sz w:val="24"/>
          <w:szCs w:val="24"/>
        </w:rPr>
        <w:t xml:space="preserve">appellant misled the respondent by claiming ownership of the consignment stock at the time he applied for the value ruling, contrary to the contents in the letters written by the appellant at that time. </w:t>
      </w:r>
    </w:p>
    <w:p w14:paraId="4B37043D" w14:textId="77777777" w:rsidR="00E2508E" w:rsidRPr="00C12279" w:rsidRDefault="00E2508E" w:rsidP="008409E8">
      <w:pPr>
        <w:jc w:val="both"/>
        <w:rPr>
          <w:rFonts w:ascii="Times New Roman" w:hAnsi="Times New Roman" w:cs="Times New Roman"/>
          <w:i/>
          <w:sz w:val="24"/>
          <w:szCs w:val="24"/>
        </w:rPr>
      </w:pPr>
      <w:r w:rsidRPr="00C12279">
        <w:rPr>
          <w:rFonts w:ascii="Times New Roman" w:hAnsi="Times New Roman" w:cs="Times New Roman"/>
          <w:i/>
          <w:sz w:val="24"/>
          <w:szCs w:val="24"/>
        </w:rPr>
        <w:t>The issues referred for determination</w:t>
      </w:r>
    </w:p>
    <w:p w14:paraId="18AA77FF" w14:textId="66BF77DA" w:rsidR="006060E7" w:rsidRPr="00C12279" w:rsidRDefault="00E2508E" w:rsidP="00485558">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At the pre-trial hearing of 2 June 2015 t</w:t>
      </w:r>
      <w:r w:rsidR="008E6926" w:rsidRPr="00C12279">
        <w:rPr>
          <w:rFonts w:ascii="Times New Roman" w:hAnsi="Times New Roman" w:cs="Times New Roman"/>
          <w:sz w:val="24"/>
          <w:szCs w:val="24"/>
        </w:rPr>
        <w:t>he following issues were referre</w:t>
      </w:r>
      <w:r w:rsidR="00C7464B" w:rsidRPr="00C12279">
        <w:rPr>
          <w:rFonts w:ascii="Times New Roman" w:hAnsi="Times New Roman" w:cs="Times New Roman"/>
          <w:sz w:val="24"/>
          <w:szCs w:val="24"/>
        </w:rPr>
        <w:t>d for determination.</w:t>
      </w:r>
      <w:r w:rsidR="00C15102">
        <w:rPr>
          <w:rFonts w:ascii="Times New Roman" w:hAnsi="Times New Roman" w:cs="Times New Roman"/>
          <w:sz w:val="24"/>
          <w:szCs w:val="24"/>
        </w:rPr>
        <w:t xml:space="preserve"> In view of the concessions made by the respondent at the commencement of trial, it is no longer necessary to outline the in respect of the loans advanced by the appellant to GS and ADI. </w:t>
      </w:r>
    </w:p>
    <w:p w14:paraId="5ECA3153" w14:textId="77777777" w:rsidR="00E2508E" w:rsidRPr="00C12279" w:rsidRDefault="00E2508E" w:rsidP="008409E8">
      <w:pPr>
        <w:jc w:val="both"/>
        <w:rPr>
          <w:rFonts w:ascii="Times New Roman" w:hAnsi="Times New Roman" w:cs="Times New Roman"/>
          <w:b/>
          <w:sz w:val="24"/>
          <w:szCs w:val="24"/>
        </w:rPr>
      </w:pPr>
      <w:r w:rsidRPr="00C12279">
        <w:rPr>
          <w:rFonts w:ascii="Times New Roman" w:hAnsi="Times New Roman" w:cs="Times New Roman"/>
          <w:b/>
          <w:sz w:val="24"/>
          <w:szCs w:val="24"/>
        </w:rPr>
        <w:t>Sharing of profits/transfer pricing:</w:t>
      </w:r>
    </w:p>
    <w:p w14:paraId="0DD32621" w14:textId="77777777" w:rsidR="00E2508E" w:rsidRPr="00C12279" w:rsidRDefault="00E2508E" w:rsidP="008409E8">
      <w:pPr>
        <w:pStyle w:val="ListParagraph"/>
        <w:numPr>
          <w:ilvl w:val="0"/>
          <w:numId w:val="7"/>
        </w:numPr>
        <w:jc w:val="both"/>
        <w:rPr>
          <w:rFonts w:ascii="Times New Roman" w:hAnsi="Times New Roman" w:cs="Times New Roman"/>
          <w:sz w:val="24"/>
          <w:szCs w:val="24"/>
        </w:rPr>
      </w:pPr>
      <w:r w:rsidRPr="00C12279">
        <w:rPr>
          <w:rFonts w:ascii="Times New Roman" w:hAnsi="Times New Roman" w:cs="Times New Roman"/>
          <w:sz w:val="24"/>
          <w:szCs w:val="24"/>
        </w:rPr>
        <w:t>Whether or not respondent is precluded from adopting its current stance on this issue on account of either:</w:t>
      </w:r>
    </w:p>
    <w:p w14:paraId="786A85D1" w14:textId="77777777" w:rsidR="00E2508E" w:rsidRPr="00C12279" w:rsidRDefault="00E2508E" w:rsidP="008409E8">
      <w:pPr>
        <w:pStyle w:val="ListParagraph"/>
        <w:numPr>
          <w:ilvl w:val="1"/>
          <w:numId w:val="8"/>
        </w:numPr>
        <w:jc w:val="both"/>
        <w:rPr>
          <w:rFonts w:ascii="Times New Roman" w:hAnsi="Times New Roman" w:cs="Times New Roman"/>
          <w:sz w:val="24"/>
          <w:szCs w:val="24"/>
        </w:rPr>
      </w:pPr>
      <w:r w:rsidRPr="00C12279">
        <w:rPr>
          <w:rFonts w:ascii="Times New Roman" w:hAnsi="Times New Roman" w:cs="Times New Roman"/>
          <w:sz w:val="24"/>
          <w:szCs w:val="24"/>
        </w:rPr>
        <w:t>the value ruling issued by it , or</w:t>
      </w:r>
    </w:p>
    <w:p w14:paraId="299CAE38" w14:textId="77777777" w:rsidR="00E2508E" w:rsidRPr="00C12279" w:rsidRDefault="00E2508E" w:rsidP="008409E8">
      <w:pPr>
        <w:pStyle w:val="ListParagraph"/>
        <w:numPr>
          <w:ilvl w:val="1"/>
          <w:numId w:val="8"/>
        </w:numPr>
        <w:jc w:val="both"/>
        <w:rPr>
          <w:rFonts w:ascii="Times New Roman" w:hAnsi="Times New Roman" w:cs="Times New Roman"/>
          <w:sz w:val="24"/>
          <w:szCs w:val="24"/>
        </w:rPr>
      </w:pPr>
      <w:r w:rsidRPr="00C12279">
        <w:rPr>
          <w:rFonts w:ascii="Times New Roman" w:hAnsi="Times New Roman" w:cs="Times New Roman"/>
          <w:sz w:val="24"/>
          <w:szCs w:val="24"/>
        </w:rPr>
        <w:t>the fact that duties and taxes were assessed and paid to it on a different basis</w:t>
      </w:r>
    </w:p>
    <w:p w14:paraId="7FEB3E57" w14:textId="77777777" w:rsidR="00A66E29" w:rsidRDefault="00E2508E" w:rsidP="00A66E29">
      <w:pPr>
        <w:pStyle w:val="ListParagraph"/>
        <w:numPr>
          <w:ilvl w:val="0"/>
          <w:numId w:val="7"/>
        </w:numPr>
        <w:jc w:val="both"/>
        <w:rPr>
          <w:rFonts w:ascii="Times New Roman" w:hAnsi="Times New Roman" w:cs="Times New Roman"/>
          <w:sz w:val="24"/>
          <w:szCs w:val="24"/>
        </w:rPr>
      </w:pPr>
      <w:r w:rsidRPr="00C12279">
        <w:rPr>
          <w:rFonts w:ascii="Times New Roman" w:hAnsi="Times New Roman" w:cs="Times New Roman"/>
          <w:sz w:val="24"/>
          <w:szCs w:val="24"/>
        </w:rPr>
        <w:t>whether the respondent is entitled to invoke section 24 of the Act to deem income to have accrued to the appellant which was not actually received by it</w:t>
      </w:r>
    </w:p>
    <w:p w14:paraId="73FEF1AD" w14:textId="7EC39280" w:rsidR="00AF6A5E" w:rsidRPr="00A66E29" w:rsidRDefault="00AF6A5E" w:rsidP="00A66E29">
      <w:pPr>
        <w:jc w:val="both"/>
        <w:rPr>
          <w:rFonts w:ascii="Times New Roman" w:hAnsi="Times New Roman" w:cs="Times New Roman"/>
          <w:sz w:val="24"/>
          <w:szCs w:val="24"/>
        </w:rPr>
      </w:pPr>
      <w:r w:rsidRPr="00A66E29">
        <w:rPr>
          <w:rFonts w:ascii="Times New Roman" w:hAnsi="Times New Roman" w:cs="Times New Roman"/>
          <w:b/>
          <w:sz w:val="24"/>
          <w:szCs w:val="24"/>
        </w:rPr>
        <w:t>Expenses relating to leave pay and audit fees</w:t>
      </w:r>
    </w:p>
    <w:p w14:paraId="168A66DF" w14:textId="77777777" w:rsidR="00AF6A5E" w:rsidRPr="00C12279" w:rsidRDefault="00AF6A5E" w:rsidP="008409E8">
      <w:pPr>
        <w:pStyle w:val="ListParagraph"/>
        <w:numPr>
          <w:ilvl w:val="0"/>
          <w:numId w:val="7"/>
        </w:numPr>
        <w:jc w:val="both"/>
        <w:rPr>
          <w:rFonts w:ascii="Times New Roman" w:hAnsi="Times New Roman" w:cs="Times New Roman"/>
          <w:sz w:val="24"/>
          <w:szCs w:val="24"/>
        </w:rPr>
      </w:pPr>
      <w:r w:rsidRPr="00C12279">
        <w:rPr>
          <w:rFonts w:ascii="Times New Roman" w:hAnsi="Times New Roman" w:cs="Times New Roman"/>
          <w:sz w:val="24"/>
          <w:szCs w:val="24"/>
        </w:rPr>
        <w:t>Whether it was proper of appellant and open to appellant to make provision for the costs in question</w:t>
      </w:r>
    </w:p>
    <w:p w14:paraId="56993793" w14:textId="77777777" w:rsidR="00AF6A5E" w:rsidRPr="00C12279" w:rsidRDefault="00AF6A5E" w:rsidP="008409E8">
      <w:pPr>
        <w:pStyle w:val="ListParagraph"/>
        <w:numPr>
          <w:ilvl w:val="0"/>
          <w:numId w:val="7"/>
        </w:numPr>
        <w:jc w:val="both"/>
        <w:rPr>
          <w:rFonts w:ascii="Times New Roman" w:hAnsi="Times New Roman" w:cs="Times New Roman"/>
          <w:sz w:val="24"/>
          <w:szCs w:val="24"/>
        </w:rPr>
      </w:pPr>
      <w:r w:rsidRPr="00C12279">
        <w:rPr>
          <w:rFonts w:ascii="Times New Roman" w:hAnsi="Times New Roman" w:cs="Times New Roman"/>
          <w:sz w:val="24"/>
          <w:szCs w:val="24"/>
        </w:rPr>
        <w:t>Whether respondent was precluded from issuing amended assessments by virtue of the provisions of s 47 of the Act</w:t>
      </w:r>
    </w:p>
    <w:p w14:paraId="4EF5F5F1" w14:textId="77777777" w:rsidR="00AF6A5E" w:rsidRPr="00C12279" w:rsidRDefault="00AF6A5E" w:rsidP="008409E8">
      <w:pPr>
        <w:pStyle w:val="ListParagraph"/>
        <w:jc w:val="both"/>
        <w:rPr>
          <w:rFonts w:ascii="Times New Roman" w:hAnsi="Times New Roman" w:cs="Times New Roman"/>
          <w:b/>
          <w:sz w:val="24"/>
          <w:szCs w:val="24"/>
        </w:rPr>
      </w:pPr>
      <w:r w:rsidRPr="00C12279">
        <w:rPr>
          <w:rFonts w:ascii="Times New Roman" w:hAnsi="Times New Roman" w:cs="Times New Roman"/>
          <w:b/>
          <w:sz w:val="24"/>
          <w:szCs w:val="24"/>
        </w:rPr>
        <w:t>Penalties</w:t>
      </w:r>
    </w:p>
    <w:p w14:paraId="4CE8FBD6" w14:textId="77777777" w:rsidR="005D72E5" w:rsidRPr="00C12279" w:rsidRDefault="00AF6A5E" w:rsidP="008409E8">
      <w:pPr>
        <w:pStyle w:val="ListParagraph"/>
        <w:numPr>
          <w:ilvl w:val="0"/>
          <w:numId w:val="7"/>
        </w:numPr>
        <w:jc w:val="both"/>
        <w:rPr>
          <w:rFonts w:ascii="Times New Roman" w:hAnsi="Times New Roman" w:cs="Times New Roman"/>
          <w:sz w:val="24"/>
          <w:szCs w:val="24"/>
        </w:rPr>
      </w:pPr>
      <w:r w:rsidRPr="00C12279">
        <w:rPr>
          <w:rFonts w:ascii="Times New Roman" w:hAnsi="Times New Roman" w:cs="Times New Roman"/>
          <w:sz w:val="24"/>
          <w:szCs w:val="24"/>
        </w:rPr>
        <w:t>What if any penalties are payable to respondent</w:t>
      </w:r>
      <w:r w:rsidRPr="00C12279">
        <w:rPr>
          <w:rFonts w:ascii="Times New Roman" w:hAnsi="Times New Roman" w:cs="Times New Roman"/>
          <w:sz w:val="24"/>
          <w:szCs w:val="24"/>
        </w:rPr>
        <w:tab/>
      </w:r>
    </w:p>
    <w:p w14:paraId="2112200E" w14:textId="77777777" w:rsidR="005D72E5" w:rsidRPr="00C12279" w:rsidRDefault="005D72E5" w:rsidP="008B18C7">
      <w:pPr>
        <w:ind w:firstLine="360"/>
        <w:jc w:val="both"/>
        <w:rPr>
          <w:rFonts w:ascii="Times New Roman" w:hAnsi="Times New Roman" w:cs="Times New Roman"/>
          <w:sz w:val="24"/>
          <w:szCs w:val="24"/>
        </w:rPr>
      </w:pPr>
      <w:r w:rsidRPr="00C12279">
        <w:rPr>
          <w:rFonts w:ascii="Times New Roman" w:hAnsi="Times New Roman" w:cs="Times New Roman"/>
          <w:sz w:val="24"/>
          <w:szCs w:val="24"/>
        </w:rPr>
        <w:t>I proceed to deal with each issue in turn.</w:t>
      </w:r>
    </w:p>
    <w:p w14:paraId="4F646E5C" w14:textId="77777777" w:rsidR="005D72E5" w:rsidRPr="00DF0323" w:rsidRDefault="005D72E5" w:rsidP="008409E8">
      <w:pPr>
        <w:jc w:val="both"/>
        <w:rPr>
          <w:rFonts w:ascii="Times New Roman" w:hAnsi="Times New Roman" w:cs="Times New Roman"/>
          <w:i/>
          <w:sz w:val="24"/>
          <w:szCs w:val="24"/>
        </w:rPr>
      </w:pPr>
      <w:r w:rsidRPr="00DF0323">
        <w:rPr>
          <w:rFonts w:ascii="Times New Roman" w:hAnsi="Times New Roman" w:cs="Times New Roman"/>
          <w:i/>
          <w:sz w:val="24"/>
          <w:szCs w:val="24"/>
        </w:rPr>
        <w:t>Sharing of profits/transfer pricing:</w:t>
      </w:r>
    </w:p>
    <w:p w14:paraId="5AEA9EE1" w14:textId="77777777" w:rsidR="005D72E5" w:rsidRPr="00C12279" w:rsidRDefault="005D72E5" w:rsidP="008409E8">
      <w:pPr>
        <w:pStyle w:val="ListParagraph"/>
        <w:numPr>
          <w:ilvl w:val="0"/>
          <w:numId w:val="10"/>
        </w:numPr>
        <w:jc w:val="both"/>
        <w:rPr>
          <w:rFonts w:ascii="Times New Roman" w:hAnsi="Times New Roman" w:cs="Times New Roman"/>
          <w:sz w:val="24"/>
          <w:szCs w:val="24"/>
        </w:rPr>
      </w:pPr>
      <w:r w:rsidRPr="00C12279">
        <w:rPr>
          <w:rFonts w:ascii="Times New Roman" w:hAnsi="Times New Roman" w:cs="Times New Roman"/>
          <w:sz w:val="24"/>
          <w:szCs w:val="24"/>
        </w:rPr>
        <w:t>Whether or not respondent is precluded from adopting its current stance on this issue on account of either:</w:t>
      </w:r>
    </w:p>
    <w:p w14:paraId="75DE074F" w14:textId="77777777" w:rsidR="005D72E5" w:rsidRPr="00C12279" w:rsidRDefault="005D72E5" w:rsidP="008409E8">
      <w:pPr>
        <w:pStyle w:val="ListParagraph"/>
        <w:numPr>
          <w:ilvl w:val="1"/>
          <w:numId w:val="10"/>
        </w:numPr>
        <w:jc w:val="both"/>
        <w:rPr>
          <w:rFonts w:ascii="Times New Roman" w:hAnsi="Times New Roman" w:cs="Times New Roman"/>
          <w:sz w:val="24"/>
          <w:szCs w:val="24"/>
        </w:rPr>
      </w:pPr>
      <w:r w:rsidRPr="00C12279">
        <w:rPr>
          <w:rFonts w:ascii="Times New Roman" w:hAnsi="Times New Roman" w:cs="Times New Roman"/>
          <w:sz w:val="24"/>
          <w:szCs w:val="24"/>
        </w:rPr>
        <w:t>the value ruling issued by it , or</w:t>
      </w:r>
    </w:p>
    <w:p w14:paraId="61CB5F47" w14:textId="77777777" w:rsidR="005D72E5" w:rsidRPr="00C12279" w:rsidRDefault="005D72E5" w:rsidP="008409E8">
      <w:pPr>
        <w:pStyle w:val="ListParagraph"/>
        <w:numPr>
          <w:ilvl w:val="1"/>
          <w:numId w:val="10"/>
        </w:numPr>
        <w:jc w:val="both"/>
        <w:rPr>
          <w:rFonts w:ascii="Times New Roman" w:hAnsi="Times New Roman" w:cs="Times New Roman"/>
          <w:sz w:val="24"/>
          <w:szCs w:val="24"/>
        </w:rPr>
      </w:pPr>
      <w:r w:rsidRPr="00C12279">
        <w:rPr>
          <w:rFonts w:ascii="Times New Roman" w:hAnsi="Times New Roman" w:cs="Times New Roman"/>
          <w:sz w:val="24"/>
          <w:szCs w:val="24"/>
        </w:rPr>
        <w:lastRenderedPageBreak/>
        <w:t>the fact that duties and taxes were assessed and paid to it on a different basis</w:t>
      </w:r>
    </w:p>
    <w:p w14:paraId="5213111E" w14:textId="77777777" w:rsidR="005D72E5" w:rsidRPr="00C12279" w:rsidRDefault="005D72E5" w:rsidP="008409E8">
      <w:pPr>
        <w:pStyle w:val="ListParagraph"/>
        <w:numPr>
          <w:ilvl w:val="0"/>
          <w:numId w:val="10"/>
        </w:numPr>
        <w:jc w:val="both"/>
        <w:rPr>
          <w:rFonts w:ascii="Times New Roman" w:hAnsi="Times New Roman" w:cs="Times New Roman"/>
          <w:sz w:val="24"/>
          <w:szCs w:val="24"/>
        </w:rPr>
      </w:pPr>
      <w:r w:rsidRPr="00C12279">
        <w:rPr>
          <w:rFonts w:ascii="Times New Roman" w:hAnsi="Times New Roman" w:cs="Times New Roman"/>
          <w:sz w:val="24"/>
          <w:szCs w:val="24"/>
        </w:rPr>
        <w:t>whether the respondent is entitled to invoke section 24 of the Act to deem income to have accrued to the appellant which was not actually received by it</w:t>
      </w:r>
    </w:p>
    <w:p w14:paraId="40847C12" w14:textId="77777777" w:rsidR="002A31DD" w:rsidRPr="00C12279" w:rsidRDefault="002A31DD" w:rsidP="008409E8">
      <w:pPr>
        <w:jc w:val="both"/>
        <w:rPr>
          <w:rFonts w:ascii="Times New Roman" w:hAnsi="Times New Roman" w:cs="Times New Roman"/>
          <w:i/>
          <w:sz w:val="24"/>
          <w:szCs w:val="24"/>
        </w:rPr>
      </w:pPr>
      <w:r w:rsidRPr="00C12279">
        <w:rPr>
          <w:rFonts w:ascii="Times New Roman" w:hAnsi="Times New Roman" w:cs="Times New Roman"/>
          <w:i/>
          <w:sz w:val="24"/>
          <w:szCs w:val="24"/>
        </w:rPr>
        <w:t>The respondent’s current stance</w:t>
      </w:r>
    </w:p>
    <w:p w14:paraId="3598A604" w14:textId="72883763" w:rsidR="002A31DD" w:rsidRPr="00C12279" w:rsidRDefault="002A31DD" w:rsidP="008B18C7">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position adopted by the respondent during the investiga</w:t>
      </w:r>
      <w:r w:rsidR="00DC0BC2" w:rsidRPr="00C12279">
        <w:rPr>
          <w:rFonts w:ascii="Times New Roman" w:hAnsi="Times New Roman" w:cs="Times New Roman"/>
          <w:sz w:val="24"/>
          <w:szCs w:val="24"/>
        </w:rPr>
        <w:t xml:space="preserve">tion, objection, determination and espoused </w:t>
      </w:r>
      <w:r w:rsidRPr="00C12279">
        <w:rPr>
          <w:rFonts w:ascii="Times New Roman" w:hAnsi="Times New Roman" w:cs="Times New Roman"/>
          <w:sz w:val="24"/>
          <w:szCs w:val="24"/>
        </w:rPr>
        <w:t>in correspondence with the appellant and in evidence</w:t>
      </w:r>
      <w:r w:rsidR="00A8786A" w:rsidRPr="00C12279">
        <w:rPr>
          <w:rFonts w:ascii="Times New Roman" w:hAnsi="Times New Roman" w:cs="Times New Roman"/>
          <w:sz w:val="24"/>
          <w:szCs w:val="24"/>
        </w:rPr>
        <w:t xml:space="preserve"> and argument</w:t>
      </w:r>
      <w:r w:rsidRPr="00C12279">
        <w:rPr>
          <w:rFonts w:ascii="Times New Roman" w:hAnsi="Times New Roman" w:cs="Times New Roman"/>
          <w:sz w:val="24"/>
          <w:szCs w:val="24"/>
        </w:rPr>
        <w:t xml:space="preserve"> </w:t>
      </w:r>
      <w:r w:rsidR="00DC0BC2" w:rsidRPr="00C12279">
        <w:rPr>
          <w:rFonts w:ascii="Times New Roman" w:hAnsi="Times New Roman" w:cs="Times New Roman"/>
          <w:sz w:val="24"/>
          <w:szCs w:val="24"/>
        </w:rPr>
        <w:t xml:space="preserve">at the appeal hearing </w:t>
      </w:r>
      <w:r w:rsidRPr="00C12279">
        <w:rPr>
          <w:rFonts w:ascii="Times New Roman" w:hAnsi="Times New Roman" w:cs="Times New Roman"/>
          <w:sz w:val="24"/>
          <w:szCs w:val="24"/>
        </w:rPr>
        <w:t xml:space="preserve">was to disregard the values of </w:t>
      </w:r>
      <w:r w:rsidR="00487D6A" w:rsidRPr="00C12279">
        <w:rPr>
          <w:rFonts w:ascii="Times New Roman" w:hAnsi="Times New Roman" w:cs="Times New Roman"/>
          <w:sz w:val="24"/>
          <w:szCs w:val="24"/>
        </w:rPr>
        <w:t>the motor vehicles received in</w:t>
      </w:r>
      <w:r w:rsidR="00E8097C" w:rsidRPr="00C12279">
        <w:rPr>
          <w:rFonts w:ascii="Times New Roman" w:hAnsi="Times New Roman" w:cs="Times New Roman"/>
          <w:sz w:val="24"/>
          <w:szCs w:val="24"/>
        </w:rPr>
        <w:t xml:space="preserve">to </w:t>
      </w:r>
      <w:r w:rsidRPr="00C12279">
        <w:rPr>
          <w:rFonts w:ascii="Times New Roman" w:hAnsi="Times New Roman" w:cs="Times New Roman"/>
          <w:sz w:val="24"/>
          <w:szCs w:val="24"/>
        </w:rPr>
        <w:t xml:space="preserve">the country by the appellant that were accepted by the Commissioner-General in the Value Ruling </w:t>
      </w:r>
      <w:r w:rsidR="00DC0BC2" w:rsidRPr="00C12279">
        <w:rPr>
          <w:rFonts w:ascii="Times New Roman" w:hAnsi="Times New Roman" w:cs="Times New Roman"/>
          <w:sz w:val="24"/>
          <w:szCs w:val="24"/>
        </w:rPr>
        <w:t xml:space="preserve">No 15 of 2007 </w:t>
      </w:r>
      <w:r w:rsidRPr="00C12279">
        <w:rPr>
          <w:rFonts w:ascii="Times New Roman" w:hAnsi="Times New Roman" w:cs="Times New Roman"/>
          <w:sz w:val="24"/>
          <w:szCs w:val="24"/>
        </w:rPr>
        <w:t>of 5 November 2007 issued under s</w:t>
      </w:r>
      <w:r w:rsidR="00DC0BC2" w:rsidRPr="00C12279">
        <w:rPr>
          <w:rFonts w:ascii="Times New Roman" w:hAnsi="Times New Roman" w:cs="Times New Roman"/>
          <w:sz w:val="24"/>
          <w:szCs w:val="24"/>
        </w:rPr>
        <w:t xml:space="preserve">s 106 and </w:t>
      </w:r>
      <w:r w:rsidRPr="00C12279">
        <w:rPr>
          <w:rFonts w:ascii="Times New Roman" w:hAnsi="Times New Roman" w:cs="Times New Roman"/>
          <w:sz w:val="24"/>
          <w:szCs w:val="24"/>
        </w:rPr>
        <w:t>113 of the Customs and Excise Act</w:t>
      </w:r>
      <w:r w:rsidR="00DC0BC2" w:rsidRPr="00C12279">
        <w:rPr>
          <w:rFonts w:ascii="Times New Roman" w:hAnsi="Times New Roman" w:cs="Times New Roman"/>
          <w:sz w:val="24"/>
          <w:szCs w:val="24"/>
        </w:rPr>
        <w:t xml:space="preserve"> </w:t>
      </w:r>
      <w:r w:rsidR="00DC0BC2" w:rsidRPr="00C12279">
        <w:rPr>
          <w:rFonts w:ascii="Times New Roman" w:hAnsi="Times New Roman" w:cs="Times New Roman"/>
          <w:i/>
          <w:sz w:val="24"/>
          <w:szCs w:val="24"/>
        </w:rPr>
        <w:t>[Chapter 23:02]</w:t>
      </w:r>
      <w:r w:rsidRPr="00C12279">
        <w:rPr>
          <w:rFonts w:ascii="Times New Roman" w:hAnsi="Times New Roman" w:cs="Times New Roman"/>
          <w:sz w:val="24"/>
          <w:szCs w:val="24"/>
        </w:rPr>
        <w:t xml:space="preserve"> in preference</w:t>
      </w:r>
      <w:r w:rsidR="00DF0323">
        <w:rPr>
          <w:rFonts w:ascii="Times New Roman" w:hAnsi="Times New Roman" w:cs="Times New Roman"/>
          <w:sz w:val="24"/>
          <w:szCs w:val="24"/>
        </w:rPr>
        <w:t xml:space="preserve"> to</w:t>
      </w:r>
      <w:r w:rsidR="00DC0BC2" w:rsidRPr="00C12279">
        <w:rPr>
          <w:rFonts w:ascii="Times New Roman" w:hAnsi="Times New Roman" w:cs="Times New Roman"/>
          <w:sz w:val="24"/>
          <w:szCs w:val="24"/>
        </w:rPr>
        <w:t xml:space="preserve"> </w:t>
      </w:r>
      <w:r w:rsidR="007E0B05" w:rsidRPr="00C12279">
        <w:rPr>
          <w:rFonts w:ascii="Times New Roman" w:hAnsi="Times New Roman" w:cs="Times New Roman"/>
          <w:sz w:val="24"/>
          <w:szCs w:val="24"/>
        </w:rPr>
        <w:t>the</w:t>
      </w:r>
      <w:r w:rsidRPr="00C12279">
        <w:rPr>
          <w:rFonts w:ascii="Times New Roman" w:hAnsi="Times New Roman" w:cs="Times New Roman"/>
          <w:sz w:val="24"/>
          <w:szCs w:val="24"/>
        </w:rPr>
        <w:t xml:space="preserve"> values </w:t>
      </w:r>
      <w:r w:rsidR="007E0B05" w:rsidRPr="00C12279">
        <w:rPr>
          <w:rFonts w:ascii="Times New Roman" w:hAnsi="Times New Roman" w:cs="Times New Roman"/>
          <w:sz w:val="24"/>
          <w:szCs w:val="24"/>
        </w:rPr>
        <w:t xml:space="preserve">derived from the functional analysis </w:t>
      </w:r>
      <w:r w:rsidR="00DC0BC2" w:rsidRPr="00C12279">
        <w:rPr>
          <w:rFonts w:ascii="Times New Roman" w:hAnsi="Times New Roman" w:cs="Times New Roman"/>
          <w:sz w:val="24"/>
          <w:szCs w:val="24"/>
        </w:rPr>
        <w:t xml:space="preserve">purportedly computed in terms of </w:t>
      </w:r>
      <w:r w:rsidR="007E0B05" w:rsidRPr="00C12279">
        <w:rPr>
          <w:rFonts w:ascii="Times New Roman" w:hAnsi="Times New Roman" w:cs="Times New Roman"/>
          <w:sz w:val="24"/>
          <w:szCs w:val="24"/>
        </w:rPr>
        <w:t xml:space="preserve">s 24 </w:t>
      </w:r>
      <w:r w:rsidR="00DC0BC2" w:rsidRPr="00C12279">
        <w:rPr>
          <w:rFonts w:ascii="Times New Roman" w:hAnsi="Times New Roman" w:cs="Times New Roman"/>
          <w:sz w:val="24"/>
          <w:szCs w:val="24"/>
        </w:rPr>
        <w:t xml:space="preserve">the Income Tax Act. </w:t>
      </w:r>
    </w:p>
    <w:p w14:paraId="3F52B7C3" w14:textId="5E75BCF2" w:rsidR="009B34F7" w:rsidRPr="00C12279" w:rsidRDefault="004E25EA" w:rsidP="008B18C7">
      <w:pPr>
        <w:spacing w:after="0" w:line="360" w:lineRule="auto"/>
        <w:jc w:val="both"/>
        <w:rPr>
          <w:rFonts w:ascii="Times New Roman" w:hAnsi="Times New Roman" w:cs="Times New Roman"/>
          <w:b/>
          <w:sz w:val="24"/>
          <w:szCs w:val="24"/>
          <w:u w:val="single"/>
        </w:rPr>
      </w:pPr>
      <w:r w:rsidRPr="00C12279">
        <w:rPr>
          <w:rFonts w:ascii="Times New Roman" w:hAnsi="Times New Roman" w:cs="Times New Roman"/>
          <w:i/>
          <w:sz w:val="24"/>
          <w:szCs w:val="24"/>
        </w:rPr>
        <w:t>The value ruling</w:t>
      </w:r>
      <w:r w:rsidR="00822097" w:rsidRPr="00C12279">
        <w:rPr>
          <w:rStyle w:val="FootnoteReference"/>
          <w:rFonts w:ascii="Times New Roman" w:hAnsi="Times New Roman" w:cs="Times New Roman"/>
          <w:i/>
          <w:sz w:val="24"/>
          <w:szCs w:val="24"/>
        </w:rPr>
        <w:footnoteReference w:id="30"/>
      </w:r>
      <w:r w:rsidR="009B34F7" w:rsidRPr="00C12279">
        <w:rPr>
          <w:rFonts w:ascii="Times New Roman" w:hAnsi="Times New Roman" w:cs="Times New Roman"/>
          <w:b/>
          <w:sz w:val="24"/>
          <w:szCs w:val="24"/>
          <w:u w:val="single"/>
        </w:rPr>
        <w:t xml:space="preserve"> </w:t>
      </w:r>
    </w:p>
    <w:p w14:paraId="612B3965" w14:textId="6376E685" w:rsidR="003D4AE5" w:rsidRPr="00C12279" w:rsidRDefault="00173411" w:rsidP="008B18C7">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value ruling no 15 of 2007 was issued on</w:t>
      </w:r>
      <w:r w:rsidR="00707601" w:rsidRPr="00C12279">
        <w:rPr>
          <w:rFonts w:ascii="Times New Roman" w:hAnsi="Times New Roman" w:cs="Times New Roman"/>
          <w:sz w:val="24"/>
          <w:szCs w:val="24"/>
        </w:rPr>
        <w:t xml:space="preserve"> 5 November 2007. </w:t>
      </w:r>
      <w:r w:rsidR="001B71B9" w:rsidRPr="00C12279">
        <w:rPr>
          <w:rFonts w:ascii="Times New Roman" w:hAnsi="Times New Roman" w:cs="Times New Roman"/>
          <w:sz w:val="24"/>
          <w:szCs w:val="24"/>
        </w:rPr>
        <w:t>It replaced two other value rulings, num</w:t>
      </w:r>
      <w:r w:rsidR="00B95BCD" w:rsidRPr="00C12279">
        <w:rPr>
          <w:rFonts w:ascii="Times New Roman" w:hAnsi="Times New Roman" w:cs="Times New Roman"/>
          <w:sz w:val="24"/>
          <w:szCs w:val="24"/>
        </w:rPr>
        <w:t xml:space="preserve">bers 18 </w:t>
      </w:r>
      <w:r w:rsidR="001B71B9" w:rsidRPr="00C12279">
        <w:rPr>
          <w:rFonts w:ascii="Times New Roman" w:hAnsi="Times New Roman" w:cs="Times New Roman"/>
          <w:sz w:val="24"/>
          <w:szCs w:val="24"/>
        </w:rPr>
        <w:t>and 29 of 2001</w:t>
      </w:r>
      <w:r w:rsidR="001B71B9" w:rsidRPr="00C12279">
        <w:rPr>
          <w:rStyle w:val="FootnoteReference"/>
          <w:rFonts w:ascii="Times New Roman" w:hAnsi="Times New Roman" w:cs="Times New Roman"/>
          <w:sz w:val="24"/>
          <w:szCs w:val="24"/>
        </w:rPr>
        <w:footnoteReference w:id="31"/>
      </w:r>
      <w:r w:rsidR="00114EEB">
        <w:rPr>
          <w:rFonts w:ascii="Times New Roman" w:hAnsi="Times New Roman" w:cs="Times New Roman"/>
          <w:sz w:val="24"/>
          <w:szCs w:val="24"/>
        </w:rPr>
        <w:t xml:space="preserve">. </w:t>
      </w:r>
      <w:r w:rsidR="00DA7BE9" w:rsidRPr="00C12279">
        <w:rPr>
          <w:rFonts w:ascii="Times New Roman" w:hAnsi="Times New Roman" w:cs="Times New Roman"/>
          <w:sz w:val="24"/>
          <w:szCs w:val="24"/>
        </w:rPr>
        <w:t>T</w:t>
      </w:r>
      <w:r w:rsidR="004D14A3" w:rsidRPr="00C12279">
        <w:rPr>
          <w:rFonts w:ascii="Times New Roman" w:hAnsi="Times New Roman" w:cs="Times New Roman"/>
          <w:sz w:val="24"/>
          <w:szCs w:val="24"/>
        </w:rPr>
        <w:t xml:space="preserve">he </w:t>
      </w:r>
      <w:r w:rsidR="00DA7BE9" w:rsidRPr="00C12279">
        <w:rPr>
          <w:rFonts w:ascii="Times New Roman" w:hAnsi="Times New Roman" w:cs="Times New Roman"/>
          <w:sz w:val="24"/>
          <w:szCs w:val="24"/>
        </w:rPr>
        <w:t xml:space="preserve">transaction value accepted by the respondent in the first value ruling was based on the </w:t>
      </w:r>
      <w:r w:rsidR="004D14A3" w:rsidRPr="00C12279">
        <w:rPr>
          <w:rFonts w:ascii="Times New Roman" w:hAnsi="Times New Roman" w:cs="Times New Roman"/>
          <w:sz w:val="24"/>
          <w:szCs w:val="24"/>
        </w:rPr>
        <w:t>“invoiced prices plus dutiable adjustments”</w:t>
      </w:r>
      <w:r w:rsidR="00DA7BE9" w:rsidRPr="00C12279">
        <w:rPr>
          <w:rFonts w:ascii="Times New Roman" w:hAnsi="Times New Roman" w:cs="Times New Roman"/>
          <w:sz w:val="24"/>
          <w:szCs w:val="24"/>
        </w:rPr>
        <w:t xml:space="preserve"> and in the second value ruling it was based on the invoice price </w:t>
      </w:r>
      <w:r w:rsidR="004D14A3" w:rsidRPr="00C12279">
        <w:rPr>
          <w:rFonts w:ascii="Times New Roman" w:hAnsi="Times New Roman" w:cs="Times New Roman"/>
          <w:sz w:val="24"/>
          <w:szCs w:val="24"/>
        </w:rPr>
        <w:t xml:space="preserve">plus </w:t>
      </w:r>
      <w:r w:rsidR="00676A75" w:rsidRPr="00C12279">
        <w:rPr>
          <w:rFonts w:ascii="Times New Roman" w:hAnsi="Times New Roman" w:cs="Times New Roman"/>
          <w:sz w:val="24"/>
          <w:szCs w:val="24"/>
          <w:u w:val="single"/>
        </w:rPr>
        <w:t>¥</w:t>
      </w:r>
      <w:r w:rsidR="00FD450A" w:rsidRPr="00C12279">
        <w:rPr>
          <w:rFonts w:ascii="Times New Roman" w:hAnsi="Times New Roman" w:cs="Times New Roman"/>
          <w:sz w:val="24"/>
          <w:szCs w:val="24"/>
        </w:rPr>
        <w:t>12 500</w:t>
      </w:r>
      <w:r w:rsidR="004D14A3" w:rsidRPr="00C12279">
        <w:rPr>
          <w:rFonts w:ascii="Times New Roman" w:hAnsi="Times New Roman" w:cs="Times New Roman"/>
          <w:sz w:val="24"/>
          <w:szCs w:val="24"/>
        </w:rPr>
        <w:t xml:space="preserve"> </w:t>
      </w:r>
      <w:r w:rsidR="00676A75" w:rsidRPr="00C12279">
        <w:rPr>
          <w:rFonts w:ascii="Times New Roman" w:hAnsi="Times New Roman" w:cs="Times New Roman"/>
          <w:sz w:val="24"/>
          <w:szCs w:val="24"/>
        </w:rPr>
        <w:t xml:space="preserve">on each </w:t>
      </w:r>
      <w:r w:rsidR="004D14A3" w:rsidRPr="00C12279">
        <w:rPr>
          <w:rFonts w:ascii="Times New Roman" w:hAnsi="Times New Roman" w:cs="Times New Roman"/>
          <w:sz w:val="24"/>
          <w:szCs w:val="24"/>
        </w:rPr>
        <w:t xml:space="preserve">complete CKD kit and automobile CBU plus dutiable </w:t>
      </w:r>
      <w:r w:rsidR="00AF2C03" w:rsidRPr="00C12279">
        <w:rPr>
          <w:rFonts w:ascii="Times New Roman" w:hAnsi="Times New Roman" w:cs="Times New Roman"/>
          <w:sz w:val="24"/>
          <w:szCs w:val="24"/>
        </w:rPr>
        <w:t>adjustments</w:t>
      </w:r>
      <w:r w:rsidR="004D14A3" w:rsidRPr="00C12279">
        <w:rPr>
          <w:rFonts w:ascii="Times New Roman" w:hAnsi="Times New Roman" w:cs="Times New Roman"/>
          <w:sz w:val="24"/>
          <w:szCs w:val="24"/>
        </w:rPr>
        <w:t xml:space="preserve"> value and an uplift on the spare parts of 5% of the invoice price plus dutiable adjustments.</w:t>
      </w:r>
      <w:r w:rsidR="00AF2C03" w:rsidRPr="00C12279">
        <w:rPr>
          <w:rFonts w:ascii="Times New Roman" w:hAnsi="Times New Roman" w:cs="Times New Roman"/>
          <w:sz w:val="24"/>
          <w:szCs w:val="24"/>
        </w:rPr>
        <w:t xml:space="preserve"> The </w:t>
      </w:r>
      <w:r w:rsidR="002A2843" w:rsidRPr="00C12279">
        <w:rPr>
          <w:rFonts w:ascii="Times New Roman" w:hAnsi="Times New Roman" w:cs="Times New Roman"/>
          <w:sz w:val="24"/>
          <w:szCs w:val="24"/>
        </w:rPr>
        <w:t xml:space="preserve">transaction value of the consignment stock provided in </w:t>
      </w:r>
      <w:r w:rsidR="00D53CE9" w:rsidRPr="00C12279">
        <w:rPr>
          <w:rFonts w:ascii="Times New Roman" w:hAnsi="Times New Roman" w:cs="Times New Roman"/>
          <w:sz w:val="24"/>
          <w:szCs w:val="24"/>
        </w:rPr>
        <w:t xml:space="preserve">s 113 (2) of the Customs and Excise Act </w:t>
      </w:r>
      <w:r w:rsidR="00676A75" w:rsidRPr="00C12279">
        <w:rPr>
          <w:rFonts w:ascii="Times New Roman" w:hAnsi="Times New Roman" w:cs="Times New Roman"/>
          <w:sz w:val="24"/>
          <w:szCs w:val="24"/>
        </w:rPr>
        <w:t xml:space="preserve">also included </w:t>
      </w:r>
      <w:r w:rsidR="00AF2C03" w:rsidRPr="00C12279">
        <w:rPr>
          <w:rFonts w:ascii="Times New Roman" w:hAnsi="Times New Roman" w:cs="Times New Roman"/>
          <w:sz w:val="24"/>
          <w:szCs w:val="24"/>
        </w:rPr>
        <w:t>all costs, charges and expenses incidental to the sale</w:t>
      </w:r>
      <w:r w:rsidR="00D53CE9" w:rsidRPr="00C12279">
        <w:rPr>
          <w:rFonts w:ascii="Times New Roman" w:hAnsi="Times New Roman" w:cs="Times New Roman"/>
          <w:sz w:val="24"/>
          <w:szCs w:val="24"/>
        </w:rPr>
        <w:t xml:space="preserve"> and </w:t>
      </w:r>
      <w:r w:rsidR="00676A75" w:rsidRPr="00C12279">
        <w:rPr>
          <w:rFonts w:ascii="Times New Roman" w:hAnsi="Times New Roman" w:cs="Times New Roman"/>
          <w:sz w:val="24"/>
          <w:szCs w:val="24"/>
        </w:rPr>
        <w:t>handling</w:t>
      </w:r>
      <w:r w:rsidR="00D53CE9" w:rsidRPr="00C12279">
        <w:rPr>
          <w:rFonts w:ascii="Times New Roman" w:hAnsi="Times New Roman" w:cs="Times New Roman"/>
          <w:sz w:val="24"/>
          <w:szCs w:val="24"/>
        </w:rPr>
        <w:t xml:space="preserve"> and </w:t>
      </w:r>
      <w:r w:rsidR="00676A75" w:rsidRPr="00C12279">
        <w:rPr>
          <w:rFonts w:ascii="Times New Roman" w:hAnsi="Times New Roman" w:cs="Times New Roman"/>
          <w:sz w:val="24"/>
          <w:szCs w:val="24"/>
        </w:rPr>
        <w:t>transport</w:t>
      </w:r>
      <w:r w:rsidR="00D53CE9" w:rsidRPr="00C12279">
        <w:rPr>
          <w:rFonts w:ascii="Times New Roman" w:hAnsi="Times New Roman" w:cs="Times New Roman"/>
          <w:sz w:val="24"/>
          <w:szCs w:val="24"/>
        </w:rPr>
        <w:t xml:space="preserve"> costs from the port of exportation to the port of importation in Zimbabwe. </w:t>
      </w:r>
      <w:r w:rsidR="00AF2C03" w:rsidRPr="00C12279">
        <w:rPr>
          <w:rFonts w:ascii="Times New Roman" w:hAnsi="Times New Roman" w:cs="Times New Roman"/>
          <w:sz w:val="24"/>
          <w:szCs w:val="24"/>
        </w:rPr>
        <w:t xml:space="preserve">The application </w:t>
      </w:r>
      <w:r w:rsidR="00D53CE9" w:rsidRPr="00C12279">
        <w:rPr>
          <w:rFonts w:ascii="Times New Roman" w:hAnsi="Times New Roman" w:cs="Times New Roman"/>
          <w:sz w:val="24"/>
          <w:szCs w:val="24"/>
        </w:rPr>
        <w:t xml:space="preserve">preceding value ruling 15 of 2007 </w:t>
      </w:r>
      <w:r w:rsidR="00AF2C03" w:rsidRPr="00C12279">
        <w:rPr>
          <w:rFonts w:ascii="Times New Roman" w:hAnsi="Times New Roman" w:cs="Times New Roman"/>
          <w:sz w:val="24"/>
          <w:szCs w:val="24"/>
        </w:rPr>
        <w:t>was necessitated by the change of ownership in the appellant</w:t>
      </w:r>
      <w:r w:rsidR="00D53CE9" w:rsidRPr="00C12279">
        <w:rPr>
          <w:rFonts w:ascii="Times New Roman" w:hAnsi="Times New Roman" w:cs="Times New Roman"/>
          <w:sz w:val="24"/>
          <w:szCs w:val="24"/>
        </w:rPr>
        <w:t xml:space="preserve"> through the purchase </w:t>
      </w:r>
      <w:r w:rsidR="003D4AE5" w:rsidRPr="00C12279">
        <w:rPr>
          <w:rFonts w:ascii="Times New Roman" w:hAnsi="Times New Roman" w:cs="Times New Roman"/>
          <w:sz w:val="24"/>
          <w:szCs w:val="24"/>
        </w:rPr>
        <w:t>of 75% of the appellant’s capital by a</w:t>
      </w:r>
      <w:r w:rsidR="00645B74" w:rsidRPr="00C12279">
        <w:rPr>
          <w:rFonts w:ascii="Times New Roman" w:hAnsi="Times New Roman" w:cs="Times New Roman"/>
          <w:sz w:val="24"/>
          <w:szCs w:val="24"/>
        </w:rPr>
        <w:t xml:space="preserve"> Frenc</w:t>
      </w:r>
      <w:r w:rsidR="00114A8D" w:rsidRPr="00C12279">
        <w:rPr>
          <w:rFonts w:ascii="Times New Roman" w:hAnsi="Times New Roman" w:cs="Times New Roman"/>
          <w:sz w:val="24"/>
          <w:szCs w:val="24"/>
        </w:rPr>
        <w:t>h company</w:t>
      </w:r>
      <w:r w:rsidR="003D4AE5" w:rsidRPr="00C12279">
        <w:rPr>
          <w:rFonts w:ascii="Times New Roman" w:hAnsi="Times New Roman" w:cs="Times New Roman"/>
          <w:sz w:val="24"/>
          <w:szCs w:val="24"/>
        </w:rPr>
        <w:t xml:space="preserve"> which also </w:t>
      </w:r>
      <w:r w:rsidR="00114A8D" w:rsidRPr="00C12279">
        <w:rPr>
          <w:rFonts w:ascii="Times New Roman" w:hAnsi="Times New Roman" w:cs="Times New Roman"/>
          <w:sz w:val="24"/>
          <w:szCs w:val="24"/>
        </w:rPr>
        <w:t xml:space="preserve">wholly </w:t>
      </w:r>
      <w:r w:rsidR="003D4AE5" w:rsidRPr="00C12279">
        <w:rPr>
          <w:rFonts w:ascii="Times New Roman" w:hAnsi="Times New Roman" w:cs="Times New Roman"/>
          <w:sz w:val="24"/>
          <w:szCs w:val="24"/>
        </w:rPr>
        <w:t>owned the share capital in</w:t>
      </w:r>
      <w:r w:rsidR="00D53CE9" w:rsidRPr="00C12279">
        <w:rPr>
          <w:rFonts w:ascii="Times New Roman" w:hAnsi="Times New Roman" w:cs="Times New Roman"/>
          <w:sz w:val="24"/>
          <w:szCs w:val="24"/>
        </w:rPr>
        <w:t xml:space="preserve"> </w:t>
      </w:r>
      <w:r w:rsidR="00645B74" w:rsidRPr="00C12279">
        <w:rPr>
          <w:rFonts w:ascii="Times New Roman" w:hAnsi="Times New Roman" w:cs="Times New Roman"/>
          <w:sz w:val="24"/>
          <w:szCs w:val="24"/>
        </w:rPr>
        <w:t>the intermediary</w:t>
      </w:r>
      <w:r w:rsidR="003D4AE5" w:rsidRPr="00C12279">
        <w:rPr>
          <w:rFonts w:ascii="Times New Roman" w:hAnsi="Times New Roman" w:cs="Times New Roman"/>
          <w:sz w:val="24"/>
          <w:szCs w:val="24"/>
        </w:rPr>
        <w:t xml:space="preserve">. The holding company instigated the substitution of the conglomerate and the South African company in the supply matrix by the intermediary with the result that the appellant was designated as the importer and the intermediary as the supplier in the </w:t>
      </w:r>
      <w:r w:rsidR="00645B74" w:rsidRPr="00C12279">
        <w:rPr>
          <w:rFonts w:ascii="Times New Roman" w:hAnsi="Times New Roman" w:cs="Times New Roman"/>
          <w:sz w:val="24"/>
          <w:szCs w:val="24"/>
        </w:rPr>
        <w:t>value ruling number 15 of 2007</w:t>
      </w:r>
      <w:r w:rsidR="003D4AE5" w:rsidRPr="00C12279">
        <w:rPr>
          <w:rFonts w:ascii="Times New Roman" w:hAnsi="Times New Roman" w:cs="Times New Roman"/>
          <w:sz w:val="24"/>
          <w:szCs w:val="24"/>
        </w:rPr>
        <w:t>.</w:t>
      </w:r>
      <w:r w:rsidR="00645B74" w:rsidRPr="00C12279">
        <w:rPr>
          <w:rFonts w:ascii="Times New Roman" w:hAnsi="Times New Roman" w:cs="Times New Roman"/>
          <w:sz w:val="24"/>
          <w:szCs w:val="24"/>
        </w:rPr>
        <w:t xml:space="preserve"> </w:t>
      </w:r>
    </w:p>
    <w:p w14:paraId="0E921623" w14:textId="1BC99A3B" w:rsidR="00822097" w:rsidRPr="00C12279" w:rsidRDefault="00E9141B" w:rsidP="008409E8">
      <w:pPr>
        <w:jc w:val="both"/>
        <w:rPr>
          <w:rFonts w:ascii="Times New Roman" w:hAnsi="Times New Roman" w:cs="Times New Roman"/>
          <w:sz w:val="24"/>
          <w:szCs w:val="24"/>
        </w:rPr>
      </w:pPr>
      <w:r w:rsidRPr="00C12279">
        <w:rPr>
          <w:rFonts w:ascii="Times New Roman" w:hAnsi="Times New Roman" w:cs="Times New Roman"/>
          <w:sz w:val="24"/>
          <w:szCs w:val="24"/>
        </w:rPr>
        <w:t>The ruling stated</w:t>
      </w:r>
      <w:r w:rsidR="00173411" w:rsidRPr="00C12279">
        <w:rPr>
          <w:rFonts w:ascii="Times New Roman" w:hAnsi="Times New Roman" w:cs="Times New Roman"/>
          <w:sz w:val="24"/>
          <w:szCs w:val="24"/>
        </w:rPr>
        <w:t xml:space="preserve"> that:</w:t>
      </w:r>
    </w:p>
    <w:p w14:paraId="15680267" w14:textId="77777777" w:rsidR="00173411" w:rsidRPr="008B18C7" w:rsidRDefault="00173411" w:rsidP="008409E8">
      <w:pPr>
        <w:jc w:val="both"/>
        <w:rPr>
          <w:rFonts w:ascii="Times New Roman" w:hAnsi="Times New Roman" w:cs="Times New Roman"/>
          <w:b/>
          <w:u w:val="single"/>
        </w:rPr>
      </w:pPr>
      <w:r w:rsidRPr="00C12279">
        <w:rPr>
          <w:rFonts w:ascii="Times New Roman" w:hAnsi="Times New Roman" w:cs="Times New Roman"/>
          <w:b/>
          <w:sz w:val="24"/>
          <w:szCs w:val="24"/>
        </w:rPr>
        <w:tab/>
        <w:t>“</w:t>
      </w:r>
      <w:r w:rsidRPr="008B18C7">
        <w:rPr>
          <w:rFonts w:ascii="Times New Roman" w:hAnsi="Times New Roman" w:cs="Times New Roman"/>
          <w:b/>
          <w:u w:val="single"/>
        </w:rPr>
        <w:t>MOTOR VEHICLES</w:t>
      </w:r>
    </w:p>
    <w:p w14:paraId="5230DA0C" w14:textId="77777777" w:rsidR="00173411" w:rsidRPr="008B18C7" w:rsidRDefault="00173411" w:rsidP="008409E8">
      <w:pPr>
        <w:jc w:val="both"/>
        <w:rPr>
          <w:rFonts w:ascii="Times New Roman" w:hAnsi="Times New Roman" w:cs="Times New Roman"/>
        </w:rPr>
      </w:pPr>
      <w:r w:rsidRPr="008B18C7">
        <w:rPr>
          <w:rFonts w:ascii="Times New Roman" w:hAnsi="Times New Roman" w:cs="Times New Roman"/>
        </w:rPr>
        <w:tab/>
        <w:t>Invoiced prices plus dutiable adjustments are acceptable</w:t>
      </w:r>
    </w:p>
    <w:p w14:paraId="3729D3C7" w14:textId="77777777" w:rsidR="00173411" w:rsidRPr="008B18C7" w:rsidRDefault="00173411" w:rsidP="008409E8">
      <w:pPr>
        <w:jc w:val="both"/>
        <w:rPr>
          <w:rFonts w:ascii="Times New Roman" w:hAnsi="Times New Roman" w:cs="Times New Roman"/>
          <w:b/>
          <w:u w:val="single"/>
        </w:rPr>
      </w:pPr>
      <w:r w:rsidRPr="008B18C7">
        <w:rPr>
          <w:rFonts w:ascii="Times New Roman" w:hAnsi="Times New Roman" w:cs="Times New Roman"/>
          <w:b/>
        </w:rPr>
        <w:lastRenderedPageBreak/>
        <w:t xml:space="preserve">    </w:t>
      </w:r>
      <w:r w:rsidRPr="008B18C7">
        <w:rPr>
          <w:rFonts w:ascii="Times New Roman" w:hAnsi="Times New Roman" w:cs="Times New Roman"/>
          <w:b/>
        </w:rPr>
        <w:tab/>
      </w:r>
      <w:r w:rsidRPr="008B18C7">
        <w:rPr>
          <w:rFonts w:ascii="Times New Roman" w:hAnsi="Times New Roman" w:cs="Times New Roman"/>
          <w:b/>
          <w:u w:val="single"/>
        </w:rPr>
        <w:t>SPARE PARTS</w:t>
      </w:r>
    </w:p>
    <w:p w14:paraId="5AAE55D4" w14:textId="77777777" w:rsidR="00173411" w:rsidRPr="008B18C7" w:rsidRDefault="00173411" w:rsidP="008409E8">
      <w:pPr>
        <w:jc w:val="both"/>
        <w:rPr>
          <w:rFonts w:ascii="Times New Roman" w:hAnsi="Times New Roman" w:cs="Times New Roman"/>
        </w:rPr>
      </w:pPr>
      <w:r w:rsidRPr="008B18C7">
        <w:rPr>
          <w:rFonts w:ascii="Times New Roman" w:hAnsi="Times New Roman" w:cs="Times New Roman"/>
        </w:rPr>
        <w:tab/>
        <w:t>Invoiced prices plus dutiable adjustments are acceptable</w:t>
      </w:r>
    </w:p>
    <w:p w14:paraId="6D1F8C5E" w14:textId="77777777" w:rsidR="00173411" w:rsidRPr="008B18C7" w:rsidRDefault="00173411" w:rsidP="008409E8">
      <w:pPr>
        <w:jc w:val="both"/>
        <w:rPr>
          <w:rFonts w:ascii="Times New Roman" w:hAnsi="Times New Roman" w:cs="Times New Roman"/>
        </w:rPr>
      </w:pPr>
      <w:r w:rsidRPr="008B18C7">
        <w:rPr>
          <w:rFonts w:ascii="Times New Roman" w:hAnsi="Times New Roman" w:cs="Times New Roman"/>
        </w:rPr>
        <w:tab/>
        <w:t>T</w:t>
      </w:r>
      <w:r w:rsidR="00114A8D" w:rsidRPr="008B18C7">
        <w:rPr>
          <w:rFonts w:ascii="Times New Roman" w:hAnsi="Times New Roman" w:cs="Times New Roman"/>
        </w:rPr>
        <w:t xml:space="preserve">ransaction </w:t>
      </w:r>
      <w:r w:rsidRPr="008B18C7">
        <w:rPr>
          <w:rFonts w:ascii="Times New Roman" w:hAnsi="Times New Roman" w:cs="Times New Roman"/>
        </w:rPr>
        <w:t>V</w:t>
      </w:r>
      <w:r w:rsidR="00114A8D" w:rsidRPr="008B18C7">
        <w:rPr>
          <w:rFonts w:ascii="Times New Roman" w:hAnsi="Times New Roman" w:cs="Times New Roman"/>
        </w:rPr>
        <w:t>alue, TV,</w:t>
      </w:r>
      <w:r w:rsidRPr="008B18C7">
        <w:rPr>
          <w:rFonts w:ascii="Times New Roman" w:hAnsi="Times New Roman" w:cs="Times New Roman"/>
        </w:rPr>
        <w:t xml:space="preserve"> Method applicable</w:t>
      </w:r>
    </w:p>
    <w:p w14:paraId="6E58D0A1" w14:textId="77777777" w:rsidR="00173411" w:rsidRPr="00C12279" w:rsidRDefault="00173411" w:rsidP="008409E8">
      <w:pPr>
        <w:ind w:left="720"/>
        <w:jc w:val="both"/>
        <w:rPr>
          <w:rFonts w:ascii="Times New Roman" w:hAnsi="Times New Roman" w:cs="Times New Roman"/>
          <w:sz w:val="24"/>
          <w:szCs w:val="24"/>
        </w:rPr>
      </w:pPr>
      <w:r w:rsidRPr="008B18C7">
        <w:rPr>
          <w:rFonts w:ascii="Times New Roman" w:hAnsi="Times New Roman" w:cs="Times New Roman"/>
        </w:rPr>
        <w:t xml:space="preserve">Subject also to the inclusion of all costs, charges and expenses not mentioned above which are incidental to the </w:t>
      </w:r>
      <w:r w:rsidR="009F5E5A" w:rsidRPr="008B18C7">
        <w:rPr>
          <w:rFonts w:ascii="Times New Roman" w:hAnsi="Times New Roman" w:cs="Times New Roman"/>
        </w:rPr>
        <w:t>sale and to placing the goods on board the means of transport they are removed from country of exportation. Any subsequent costs, charges and expenses incurred in delivering the goods to the place of importation in Zimbabwe should also be included in terms of the Customs and Excise Act</w:t>
      </w:r>
      <w:r w:rsidR="009F5E5A" w:rsidRPr="00C12279">
        <w:rPr>
          <w:rFonts w:ascii="Times New Roman" w:hAnsi="Times New Roman" w:cs="Times New Roman"/>
          <w:sz w:val="24"/>
          <w:szCs w:val="24"/>
        </w:rPr>
        <w:t>.”</w:t>
      </w:r>
    </w:p>
    <w:p w14:paraId="6048B2A3" w14:textId="77777777" w:rsidR="00707601" w:rsidRPr="00C12279" w:rsidRDefault="00707601" w:rsidP="008409E8">
      <w:pPr>
        <w:jc w:val="both"/>
        <w:rPr>
          <w:rFonts w:ascii="Times New Roman" w:hAnsi="Times New Roman" w:cs="Times New Roman"/>
          <w:sz w:val="24"/>
          <w:szCs w:val="24"/>
        </w:rPr>
      </w:pPr>
      <w:r w:rsidRPr="00C12279">
        <w:rPr>
          <w:rFonts w:ascii="Times New Roman" w:hAnsi="Times New Roman" w:cs="Times New Roman"/>
          <w:sz w:val="24"/>
          <w:szCs w:val="24"/>
        </w:rPr>
        <w:t>The covering letter of the same date explained that</w:t>
      </w:r>
      <w:r w:rsidR="0069737D" w:rsidRPr="00C12279">
        <w:rPr>
          <w:rStyle w:val="FootnoteReference"/>
          <w:rFonts w:ascii="Times New Roman" w:hAnsi="Times New Roman" w:cs="Times New Roman"/>
          <w:sz w:val="24"/>
          <w:szCs w:val="24"/>
        </w:rPr>
        <w:footnoteReference w:id="32"/>
      </w:r>
      <w:r w:rsidRPr="00C12279">
        <w:rPr>
          <w:rFonts w:ascii="Times New Roman" w:hAnsi="Times New Roman" w:cs="Times New Roman"/>
          <w:sz w:val="24"/>
          <w:szCs w:val="24"/>
        </w:rPr>
        <w:t>:</w:t>
      </w:r>
    </w:p>
    <w:p w14:paraId="5FFA04AF" w14:textId="12D0406B" w:rsidR="00707601" w:rsidRPr="00C12279" w:rsidRDefault="00707601" w:rsidP="008B18C7">
      <w:pPr>
        <w:spacing w:line="240" w:lineRule="auto"/>
        <w:ind w:left="720"/>
        <w:jc w:val="both"/>
        <w:rPr>
          <w:rFonts w:ascii="Times New Roman" w:hAnsi="Times New Roman" w:cs="Times New Roman"/>
          <w:sz w:val="24"/>
          <w:szCs w:val="24"/>
        </w:rPr>
      </w:pPr>
      <w:r w:rsidRPr="00C12279">
        <w:rPr>
          <w:rFonts w:ascii="Times New Roman" w:hAnsi="Times New Roman" w:cs="Times New Roman"/>
          <w:sz w:val="24"/>
          <w:szCs w:val="24"/>
        </w:rPr>
        <w:t>“</w:t>
      </w:r>
      <w:r w:rsidRPr="008B18C7">
        <w:rPr>
          <w:rFonts w:ascii="Times New Roman" w:hAnsi="Times New Roman" w:cs="Times New Roman"/>
        </w:rPr>
        <w:t>Based upon the information you have provided regarding you</w:t>
      </w:r>
      <w:r w:rsidR="00974520" w:rsidRPr="008B18C7">
        <w:rPr>
          <w:rFonts w:ascii="Times New Roman" w:hAnsi="Times New Roman" w:cs="Times New Roman"/>
        </w:rPr>
        <w:t>r</w:t>
      </w:r>
      <w:r w:rsidRPr="008B18C7">
        <w:rPr>
          <w:rFonts w:ascii="Times New Roman" w:hAnsi="Times New Roman" w:cs="Times New Roman"/>
        </w:rPr>
        <w:t xml:space="preserve"> importation</w:t>
      </w:r>
      <w:r w:rsidR="00A37BE3" w:rsidRPr="008B18C7">
        <w:rPr>
          <w:rFonts w:ascii="Times New Roman" w:hAnsi="Times New Roman" w:cs="Times New Roman"/>
        </w:rPr>
        <w:t>s</w:t>
      </w:r>
      <w:r w:rsidRPr="008B18C7">
        <w:rPr>
          <w:rFonts w:ascii="Times New Roman" w:hAnsi="Times New Roman" w:cs="Times New Roman"/>
        </w:rPr>
        <w:t xml:space="preserve"> from </w:t>
      </w:r>
      <w:r w:rsidR="00A37BE3" w:rsidRPr="008B18C7">
        <w:rPr>
          <w:rFonts w:ascii="Times New Roman" w:hAnsi="Times New Roman" w:cs="Times New Roman"/>
        </w:rPr>
        <w:t>the intermediary</w:t>
      </w:r>
      <w:r w:rsidRPr="008B18C7">
        <w:rPr>
          <w:rFonts w:ascii="Times New Roman" w:hAnsi="Times New Roman" w:cs="Times New Roman"/>
        </w:rPr>
        <w:t xml:space="preserve">-RSA, the following value ruling number 15/2007 has been issued by the Commissioner General of </w:t>
      </w:r>
      <w:r w:rsidR="00974520" w:rsidRPr="008B18C7">
        <w:rPr>
          <w:rFonts w:ascii="Times New Roman" w:hAnsi="Times New Roman" w:cs="Times New Roman"/>
        </w:rPr>
        <w:t xml:space="preserve">the </w:t>
      </w:r>
      <w:r w:rsidRPr="008B18C7">
        <w:rPr>
          <w:rFonts w:ascii="Times New Roman" w:hAnsi="Times New Roman" w:cs="Times New Roman"/>
        </w:rPr>
        <w:t>Zimbabwe Revenue Authority in terms of s 106 and 113 of the Customs and Excise Act [</w:t>
      </w:r>
      <w:r w:rsidRPr="008B18C7">
        <w:rPr>
          <w:rFonts w:ascii="Times New Roman" w:hAnsi="Times New Roman" w:cs="Times New Roman"/>
          <w:i/>
        </w:rPr>
        <w:t>Chapter 23:02]</w:t>
      </w:r>
      <w:r w:rsidRPr="008B18C7">
        <w:rPr>
          <w:rFonts w:ascii="Times New Roman" w:hAnsi="Times New Roman" w:cs="Times New Roman"/>
        </w:rPr>
        <w:t xml:space="preserve"> as amended. The value for duty purposes will consist of t</w:t>
      </w:r>
      <w:r w:rsidR="00974520" w:rsidRPr="008B18C7">
        <w:rPr>
          <w:rFonts w:ascii="Times New Roman" w:hAnsi="Times New Roman" w:cs="Times New Roman"/>
        </w:rPr>
        <w:t xml:space="preserve">he total price paid or payable </w:t>
      </w:r>
      <w:r w:rsidRPr="008B18C7">
        <w:rPr>
          <w:rFonts w:ascii="Times New Roman" w:hAnsi="Times New Roman" w:cs="Times New Roman"/>
        </w:rPr>
        <w:t>(directly or indirectly) for the goods, plus any necessary dutiable adjustments referred  to in s 113 of the Customs and Excise Act [</w:t>
      </w:r>
      <w:r w:rsidRPr="008B18C7">
        <w:rPr>
          <w:rFonts w:ascii="Times New Roman" w:hAnsi="Times New Roman" w:cs="Times New Roman"/>
          <w:i/>
        </w:rPr>
        <w:t>Chapter 23:02</w:t>
      </w:r>
      <w:r w:rsidRPr="008B18C7">
        <w:rPr>
          <w:rFonts w:ascii="Times New Roman" w:hAnsi="Times New Roman" w:cs="Times New Roman"/>
        </w:rPr>
        <w:t>]. Your necessary dutiable charges/adjustments include the cost (not already included in the invoice) of any packages, packing, loading, handling, transport and insurance associated with the transportation of the goods to the place of importation in Zimbabwe. Provided that the relative amounts can be distinguished from the price of the goods and the necessary documentary evidence is furnished with the customs entry, the cost of transport and insurance beyond the place of importation may not be included in the value for duty purposes. The Commissioner General has made the ruling in accordance with the principles of the WTO valuation code</w:t>
      </w:r>
      <w:r w:rsidR="00C35E00" w:rsidRPr="008B18C7">
        <w:rPr>
          <w:rFonts w:ascii="Times New Roman" w:hAnsi="Times New Roman" w:cs="Times New Roman"/>
        </w:rPr>
        <w:t xml:space="preserve"> based upon the present terms and conditions of trading between yourselves and the supplier concerned, as made known to the Department. Any changes of these terms and conditions of trading must be notified to this office immediately</w:t>
      </w:r>
      <w:r w:rsidRPr="00C12279">
        <w:rPr>
          <w:rFonts w:ascii="Times New Roman" w:hAnsi="Times New Roman" w:cs="Times New Roman"/>
          <w:sz w:val="24"/>
          <w:szCs w:val="24"/>
        </w:rPr>
        <w:t>”</w:t>
      </w:r>
    </w:p>
    <w:p w14:paraId="159295E1" w14:textId="1A38BD23" w:rsidR="00715B34" w:rsidRPr="00C12279" w:rsidRDefault="00715B34" w:rsidP="00970708">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In a further covering letter of the same day</w:t>
      </w:r>
      <w:r w:rsidRPr="00C12279">
        <w:rPr>
          <w:rStyle w:val="FootnoteReference"/>
          <w:rFonts w:ascii="Times New Roman" w:hAnsi="Times New Roman" w:cs="Times New Roman"/>
          <w:sz w:val="24"/>
          <w:szCs w:val="24"/>
        </w:rPr>
        <w:footnoteReference w:id="33"/>
      </w:r>
      <w:r w:rsidR="00056CB0">
        <w:rPr>
          <w:rFonts w:ascii="Times New Roman" w:hAnsi="Times New Roman" w:cs="Times New Roman"/>
          <w:sz w:val="24"/>
          <w:szCs w:val="24"/>
        </w:rPr>
        <w:t>,</w:t>
      </w:r>
      <w:r w:rsidRPr="00C12279">
        <w:rPr>
          <w:rFonts w:ascii="Times New Roman" w:hAnsi="Times New Roman" w:cs="Times New Roman"/>
          <w:sz w:val="24"/>
          <w:szCs w:val="24"/>
        </w:rPr>
        <w:t xml:space="preserve"> the respondent confirmed that the appellant was the importer.</w:t>
      </w:r>
      <w:r w:rsidR="001B71B9" w:rsidRPr="00C12279">
        <w:rPr>
          <w:rFonts w:ascii="Times New Roman" w:hAnsi="Times New Roman" w:cs="Times New Roman"/>
          <w:sz w:val="24"/>
          <w:szCs w:val="24"/>
        </w:rPr>
        <w:t xml:space="preserve"> However</w:t>
      </w:r>
      <w:r w:rsidR="00056CB0">
        <w:rPr>
          <w:rFonts w:ascii="Times New Roman" w:hAnsi="Times New Roman" w:cs="Times New Roman"/>
          <w:sz w:val="24"/>
          <w:szCs w:val="24"/>
        </w:rPr>
        <w:t>,</w:t>
      </w:r>
      <w:r w:rsidR="001B71B9" w:rsidRPr="00C12279">
        <w:rPr>
          <w:rFonts w:ascii="Times New Roman" w:hAnsi="Times New Roman" w:cs="Times New Roman"/>
          <w:sz w:val="24"/>
          <w:szCs w:val="24"/>
        </w:rPr>
        <w:t xml:space="preserve"> this view was contrary to the insurance attestation on p</w:t>
      </w:r>
      <w:r w:rsidR="008B18C7">
        <w:rPr>
          <w:rFonts w:ascii="Times New Roman" w:hAnsi="Times New Roman" w:cs="Times New Roman"/>
          <w:sz w:val="24"/>
          <w:szCs w:val="24"/>
        </w:rPr>
        <w:t>p</w:t>
      </w:r>
      <w:r w:rsidR="001B71B9" w:rsidRPr="00C12279">
        <w:rPr>
          <w:rFonts w:ascii="Times New Roman" w:hAnsi="Times New Roman" w:cs="Times New Roman"/>
          <w:sz w:val="24"/>
          <w:szCs w:val="24"/>
        </w:rPr>
        <w:t xml:space="preserve"> 73 and </w:t>
      </w:r>
      <w:r w:rsidR="00C66ECB" w:rsidRPr="00C12279">
        <w:rPr>
          <w:rFonts w:ascii="Times New Roman" w:hAnsi="Times New Roman" w:cs="Times New Roman"/>
          <w:sz w:val="24"/>
          <w:szCs w:val="24"/>
        </w:rPr>
        <w:t xml:space="preserve">74 of exh 2 covering the </w:t>
      </w:r>
      <w:r w:rsidR="001B71B9" w:rsidRPr="00C12279">
        <w:rPr>
          <w:rFonts w:ascii="Times New Roman" w:hAnsi="Times New Roman" w:cs="Times New Roman"/>
          <w:sz w:val="24"/>
          <w:szCs w:val="24"/>
        </w:rPr>
        <w:t>2007 calendar year in</w:t>
      </w:r>
      <w:r w:rsidR="00D454B4" w:rsidRPr="00C12279">
        <w:rPr>
          <w:rFonts w:ascii="Times New Roman" w:hAnsi="Times New Roman" w:cs="Times New Roman"/>
          <w:sz w:val="24"/>
          <w:szCs w:val="24"/>
        </w:rPr>
        <w:t xml:space="preserve"> which the French based insurance brokers certified that the intermediary’s ve</w:t>
      </w:r>
      <w:r w:rsidR="00056CB0">
        <w:rPr>
          <w:rFonts w:ascii="Times New Roman" w:hAnsi="Times New Roman" w:cs="Times New Roman"/>
          <w:sz w:val="24"/>
          <w:szCs w:val="24"/>
        </w:rPr>
        <w:t>hicles sold to the appellant were</w:t>
      </w:r>
      <w:r w:rsidR="00C13D2C" w:rsidRPr="00C12279">
        <w:rPr>
          <w:rFonts w:ascii="Times New Roman" w:hAnsi="Times New Roman" w:cs="Times New Roman"/>
          <w:sz w:val="24"/>
          <w:szCs w:val="24"/>
        </w:rPr>
        <w:t xml:space="preserve"> validly insured against damage</w:t>
      </w:r>
      <w:r w:rsidR="00D454B4" w:rsidRPr="00C12279">
        <w:rPr>
          <w:rFonts w:ascii="Times New Roman" w:hAnsi="Times New Roman" w:cs="Times New Roman"/>
          <w:sz w:val="24"/>
          <w:szCs w:val="24"/>
        </w:rPr>
        <w:t xml:space="preserve"> and that the insurance policy was subject to automatic renewal from year to year. The risks covered were identified in bold print as: “all risks from the warehouse of the seller to the warehouse of the </w:t>
      </w:r>
      <w:r w:rsidR="00D454B4" w:rsidRPr="00C12279">
        <w:rPr>
          <w:rFonts w:ascii="Times New Roman" w:hAnsi="Times New Roman" w:cs="Times New Roman"/>
          <w:sz w:val="24"/>
          <w:szCs w:val="24"/>
          <w:u w:val="single"/>
        </w:rPr>
        <w:t>consignee</w:t>
      </w:r>
      <w:r w:rsidR="00D454B4" w:rsidRPr="00C12279">
        <w:rPr>
          <w:rFonts w:ascii="Times New Roman" w:hAnsi="Times New Roman" w:cs="Times New Roman"/>
          <w:sz w:val="24"/>
          <w:szCs w:val="24"/>
        </w:rPr>
        <w:t xml:space="preserve"> in Zimbabwe, on CIF value.”</w:t>
      </w:r>
      <w:r w:rsidRPr="00C12279">
        <w:rPr>
          <w:rFonts w:ascii="Times New Roman" w:hAnsi="Times New Roman" w:cs="Times New Roman"/>
          <w:sz w:val="24"/>
          <w:szCs w:val="24"/>
        </w:rPr>
        <w:t xml:space="preserve"> </w:t>
      </w:r>
      <w:r w:rsidR="00D454B4" w:rsidRPr="00C12279">
        <w:rPr>
          <w:rFonts w:ascii="Times New Roman" w:hAnsi="Times New Roman" w:cs="Times New Roman"/>
          <w:sz w:val="24"/>
          <w:szCs w:val="24"/>
        </w:rPr>
        <w:t>[</w:t>
      </w:r>
      <w:r w:rsidR="00834531" w:rsidRPr="00C12279">
        <w:rPr>
          <w:rFonts w:ascii="Times New Roman" w:hAnsi="Times New Roman" w:cs="Times New Roman"/>
          <w:sz w:val="24"/>
          <w:szCs w:val="24"/>
        </w:rPr>
        <w:t>Underlining</w:t>
      </w:r>
      <w:r w:rsidR="00D454B4" w:rsidRPr="00C12279">
        <w:rPr>
          <w:rFonts w:ascii="Times New Roman" w:hAnsi="Times New Roman" w:cs="Times New Roman"/>
          <w:sz w:val="24"/>
          <w:szCs w:val="24"/>
        </w:rPr>
        <w:t xml:space="preserve"> my own for emphasis]</w:t>
      </w:r>
      <w:r w:rsidR="00972E0E" w:rsidRPr="00C12279">
        <w:rPr>
          <w:rFonts w:ascii="Times New Roman" w:hAnsi="Times New Roman" w:cs="Times New Roman"/>
          <w:sz w:val="24"/>
          <w:szCs w:val="24"/>
        </w:rPr>
        <w:t xml:space="preserve">. </w:t>
      </w:r>
    </w:p>
    <w:p w14:paraId="338C8639" w14:textId="77777777" w:rsidR="00CD7EE1" w:rsidRPr="00C12279" w:rsidRDefault="00CD7EE1" w:rsidP="00970708">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Sections 104 to 119 in Part X of the Custom and Excise Act [</w:t>
      </w:r>
      <w:r w:rsidRPr="00C12279">
        <w:rPr>
          <w:rFonts w:ascii="Times New Roman" w:hAnsi="Times New Roman" w:cs="Times New Roman"/>
          <w:i/>
          <w:sz w:val="24"/>
          <w:szCs w:val="24"/>
        </w:rPr>
        <w:t>Chapter 23:02</w:t>
      </w:r>
      <w:r w:rsidRPr="00C12279">
        <w:rPr>
          <w:rFonts w:ascii="Times New Roman" w:hAnsi="Times New Roman" w:cs="Times New Roman"/>
          <w:sz w:val="24"/>
          <w:szCs w:val="24"/>
        </w:rPr>
        <w:t xml:space="preserve">] deal in detail with the computation of the value for duty purposes. The value for duty purposes is derived from the transaction value </w:t>
      </w:r>
      <w:r w:rsidR="00C8210F" w:rsidRPr="00C12279">
        <w:rPr>
          <w:rFonts w:ascii="Times New Roman" w:hAnsi="Times New Roman" w:cs="Times New Roman"/>
          <w:sz w:val="24"/>
          <w:szCs w:val="24"/>
        </w:rPr>
        <w:t xml:space="preserve">of the goods or services imported or due to be imported into Zimbabwe. The formula is provided in s 105 (1) and in the opening words of s 106 (1) in these terms: </w:t>
      </w:r>
    </w:p>
    <w:p w14:paraId="3105F600" w14:textId="547BD7C6" w:rsidR="00C8210F" w:rsidRPr="001D2BEC" w:rsidRDefault="00C8210F" w:rsidP="008409E8">
      <w:pPr>
        <w:autoSpaceDE w:val="0"/>
        <w:autoSpaceDN w:val="0"/>
        <w:adjustRightInd w:val="0"/>
        <w:spacing w:after="0" w:line="240" w:lineRule="auto"/>
        <w:jc w:val="both"/>
        <w:rPr>
          <w:rFonts w:ascii="Times New Roman" w:hAnsi="Times New Roman" w:cs="Times New Roman"/>
          <w:b/>
          <w:bCs/>
        </w:rPr>
      </w:pPr>
      <w:r w:rsidRPr="00C12279">
        <w:rPr>
          <w:rFonts w:ascii="Times New Roman" w:hAnsi="Times New Roman" w:cs="Times New Roman"/>
          <w:sz w:val="24"/>
          <w:szCs w:val="24"/>
        </w:rPr>
        <w:lastRenderedPageBreak/>
        <w:tab/>
      </w:r>
      <w:r w:rsidR="008B18C7">
        <w:rPr>
          <w:rFonts w:ascii="Times New Roman" w:hAnsi="Times New Roman" w:cs="Times New Roman"/>
          <w:sz w:val="24"/>
          <w:szCs w:val="24"/>
        </w:rPr>
        <w:t>“</w:t>
      </w:r>
      <w:r w:rsidRPr="001D2BEC">
        <w:rPr>
          <w:rFonts w:ascii="Times New Roman" w:hAnsi="Times New Roman" w:cs="Times New Roman"/>
          <w:b/>
          <w:bCs/>
        </w:rPr>
        <w:t>105 Value for duty purposes</w:t>
      </w:r>
    </w:p>
    <w:p w14:paraId="4CBB27CE" w14:textId="77777777" w:rsidR="00C8210F" w:rsidRPr="001D2BEC" w:rsidRDefault="00C8210F" w:rsidP="008B18C7">
      <w:pPr>
        <w:autoSpaceDE w:val="0"/>
        <w:autoSpaceDN w:val="0"/>
        <w:adjustRightInd w:val="0"/>
        <w:spacing w:after="0" w:line="240" w:lineRule="auto"/>
        <w:ind w:left="720"/>
        <w:jc w:val="both"/>
        <w:rPr>
          <w:rFonts w:ascii="Times New Roman" w:hAnsi="Times New Roman" w:cs="Times New Roman"/>
        </w:rPr>
      </w:pPr>
      <w:r w:rsidRPr="001D2BEC">
        <w:rPr>
          <w:rFonts w:ascii="Times New Roman" w:hAnsi="Times New Roman" w:cs="Times New Roman"/>
        </w:rPr>
        <w:t xml:space="preserve">(1) For the purpose of assessing the amount of any duty payable on any imported goods and for the purpose of any declaration or oath which may be required by this Act or </w:t>
      </w:r>
      <w:r w:rsidRPr="001D2BEC">
        <w:rPr>
          <w:rFonts w:ascii="Times New Roman" w:hAnsi="Times New Roman" w:cs="Times New Roman"/>
          <w:u w:val="single"/>
        </w:rPr>
        <w:t>any other enactment in relation to any question of value</w:t>
      </w:r>
      <w:r w:rsidRPr="001D2BEC">
        <w:rPr>
          <w:rFonts w:ascii="Times New Roman" w:hAnsi="Times New Roman" w:cs="Times New Roman"/>
        </w:rPr>
        <w:t xml:space="preserve"> or duty in connection with the importation of goods or goods which are likely to be imported, the value of such goods shall, subject to this Act, be the transaction value thereof as established or determined in terms of sections </w:t>
      </w:r>
      <w:r w:rsidRPr="001D2BEC">
        <w:rPr>
          <w:rFonts w:ascii="Times New Roman" w:hAnsi="Times New Roman" w:cs="Times New Roman"/>
          <w:i/>
          <w:iCs/>
        </w:rPr>
        <w:t xml:space="preserve">one hundred and six </w:t>
      </w:r>
      <w:r w:rsidRPr="001D2BEC">
        <w:rPr>
          <w:rFonts w:ascii="Times New Roman" w:hAnsi="Times New Roman" w:cs="Times New Roman"/>
        </w:rPr>
        <w:t xml:space="preserve">to </w:t>
      </w:r>
      <w:r w:rsidRPr="001D2BEC">
        <w:rPr>
          <w:rFonts w:ascii="Times New Roman" w:hAnsi="Times New Roman" w:cs="Times New Roman"/>
          <w:i/>
          <w:iCs/>
        </w:rPr>
        <w:t>one hundred and twelve</w:t>
      </w:r>
      <w:r w:rsidRPr="001D2BEC">
        <w:rPr>
          <w:rFonts w:ascii="Times New Roman" w:hAnsi="Times New Roman" w:cs="Times New Roman"/>
        </w:rPr>
        <w:t>.</w:t>
      </w:r>
    </w:p>
    <w:p w14:paraId="42F2E074" w14:textId="77777777" w:rsidR="00C8210F" w:rsidRPr="001D2BEC" w:rsidRDefault="00C8210F" w:rsidP="008B18C7">
      <w:pPr>
        <w:autoSpaceDE w:val="0"/>
        <w:autoSpaceDN w:val="0"/>
        <w:adjustRightInd w:val="0"/>
        <w:spacing w:after="0" w:line="240" w:lineRule="auto"/>
        <w:ind w:firstLine="720"/>
        <w:jc w:val="both"/>
        <w:rPr>
          <w:rFonts w:ascii="Times New Roman" w:hAnsi="Times New Roman" w:cs="Times New Roman"/>
          <w:b/>
          <w:bCs/>
        </w:rPr>
      </w:pPr>
      <w:r w:rsidRPr="001D2BEC">
        <w:rPr>
          <w:rFonts w:ascii="Times New Roman" w:hAnsi="Times New Roman" w:cs="Times New Roman"/>
          <w:b/>
          <w:bCs/>
        </w:rPr>
        <w:t>106 Transaction value: primary method of valuation</w:t>
      </w:r>
    </w:p>
    <w:p w14:paraId="1C905D6A" w14:textId="0B215347" w:rsidR="00EE5B0A" w:rsidRPr="00C97769" w:rsidRDefault="00C8210F" w:rsidP="00C9776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C97769">
        <w:rPr>
          <w:rFonts w:ascii="Times New Roman" w:hAnsi="Times New Roman" w:cs="Times New Roman"/>
        </w:rPr>
        <w:t>Subject to this Act, the value for duty purposes of any imported goods shall be the transaction value of</w:t>
      </w:r>
      <w:r w:rsidR="008B18C7" w:rsidRPr="00C97769">
        <w:rPr>
          <w:rFonts w:ascii="Times New Roman" w:hAnsi="Times New Roman" w:cs="Times New Roman"/>
        </w:rPr>
        <w:t xml:space="preserve"> </w:t>
      </w:r>
      <w:r w:rsidRPr="00C97769">
        <w:rPr>
          <w:rFonts w:ascii="Times New Roman" w:hAnsi="Times New Roman" w:cs="Times New Roman"/>
        </w:rPr>
        <w:t xml:space="preserve">the goods, that is to say, the price actually paid or payable for the goods when sold for export to Zimbabwe, adjusted in terms of section </w:t>
      </w:r>
      <w:r w:rsidRPr="00C97769">
        <w:rPr>
          <w:rFonts w:ascii="Times New Roman" w:hAnsi="Times New Roman" w:cs="Times New Roman"/>
          <w:i/>
          <w:iCs/>
        </w:rPr>
        <w:t>one hundred and thirteen</w:t>
      </w:r>
      <w:r w:rsidRPr="00C97769">
        <w:rPr>
          <w:rFonts w:ascii="Times New Roman" w:hAnsi="Times New Roman" w:cs="Times New Roman"/>
        </w:rPr>
        <w:t>, if</w:t>
      </w:r>
      <w:r w:rsidR="001D2BEC" w:rsidRPr="00C97769">
        <w:rPr>
          <w:rFonts w:ascii="Times New Roman" w:hAnsi="Times New Roman" w:cs="Times New Roman"/>
        </w:rPr>
        <w:t>”</w:t>
      </w:r>
      <w:r w:rsidRPr="00C97769">
        <w:rPr>
          <w:rFonts w:ascii="Times New Roman" w:hAnsi="Times New Roman" w:cs="Times New Roman"/>
        </w:rPr>
        <w:t>—</w:t>
      </w:r>
      <w:r w:rsidRPr="00C97769">
        <w:rPr>
          <w:rFonts w:ascii="Times New Roman" w:hAnsi="Times New Roman" w:cs="Times New Roman"/>
          <w:sz w:val="24"/>
          <w:szCs w:val="24"/>
        </w:rPr>
        <w:t>[the underlining is mine for emphasis]</w:t>
      </w:r>
    </w:p>
    <w:p w14:paraId="5517BFAE" w14:textId="77777777" w:rsidR="00C97769" w:rsidRPr="00C97769" w:rsidRDefault="00C97769" w:rsidP="00C97769">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1AD56E37" w14:textId="77777777" w:rsidR="00452CE3" w:rsidRPr="00C12279" w:rsidRDefault="00BF237E" w:rsidP="001D2BEC">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price actually paid or payable on imported goods is defined </w:t>
      </w:r>
      <w:r w:rsidR="00E30176" w:rsidRPr="00C12279">
        <w:rPr>
          <w:rFonts w:ascii="Times New Roman" w:hAnsi="Times New Roman" w:cs="Times New Roman"/>
          <w:sz w:val="24"/>
          <w:szCs w:val="24"/>
        </w:rPr>
        <w:t xml:space="preserve">in s 104 of the Customs and Excise Act </w:t>
      </w:r>
      <w:r w:rsidRPr="00C12279">
        <w:rPr>
          <w:rFonts w:ascii="Times New Roman" w:hAnsi="Times New Roman" w:cs="Times New Roman"/>
          <w:sz w:val="24"/>
          <w:szCs w:val="24"/>
        </w:rPr>
        <w:t xml:space="preserve">as the aggregate of all payments made or to be made on these goods by the importer to the seller that is to the satisfaction of the Commissioner and the value determined by the Commissioner of any consideration or services rendered or to be rendered by the importer for the benefit of the seller. </w:t>
      </w:r>
      <w:r w:rsidR="00452CE3" w:rsidRPr="00C12279">
        <w:rPr>
          <w:rFonts w:ascii="Times New Roman" w:hAnsi="Times New Roman" w:cs="Times New Roman"/>
          <w:sz w:val="24"/>
          <w:szCs w:val="24"/>
        </w:rPr>
        <w:t>T</w:t>
      </w:r>
      <w:r w:rsidR="000623E2" w:rsidRPr="00C12279">
        <w:rPr>
          <w:rFonts w:ascii="Times New Roman" w:hAnsi="Times New Roman" w:cs="Times New Roman"/>
          <w:sz w:val="24"/>
          <w:szCs w:val="24"/>
        </w:rPr>
        <w:t xml:space="preserve">he concept of related parties is captured in s 104 (3) to include individuals who </w:t>
      </w:r>
      <w:r w:rsidR="000623E2" w:rsidRPr="00C12279">
        <w:rPr>
          <w:rFonts w:ascii="Times New Roman" w:hAnsi="Times New Roman" w:cs="Times New Roman"/>
          <w:i/>
          <w:sz w:val="24"/>
          <w:szCs w:val="24"/>
        </w:rPr>
        <w:t>inter alia</w:t>
      </w:r>
      <w:r w:rsidR="000623E2" w:rsidRPr="00C12279">
        <w:rPr>
          <w:rFonts w:ascii="Times New Roman" w:hAnsi="Times New Roman" w:cs="Times New Roman"/>
          <w:sz w:val="24"/>
          <w:szCs w:val="24"/>
        </w:rPr>
        <w:t xml:space="preserve"> are officers or commissioners in each other’s businesses or corporate bodies in which any other person directly or indirectly owns, controls or holds at least </w:t>
      </w:r>
      <w:r w:rsidR="00912DFE" w:rsidRPr="00C12279">
        <w:rPr>
          <w:rFonts w:ascii="Times New Roman" w:hAnsi="Times New Roman" w:cs="Times New Roman"/>
          <w:sz w:val="24"/>
          <w:szCs w:val="24"/>
        </w:rPr>
        <w:t>5% of the issued shares of both or both are so controlled by a third person or control a third person or are members of the same family.</w:t>
      </w:r>
      <w:r w:rsidR="000623E2" w:rsidRPr="00C12279">
        <w:rPr>
          <w:rFonts w:ascii="Times New Roman" w:hAnsi="Times New Roman" w:cs="Times New Roman"/>
          <w:sz w:val="24"/>
          <w:szCs w:val="24"/>
        </w:rPr>
        <w:t xml:space="preserve"> </w:t>
      </w:r>
      <w:r w:rsidR="00923252" w:rsidRPr="00C12279">
        <w:rPr>
          <w:rFonts w:ascii="Times New Roman" w:hAnsi="Times New Roman" w:cs="Times New Roman"/>
          <w:sz w:val="24"/>
          <w:szCs w:val="24"/>
        </w:rPr>
        <w:t xml:space="preserve">In terms of s 104 (4) any </w:t>
      </w:r>
      <w:r w:rsidR="00912DFE" w:rsidRPr="00C12279">
        <w:rPr>
          <w:rFonts w:ascii="Times New Roman" w:hAnsi="Times New Roman" w:cs="Times New Roman"/>
          <w:sz w:val="24"/>
          <w:szCs w:val="24"/>
        </w:rPr>
        <w:t xml:space="preserve">sole agent or distributor or concessionaire of the other who falls into any of the </w:t>
      </w:r>
      <w:r w:rsidR="00923252" w:rsidRPr="00C12279">
        <w:rPr>
          <w:rFonts w:ascii="Times New Roman" w:hAnsi="Times New Roman" w:cs="Times New Roman"/>
          <w:sz w:val="24"/>
          <w:szCs w:val="24"/>
        </w:rPr>
        <w:t xml:space="preserve">categories listed in subs (3) is deemed to be a related party under Part X of the Customs and Excise Act. </w:t>
      </w:r>
    </w:p>
    <w:p w14:paraId="17643ED8" w14:textId="797265FB" w:rsidR="00951C6B" w:rsidRPr="00C12279" w:rsidRDefault="00951C6B" w:rsidP="001D2BEC">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There are five other elaborate methods of computing the transaction value of goods for duty purposes set out from s 107 to s 112 of the Customs and Excise Act. </w:t>
      </w:r>
      <w:r w:rsidR="00740E66" w:rsidRPr="00C12279">
        <w:rPr>
          <w:rFonts w:ascii="Times New Roman" w:hAnsi="Times New Roman" w:cs="Times New Roman"/>
          <w:sz w:val="24"/>
          <w:szCs w:val="24"/>
        </w:rPr>
        <w:t>These</w:t>
      </w:r>
      <w:r w:rsidRPr="00C12279">
        <w:rPr>
          <w:rFonts w:ascii="Times New Roman" w:hAnsi="Times New Roman" w:cs="Times New Roman"/>
          <w:sz w:val="24"/>
          <w:szCs w:val="24"/>
        </w:rPr>
        <w:t xml:space="preserve"> </w:t>
      </w:r>
      <w:r w:rsidR="002042B0" w:rsidRPr="00C12279">
        <w:rPr>
          <w:rFonts w:ascii="Times New Roman" w:hAnsi="Times New Roman" w:cs="Times New Roman"/>
          <w:sz w:val="24"/>
          <w:szCs w:val="24"/>
        </w:rPr>
        <w:t xml:space="preserve">comprise of </w:t>
      </w:r>
      <w:r w:rsidR="00740E66" w:rsidRPr="00C12279">
        <w:rPr>
          <w:rFonts w:ascii="Times New Roman" w:hAnsi="Times New Roman" w:cs="Times New Roman"/>
          <w:sz w:val="24"/>
          <w:szCs w:val="24"/>
        </w:rPr>
        <w:t xml:space="preserve">the first alternative method and second alternative method </w:t>
      </w:r>
      <w:r w:rsidR="002042B0" w:rsidRPr="00C12279">
        <w:rPr>
          <w:rFonts w:ascii="Times New Roman" w:hAnsi="Times New Roman" w:cs="Times New Roman"/>
          <w:sz w:val="24"/>
          <w:szCs w:val="24"/>
        </w:rPr>
        <w:t xml:space="preserve">which are based on </w:t>
      </w:r>
      <w:r w:rsidR="00241DAD" w:rsidRPr="00C12279">
        <w:rPr>
          <w:rFonts w:ascii="Times New Roman" w:hAnsi="Times New Roman" w:cs="Times New Roman"/>
          <w:sz w:val="24"/>
          <w:szCs w:val="24"/>
        </w:rPr>
        <w:t xml:space="preserve">the values of </w:t>
      </w:r>
      <w:r w:rsidR="002042B0" w:rsidRPr="00C12279">
        <w:rPr>
          <w:rFonts w:ascii="Times New Roman" w:hAnsi="Times New Roman" w:cs="Times New Roman"/>
          <w:sz w:val="24"/>
          <w:szCs w:val="24"/>
        </w:rPr>
        <w:t>identical and</w:t>
      </w:r>
      <w:r w:rsidR="00740E66" w:rsidRPr="00C12279">
        <w:rPr>
          <w:rFonts w:ascii="Times New Roman" w:hAnsi="Times New Roman" w:cs="Times New Roman"/>
          <w:sz w:val="24"/>
          <w:szCs w:val="24"/>
        </w:rPr>
        <w:t xml:space="preserve"> similar goods, respectively, exported to Zim</w:t>
      </w:r>
      <w:r w:rsidR="002042B0" w:rsidRPr="00C12279">
        <w:rPr>
          <w:rFonts w:ascii="Times New Roman" w:hAnsi="Times New Roman" w:cs="Times New Roman"/>
          <w:sz w:val="24"/>
          <w:szCs w:val="24"/>
        </w:rPr>
        <w:t>babwe at</w:t>
      </w:r>
      <w:r w:rsidR="00740E66" w:rsidRPr="00C12279">
        <w:rPr>
          <w:rFonts w:ascii="Times New Roman" w:hAnsi="Times New Roman" w:cs="Times New Roman"/>
          <w:sz w:val="24"/>
          <w:szCs w:val="24"/>
        </w:rPr>
        <w:t xml:space="preserve"> abou</w:t>
      </w:r>
      <w:r w:rsidR="002042B0" w:rsidRPr="00C12279">
        <w:rPr>
          <w:rFonts w:ascii="Times New Roman" w:hAnsi="Times New Roman" w:cs="Times New Roman"/>
          <w:sz w:val="24"/>
          <w:szCs w:val="24"/>
        </w:rPr>
        <w:t xml:space="preserve">t the same commercial level and the same quantity </w:t>
      </w:r>
      <w:r w:rsidR="00740E66" w:rsidRPr="00C12279">
        <w:rPr>
          <w:rFonts w:ascii="Times New Roman" w:hAnsi="Times New Roman" w:cs="Times New Roman"/>
          <w:sz w:val="24"/>
          <w:szCs w:val="24"/>
        </w:rPr>
        <w:t xml:space="preserve">at </w:t>
      </w:r>
      <w:r w:rsidR="002042B0" w:rsidRPr="00C12279">
        <w:rPr>
          <w:rFonts w:ascii="Times New Roman" w:hAnsi="Times New Roman" w:cs="Times New Roman"/>
          <w:sz w:val="24"/>
          <w:szCs w:val="24"/>
        </w:rPr>
        <w:t xml:space="preserve">about </w:t>
      </w:r>
      <w:r w:rsidR="00740E66" w:rsidRPr="00C12279">
        <w:rPr>
          <w:rFonts w:ascii="Times New Roman" w:hAnsi="Times New Roman" w:cs="Times New Roman"/>
          <w:sz w:val="24"/>
          <w:szCs w:val="24"/>
        </w:rPr>
        <w:t xml:space="preserve">the same time. The third alternative deductive method </w:t>
      </w:r>
      <w:r w:rsidR="00BD7573" w:rsidRPr="00C12279">
        <w:rPr>
          <w:rFonts w:ascii="Times New Roman" w:hAnsi="Times New Roman" w:cs="Times New Roman"/>
          <w:sz w:val="24"/>
          <w:szCs w:val="24"/>
        </w:rPr>
        <w:t xml:space="preserve">is based on comparative </w:t>
      </w:r>
      <w:r w:rsidR="009701F7" w:rsidRPr="00C12279">
        <w:rPr>
          <w:rFonts w:ascii="Times New Roman" w:hAnsi="Times New Roman" w:cs="Times New Roman"/>
          <w:sz w:val="24"/>
          <w:szCs w:val="24"/>
        </w:rPr>
        <w:t xml:space="preserve">sales between unrelated parties </w:t>
      </w:r>
      <w:r w:rsidR="001A3C99" w:rsidRPr="00C12279">
        <w:rPr>
          <w:rFonts w:ascii="Times New Roman" w:hAnsi="Times New Roman" w:cs="Times New Roman"/>
          <w:sz w:val="24"/>
          <w:szCs w:val="24"/>
        </w:rPr>
        <w:t xml:space="preserve">of similar or identical goods less any commissions, mark-up, cost of sales, transport, loading and unloading, handling </w:t>
      </w:r>
      <w:r w:rsidR="00740E66" w:rsidRPr="00C12279">
        <w:rPr>
          <w:rFonts w:ascii="Times New Roman" w:hAnsi="Times New Roman" w:cs="Times New Roman"/>
          <w:sz w:val="24"/>
          <w:szCs w:val="24"/>
        </w:rPr>
        <w:t>and</w:t>
      </w:r>
      <w:r w:rsidR="001A3C99" w:rsidRPr="00C12279">
        <w:rPr>
          <w:rFonts w:ascii="Times New Roman" w:hAnsi="Times New Roman" w:cs="Times New Roman"/>
          <w:sz w:val="24"/>
          <w:szCs w:val="24"/>
        </w:rPr>
        <w:t xml:space="preserve"> insurance costs within Zimbabwe from the place of importation and any duty or tax payable locally on importation or sale of the goods</w:t>
      </w:r>
      <w:r w:rsidR="00BD7573" w:rsidRPr="00C12279">
        <w:rPr>
          <w:rFonts w:ascii="Times New Roman" w:hAnsi="Times New Roman" w:cs="Times New Roman"/>
          <w:sz w:val="24"/>
          <w:szCs w:val="24"/>
        </w:rPr>
        <w:t>.</w:t>
      </w:r>
      <w:r w:rsidR="001A3C99" w:rsidRPr="00C12279">
        <w:rPr>
          <w:rFonts w:ascii="Times New Roman" w:hAnsi="Times New Roman" w:cs="Times New Roman"/>
          <w:sz w:val="24"/>
          <w:szCs w:val="24"/>
        </w:rPr>
        <w:t xml:space="preserve"> The fourth alternative method relies</w:t>
      </w:r>
      <w:r w:rsidR="00740E66" w:rsidRPr="00C12279">
        <w:rPr>
          <w:rFonts w:ascii="Times New Roman" w:hAnsi="Times New Roman" w:cs="Times New Roman"/>
          <w:sz w:val="24"/>
          <w:szCs w:val="24"/>
        </w:rPr>
        <w:t xml:space="preserve"> on </w:t>
      </w:r>
      <w:r w:rsidR="00F800E9" w:rsidRPr="00C12279">
        <w:rPr>
          <w:rFonts w:ascii="Times New Roman" w:hAnsi="Times New Roman" w:cs="Times New Roman"/>
          <w:sz w:val="24"/>
          <w:szCs w:val="24"/>
        </w:rPr>
        <w:t xml:space="preserve">the </w:t>
      </w:r>
      <w:r w:rsidR="00241DAD" w:rsidRPr="00C12279">
        <w:rPr>
          <w:rFonts w:ascii="Times New Roman" w:hAnsi="Times New Roman" w:cs="Times New Roman"/>
          <w:sz w:val="24"/>
          <w:szCs w:val="24"/>
        </w:rPr>
        <w:t xml:space="preserve">manufacturer’s production costs plus mark-up. </w:t>
      </w:r>
      <w:r w:rsidR="00A173E3" w:rsidRPr="00C12279">
        <w:rPr>
          <w:rFonts w:ascii="Times New Roman" w:hAnsi="Times New Roman" w:cs="Times New Roman"/>
          <w:sz w:val="24"/>
          <w:szCs w:val="24"/>
        </w:rPr>
        <w:t xml:space="preserve">The final alternative method is a fall back method, which incorporates </w:t>
      </w:r>
      <w:r w:rsidR="00574ECD" w:rsidRPr="00C12279">
        <w:rPr>
          <w:rFonts w:ascii="Times New Roman" w:hAnsi="Times New Roman" w:cs="Times New Roman"/>
          <w:sz w:val="24"/>
          <w:szCs w:val="24"/>
        </w:rPr>
        <w:t xml:space="preserve">the preceding four methods </w:t>
      </w:r>
      <w:r w:rsidR="00C75FC0" w:rsidRPr="00C12279">
        <w:rPr>
          <w:rFonts w:ascii="Times New Roman" w:hAnsi="Times New Roman" w:cs="Times New Roman"/>
          <w:sz w:val="24"/>
          <w:szCs w:val="24"/>
        </w:rPr>
        <w:t>with necessary modifications. The respondent is precluded from resorting to</w:t>
      </w:r>
      <w:r w:rsidR="00ED01C6" w:rsidRPr="00C12279">
        <w:rPr>
          <w:rFonts w:ascii="Times New Roman" w:hAnsi="Times New Roman" w:cs="Times New Roman"/>
          <w:sz w:val="24"/>
          <w:szCs w:val="24"/>
        </w:rPr>
        <w:t xml:space="preserve"> fictitious or higher</w:t>
      </w:r>
      <w:r w:rsidR="00080D49" w:rsidRPr="00C12279">
        <w:rPr>
          <w:rFonts w:ascii="Times New Roman" w:hAnsi="Times New Roman" w:cs="Times New Roman"/>
          <w:sz w:val="24"/>
          <w:szCs w:val="24"/>
        </w:rPr>
        <w:t xml:space="preserve"> alternative</w:t>
      </w:r>
      <w:r w:rsidR="00ED01C6" w:rsidRPr="00C12279">
        <w:rPr>
          <w:rFonts w:ascii="Times New Roman" w:hAnsi="Times New Roman" w:cs="Times New Roman"/>
          <w:sz w:val="24"/>
          <w:szCs w:val="24"/>
        </w:rPr>
        <w:t xml:space="preserve"> </w:t>
      </w:r>
      <w:r w:rsidR="00C75FC0" w:rsidRPr="00C12279">
        <w:rPr>
          <w:rFonts w:ascii="Times New Roman" w:hAnsi="Times New Roman" w:cs="Times New Roman"/>
          <w:sz w:val="24"/>
          <w:szCs w:val="24"/>
        </w:rPr>
        <w:t xml:space="preserve">values from the country of origin or </w:t>
      </w:r>
      <w:r w:rsidR="00241DAD" w:rsidRPr="00C12279">
        <w:rPr>
          <w:rFonts w:ascii="Times New Roman" w:hAnsi="Times New Roman" w:cs="Times New Roman"/>
          <w:sz w:val="24"/>
          <w:szCs w:val="24"/>
        </w:rPr>
        <w:t xml:space="preserve">to any </w:t>
      </w:r>
      <w:r w:rsidR="00C75FC0" w:rsidRPr="00C12279">
        <w:rPr>
          <w:rFonts w:ascii="Times New Roman" w:hAnsi="Times New Roman" w:cs="Times New Roman"/>
          <w:sz w:val="24"/>
          <w:szCs w:val="24"/>
        </w:rPr>
        <w:t xml:space="preserve">prescribed minimum custom values. </w:t>
      </w:r>
    </w:p>
    <w:p w14:paraId="7BCB97CB" w14:textId="65ED8D79" w:rsidR="001F49BB" w:rsidRPr="00C12279" w:rsidRDefault="001F49BB" w:rsidP="001D2BEC">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lastRenderedPageBreak/>
        <w:t xml:space="preserve">The adjustments prescribed by s 113 of the Customs and Excise Act are additional to the price actually paid or payable by the importer to the seller to the extent that they were incurred by the buyer and were excluded in the price actually paid or payable.  </w:t>
      </w:r>
      <w:r w:rsidR="00AA1648" w:rsidRPr="00C12279">
        <w:rPr>
          <w:rFonts w:ascii="Times New Roman" w:hAnsi="Times New Roman" w:cs="Times New Roman"/>
          <w:sz w:val="24"/>
          <w:szCs w:val="24"/>
        </w:rPr>
        <w:t>These</w:t>
      </w:r>
      <w:r w:rsidR="00B42936" w:rsidRPr="00C12279">
        <w:rPr>
          <w:rFonts w:ascii="Times New Roman" w:hAnsi="Times New Roman" w:cs="Times New Roman"/>
          <w:sz w:val="24"/>
          <w:szCs w:val="24"/>
        </w:rPr>
        <w:t xml:space="preserve"> includes </w:t>
      </w:r>
      <w:r w:rsidR="008856C2" w:rsidRPr="00C12279">
        <w:rPr>
          <w:rFonts w:ascii="Times New Roman" w:hAnsi="Times New Roman" w:cs="Times New Roman"/>
          <w:sz w:val="24"/>
          <w:szCs w:val="24"/>
        </w:rPr>
        <w:t>packing,</w:t>
      </w:r>
      <w:r w:rsidR="00B42936" w:rsidRPr="00C12279">
        <w:rPr>
          <w:rFonts w:ascii="Times New Roman" w:hAnsi="Times New Roman" w:cs="Times New Roman"/>
          <w:sz w:val="24"/>
          <w:szCs w:val="24"/>
        </w:rPr>
        <w:t xml:space="preserve"> </w:t>
      </w:r>
      <w:r w:rsidR="008856C2" w:rsidRPr="00C12279">
        <w:rPr>
          <w:rFonts w:ascii="Times New Roman" w:hAnsi="Times New Roman" w:cs="Times New Roman"/>
          <w:sz w:val="24"/>
          <w:szCs w:val="24"/>
        </w:rPr>
        <w:t>loading and unloading, handling, transport and insurance</w:t>
      </w:r>
      <w:r w:rsidR="00C952F5" w:rsidRPr="00C12279">
        <w:rPr>
          <w:rFonts w:ascii="Times New Roman" w:hAnsi="Times New Roman" w:cs="Times New Roman"/>
          <w:sz w:val="24"/>
          <w:szCs w:val="24"/>
        </w:rPr>
        <w:t>,</w:t>
      </w:r>
      <w:r w:rsidR="008856C2" w:rsidRPr="00C12279">
        <w:rPr>
          <w:rFonts w:ascii="Times New Roman" w:hAnsi="Times New Roman" w:cs="Times New Roman"/>
          <w:sz w:val="24"/>
          <w:szCs w:val="24"/>
        </w:rPr>
        <w:t xml:space="preserve"> royalties and licence fees for </w:t>
      </w:r>
      <w:r w:rsidR="00C952F5" w:rsidRPr="00C12279">
        <w:rPr>
          <w:rFonts w:ascii="Times New Roman" w:hAnsi="Times New Roman" w:cs="Times New Roman"/>
          <w:sz w:val="24"/>
          <w:szCs w:val="24"/>
        </w:rPr>
        <w:t xml:space="preserve">the </w:t>
      </w:r>
      <w:r w:rsidR="008856C2" w:rsidRPr="00C12279">
        <w:rPr>
          <w:rFonts w:ascii="Times New Roman" w:hAnsi="Times New Roman" w:cs="Times New Roman"/>
          <w:sz w:val="24"/>
          <w:szCs w:val="24"/>
        </w:rPr>
        <w:t xml:space="preserve">use of intellectual property rights, transport and insurance from </w:t>
      </w:r>
      <w:r w:rsidR="00AA1648" w:rsidRPr="00C12279">
        <w:rPr>
          <w:rFonts w:ascii="Times New Roman" w:hAnsi="Times New Roman" w:cs="Times New Roman"/>
          <w:sz w:val="24"/>
          <w:szCs w:val="24"/>
        </w:rPr>
        <w:t xml:space="preserve">the </w:t>
      </w:r>
      <w:r w:rsidR="008856C2" w:rsidRPr="00C12279">
        <w:rPr>
          <w:rFonts w:ascii="Times New Roman" w:hAnsi="Times New Roman" w:cs="Times New Roman"/>
          <w:sz w:val="24"/>
          <w:szCs w:val="24"/>
        </w:rPr>
        <w:t xml:space="preserve">place of manufacture to </w:t>
      </w:r>
      <w:r w:rsidR="00AA1648" w:rsidRPr="00C12279">
        <w:rPr>
          <w:rFonts w:ascii="Times New Roman" w:hAnsi="Times New Roman" w:cs="Times New Roman"/>
          <w:sz w:val="24"/>
          <w:szCs w:val="24"/>
        </w:rPr>
        <w:t xml:space="preserve">the </w:t>
      </w:r>
      <w:r w:rsidR="008856C2" w:rsidRPr="00C12279">
        <w:rPr>
          <w:rFonts w:ascii="Times New Roman" w:hAnsi="Times New Roman" w:cs="Times New Roman"/>
          <w:sz w:val="24"/>
          <w:szCs w:val="24"/>
        </w:rPr>
        <w:t xml:space="preserve">place of export to place of importation into Zimbabwe but </w:t>
      </w:r>
      <w:r w:rsidR="00AA1648" w:rsidRPr="00C12279">
        <w:rPr>
          <w:rFonts w:ascii="Times New Roman" w:hAnsi="Times New Roman" w:cs="Times New Roman"/>
          <w:sz w:val="24"/>
          <w:szCs w:val="24"/>
        </w:rPr>
        <w:t>the costs</w:t>
      </w:r>
      <w:r w:rsidR="008856C2" w:rsidRPr="00C12279">
        <w:rPr>
          <w:rFonts w:ascii="Times New Roman" w:hAnsi="Times New Roman" w:cs="Times New Roman"/>
          <w:sz w:val="24"/>
          <w:szCs w:val="24"/>
        </w:rPr>
        <w:t xml:space="preserve"> incurred within </w:t>
      </w:r>
      <w:r w:rsidR="00F536D8" w:rsidRPr="00C12279">
        <w:rPr>
          <w:rFonts w:ascii="Times New Roman" w:hAnsi="Times New Roman" w:cs="Times New Roman"/>
          <w:sz w:val="24"/>
          <w:szCs w:val="24"/>
        </w:rPr>
        <w:t>Zimbabwe</w:t>
      </w:r>
      <w:r w:rsidR="008856C2" w:rsidRPr="00C12279">
        <w:rPr>
          <w:rFonts w:ascii="Times New Roman" w:hAnsi="Times New Roman" w:cs="Times New Roman"/>
          <w:sz w:val="24"/>
          <w:szCs w:val="24"/>
        </w:rPr>
        <w:t xml:space="preserve"> </w:t>
      </w:r>
      <w:r w:rsidR="00F536D8" w:rsidRPr="00C12279">
        <w:rPr>
          <w:rFonts w:ascii="Times New Roman" w:hAnsi="Times New Roman" w:cs="Times New Roman"/>
          <w:sz w:val="24"/>
          <w:szCs w:val="24"/>
        </w:rPr>
        <w:t>from the place of importation</w:t>
      </w:r>
      <w:r w:rsidR="008856C2" w:rsidRPr="00C12279">
        <w:rPr>
          <w:rFonts w:ascii="Times New Roman" w:hAnsi="Times New Roman" w:cs="Times New Roman"/>
          <w:sz w:val="24"/>
          <w:szCs w:val="24"/>
        </w:rPr>
        <w:t xml:space="preserve"> </w:t>
      </w:r>
      <w:r w:rsidR="00F536D8" w:rsidRPr="00C12279">
        <w:rPr>
          <w:rFonts w:ascii="Times New Roman" w:hAnsi="Times New Roman" w:cs="Times New Roman"/>
          <w:sz w:val="24"/>
          <w:szCs w:val="24"/>
        </w:rPr>
        <w:t xml:space="preserve">are </w:t>
      </w:r>
      <w:r w:rsidR="00AA1648" w:rsidRPr="00C12279">
        <w:rPr>
          <w:rFonts w:ascii="Times New Roman" w:hAnsi="Times New Roman" w:cs="Times New Roman"/>
          <w:sz w:val="24"/>
          <w:szCs w:val="24"/>
        </w:rPr>
        <w:t>excluded from the transaction value.</w:t>
      </w:r>
      <w:r w:rsidR="00F536D8" w:rsidRPr="00C12279">
        <w:rPr>
          <w:rFonts w:ascii="Times New Roman" w:hAnsi="Times New Roman" w:cs="Times New Roman"/>
          <w:sz w:val="24"/>
          <w:szCs w:val="24"/>
        </w:rPr>
        <w:t xml:space="preserve"> </w:t>
      </w:r>
      <w:r w:rsidR="00AE0C5D" w:rsidRPr="00C12279">
        <w:rPr>
          <w:rFonts w:ascii="Times New Roman" w:hAnsi="Times New Roman" w:cs="Times New Roman"/>
          <w:sz w:val="24"/>
          <w:szCs w:val="24"/>
        </w:rPr>
        <w:t xml:space="preserve">It is clear from the provisions of s 114 of the Customs and Excise Act that the value of any imported goods in the bill of entry does not constitute the value determined and </w:t>
      </w:r>
      <w:r w:rsidR="00CB00D1" w:rsidRPr="00C12279">
        <w:rPr>
          <w:rFonts w:ascii="Times New Roman" w:hAnsi="Times New Roman" w:cs="Times New Roman"/>
          <w:sz w:val="24"/>
          <w:szCs w:val="24"/>
        </w:rPr>
        <w:t>accepted by</w:t>
      </w:r>
      <w:r w:rsidR="00AE0C5D" w:rsidRPr="00C12279">
        <w:rPr>
          <w:rFonts w:ascii="Times New Roman" w:hAnsi="Times New Roman" w:cs="Times New Roman"/>
          <w:sz w:val="24"/>
          <w:szCs w:val="24"/>
        </w:rPr>
        <w:t xml:space="preserve"> the Commissioner for duty purposes. </w:t>
      </w:r>
    </w:p>
    <w:p w14:paraId="60C2589C" w14:textId="2399B46E" w:rsidR="00555010" w:rsidRPr="00C52CAE" w:rsidRDefault="002220A5" w:rsidP="00C52CAE">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correspondence and the determination to the objection as well as in pleadings, </w:t>
      </w:r>
      <w:r w:rsidR="00930E71" w:rsidRPr="00C12279">
        <w:rPr>
          <w:rFonts w:ascii="Times New Roman" w:hAnsi="Times New Roman" w:cs="Times New Roman"/>
          <w:sz w:val="24"/>
          <w:szCs w:val="24"/>
        </w:rPr>
        <w:t>evidence and argument</w:t>
      </w:r>
      <w:r w:rsidR="00CE4D03" w:rsidRPr="00C12279">
        <w:rPr>
          <w:rFonts w:ascii="Times New Roman" w:hAnsi="Times New Roman" w:cs="Times New Roman"/>
          <w:sz w:val="24"/>
          <w:szCs w:val="24"/>
        </w:rPr>
        <w:t xml:space="preserve"> the respondent advanced two reasons for abandoning the value ruling in the present matter and </w:t>
      </w:r>
      <w:r w:rsidR="00D402B8" w:rsidRPr="00C12279">
        <w:rPr>
          <w:rFonts w:ascii="Times New Roman" w:hAnsi="Times New Roman" w:cs="Times New Roman"/>
          <w:sz w:val="24"/>
          <w:szCs w:val="24"/>
        </w:rPr>
        <w:t>electing to assess</w:t>
      </w:r>
      <w:r w:rsidR="00CE4D03" w:rsidRPr="00C12279">
        <w:rPr>
          <w:rFonts w:ascii="Times New Roman" w:hAnsi="Times New Roman" w:cs="Times New Roman"/>
          <w:sz w:val="24"/>
          <w:szCs w:val="24"/>
        </w:rPr>
        <w:t xml:space="preserve"> the appellant for income tax </w:t>
      </w:r>
      <w:r w:rsidR="00483168" w:rsidRPr="00C12279">
        <w:rPr>
          <w:rFonts w:ascii="Times New Roman" w:hAnsi="Times New Roman" w:cs="Times New Roman"/>
          <w:sz w:val="24"/>
          <w:szCs w:val="24"/>
        </w:rPr>
        <w:t xml:space="preserve">purposes </w:t>
      </w:r>
      <w:r w:rsidR="00CE4D03" w:rsidRPr="00C12279">
        <w:rPr>
          <w:rFonts w:ascii="Times New Roman" w:hAnsi="Times New Roman" w:cs="Times New Roman"/>
          <w:sz w:val="24"/>
          <w:szCs w:val="24"/>
        </w:rPr>
        <w:t xml:space="preserve">on a different basis. </w:t>
      </w:r>
      <w:r w:rsidR="00764725" w:rsidRPr="00C12279">
        <w:rPr>
          <w:rFonts w:ascii="Times New Roman" w:hAnsi="Times New Roman" w:cs="Times New Roman"/>
          <w:sz w:val="24"/>
          <w:szCs w:val="24"/>
        </w:rPr>
        <w:t xml:space="preserve">The first was that the Value Ruling applied to the determination of the duty value of the imported motor vehicles, which constitute the subject matter of the income tax appeals.  </w:t>
      </w:r>
      <w:r w:rsidR="00F9528B" w:rsidRPr="00C12279">
        <w:rPr>
          <w:rFonts w:ascii="Times New Roman" w:hAnsi="Times New Roman" w:cs="Times New Roman"/>
          <w:sz w:val="24"/>
          <w:szCs w:val="24"/>
        </w:rPr>
        <w:t xml:space="preserve">The second and alternative contention was that the respondent was not bound by the value ruling as from 1 March 2009 and throughout the tax years in which the appeals relate because the appellant reneged on one of the terms and conditions going </w:t>
      </w:r>
      <w:r w:rsidR="0032056D" w:rsidRPr="00C12279">
        <w:rPr>
          <w:rFonts w:ascii="Times New Roman" w:hAnsi="Times New Roman" w:cs="Times New Roman"/>
          <w:sz w:val="24"/>
          <w:szCs w:val="24"/>
        </w:rPr>
        <w:t xml:space="preserve">to the root of the value ruling in that it failed to inform the Commissioner General of the Management Fess/Technical Fess agreement entered into with the intermediary on 2 March 2009. </w:t>
      </w:r>
      <w:r w:rsidR="00382795" w:rsidRPr="00C12279">
        <w:rPr>
          <w:rFonts w:ascii="Times New Roman" w:hAnsi="Times New Roman" w:cs="Times New Roman"/>
          <w:sz w:val="24"/>
          <w:szCs w:val="24"/>
        </w:rPr>
        <w:t xml:space="preserve"> </w:t>
      </w:r>
    </w:p>
    <w:p w14:paraId="160999BE" w14:textId="77777777" w:rsidR="00555010" w:rsidRPr="00C12279" w:rsidRDefault="00382795" w:rsidP="008409E8">
      <w:pPr>
        <w:jc w:val="both"/>
        <w:rPr>
          <w:rFonts w:ascii="Times New Roman" w:hAnsi="Times New Roman" w:cs="Times New Roman"/>
          <w:i/>
          <w:sz w:val="24"/>
          <w:szCs w:val="24"/>
        </w:rPr>
      </w:pPr>
      <w:r w:rsidRPr="00C12279">
        <w:rPr>
          <w:rFonts w:ascii="Times New Roman" w:hAnsi="Times New Roman" w:cs="Times New Roman"/>
          <w:i/>
          <w:sz w:val="24"/>
          <w:szCs w:val="24"/>
        </w:rPr>
        <w:t xml:space="preserve">Whether the Customs and Excise Value Ruling binds </w:t>
      </w:r>
      <w:r w:rsidR="00103E48" w:rsidRPr="00C12279">
        <w:rPr>
          <w:rFonts w:ascii="Times New Roman" w:hAnsi="Times New Roman" w:cs="Times New Roman"/>
          <w:i/>
          <w:sz w:val="24"/>
          <w:szCs w:val="24"/>
        </w:rPr>
        <w:t>the Commissioner</w:t>
      </w:r>
      <w:r w:rsidRPr="00C12279">
        <w:rPr>
          <w:rFonts w:ascii="Times New Roman" w:hAnsi="Times New Roman" w:cs="Times New Roman"/>
          <w:i/>
          <w:sz w:val="24"/>
          <w:szCs w:val="24"/>
        </w:rPr>
        <w:t xml:space="preserve"> in an Income Tax matter? </w:t>
      </w:r>
    </w:p>
    <w:p w14:paraId="5DB9A2EB" w14:textId="1A943634" w:rsidR="00382795" w:rsidRPr="00C12279" w:rsidRDefault="00103E48" w:rsidP="00C52CAE">
      <w:pPr>
        <w:spacing w:line="360" w:lineRule="auto"/>
        <w:ind w:firstLine="720"/>
        <w:jc w:val="both"/>
        <w:rPr>
          <w:rFonts w:ascii="Times New Roman" w:hAnsi="Times New Roman" w:cs="Times New Roman"/>
          <w:i/>
          <w:sz w:val="24"/>
          <w:szCs w:val="24"/>
        </w:rPr>
      </w:pPr>
      <w:r w:rsidRPr="00C12279">
        <w:rPr>
          <w:rFonts w:ascii="Times New Roman" w:hAnsi="Times New Roman" w:cs="Times New Roman"/>
          <w:sz w:val="24"/>
          <w:szCs w:val="24"/>
        </w:rPr>
        <w:t xml:space="preserve">Mr </w:t>
      </w:r>
      <w:r w:rsidRPr="00C12279">
        <w:rPr>
          <w:rFonts w:ascii="Times New Roman" w:hAnsi="Times New Roman" w:cs="Times New Roman"/>
          <w:i/>
          <w:sz w:val="24"/>
          <w:szCs w:val="24"/>
        </w:rPr>
        <w:t>de Bourbon</w:t>
      </w:r>
      <w:r w:rsidRPr="00C12279">
        <w:rPr>
          <w:rFonts w:ascii="Times New Roman" w:hAnsi="Times New Roman" w:cs="Times New Roman"/>
          <w:sz w:val="24"/>
          <w:szCs w:val="24"/>
        </w:rPr>
        <w:t xml:space="preserve">, for the appellant, contended that the Commissioner was bound by the value ruling in question in the present income tax appeals even though it was made to resolve a Customs and Excise question. Mr </w:t>
      </w:r>
      <w:r w:rsidRPr="00C12279">
        <w:rPr>
          <w:rFonts w:ascii="Times New Roman" w:hAnsi="Times New Roman" w:cs="Times New Roman"/>
          <w:i/>
          <w:sz w:val="24"/>
          <w:szCs w:val="24"/>
        </w:rPr>
        <w:t>Magwaliba,</w:t>
      </w:r>
      <w:r w:rsidRPr="00C12279">
        <w:rPr>
          <w:rFonts w:ascii="Times New Roman" w:hAnsi="Times New Roman" w:cs="Times New Roman"/>
          <w:sz w:val="24"/>
          <w:szCs w:val="24"/>
        </w:rPr>
        <w:t xml:space="preserve"> for the respondent, made contrary submissions on the point. </w:t>
      </w:r>
      <w:r w:rsidR="00C77F55" w:rsidRPr="00C52CAE">
        <w:rPr>
          <w:rFonts w:ascii="Times New Roman" w:hAnsi="Times New Roman" w:cs="Times New Roman"/>
          <w:sz w:val="24"/>
          <w:szCs w:val="24"/>
        </w:rPr>
        <w:t>Mr</w:t>
      </w:r>
      <w:r w:rsidR="00C77F55" w:rsidRPr="00C12279">
        <w:rPr>
          <w:rFonts w:ascii="Times New Roman" w:hAnsi="Times New Roman" w:cs="Times New Roman"/>
          <w:i/>
          <w:sz w:val="24"/>
          <w:szCs w:val="24"/>
        </w:rPr>
        <w:t xml:space="preserve"> de Bourbon</w:t>
      </w:r>
      <w:r w:rsidR="00C77F55" w:rsidRPr="00C12279">
        <w:rPr>
          <w:rFonts w:ascii="Times New Roman" w:hAnsi="Times New Roman" w:cs="Times New Roman"/>
          <w:sz w:val="24"/>
          <w:szCs w:val="24"/>
        </w:rPr>
        <w:t xml:space="preserve"> contended that as a single entity, the Zimbabwe Revenue Authority was obliged by the fundamental provisions s 68 of the Constitution and s 3 (1) (a) of the Administrative Justice Act [</w:t>
      </w:r>
      <w:r w:rsidR="00C77F55" w:rsidRPr="00C12279">
        <w:rPr>
          <w:rFonts w:ascii="Times New Roman" w:hAnsi="Times New Roman" w:cs="Times New Roman"/>
          <w:i/>
          <w:sz w:val="24"/>
          <w:szCs w:val="24"/>
        </w:rPr>
        <w:t>Chapter 10:28</w:t>
      </w:r>
      <w:r w:rsidR="00C77F55" w:rsidRPr="00C12279">
        <w:rPr>
          <w:rFonts w:ascii="Times New Roman" w:hAnsi="Times New Roman" w:cs="Times New Roman"/>
          <w:sz w:val="24"/>
          <w:szCs w:val="24"/>
        </w:rPr>
        <w:t xml:space="preserve">] to act in a lawful, reasonable and fair manner in utilising its opinion formed under the Customs and Excise Act on the transaction value of the imported motor vehicles to the computation of the purchase price under the Income Tax Act. </w:t>
      </w:r>
      <w:r w:rsidR="005A1802" w:rsidRPr="00C12279">
        <w:rPr>
          <w:rFonts w:ascii="Times New Roman" w:hAnsi="Times New Roman" w:cs="Times New Roman"/>
          <w:sz w:val="24"/>
          <w:szCs w:val="24"/>
        </w:rPr>
        <w:t xml:space="preserve"> </w:t>
      </w:r>
      <w:r w:rsidR="00D208F1" w:rsidRPr="00C12279">
        <w:rPr>
          <w:rFonts w:ascii="Times New Roman" w:hAnsi="Times New Roman" w:cs="Times New Roman"/>
          <w:sz w:val="24"/>
          <w:szCs w:val="24"/>
        </w:rPr>
        <w:t>He contended that the Commissioner could not possibly justify the change of opinion reflective as it was of his state of mind in the finding that the relationship between the appellant and intermediary did not influence the transaction value</w:t>
      </w:r>
      <w:r w:rsidR="006A36D1" w:rsidRPr="00C12279">
        <w:rPr>
          <w:rFonts w:ascii="Times New Roman" w:hAnsi="Times New Roman" w:cs="Times New Roman"/>
          <w:sz w:val="24"/>
          <w:szCs w:val="24"/>
        </w:rPr>
        <w:t>.</w:t>
      </w:r>
      <w:r w:rsidR="00D208F1" w:rsidRPr="00C12279">
        <w:rPr>
          <w:rFonts w:ascii="Times New Roman" w:hAnsi="Times New Roman" w:cs="Times New Roman"/>
          <w:sz w:val="24"/>
          <w:szCs w:val="24"/>
        </w:rPr>
        <w:t xml:space="preserve"> </w:t>
      </w:r>
      <w:r w:rsidR="00D208F1" w:rsidRPr="00C12279">
        <w:rPr>
          <w:rFonts w:ascii="Times New Roman" w:hAnsi="Times New Roman" w:cs="Times New Roman"/>
          <w:sz w:val="24"/>
          <w:szCs w:val="24"/>
        </w:rPr>
        <w:lastRenderedPageBreak/>
        <w:t xml:space="preserve">He further contended that the importer had proved to the satisfaction of the Commissioner that the transaction value closely approximated the values </w:t>
      </w:r>
      <w:r w:rsidR="000C5E8E" w:rsidRPr="00C12279">
        <w:rPr>
          <w:rFonts w:ascii="Times New Roman" w:hAnsi="Times New Roman" w:cs="Times New Roman"/>
          <w:sz w:val="24"/>
          <w:szCs w:val="24"/>
        </w:rPr>
        <w:t>referred to in s 106 (2) of the C</w:t>
      </w:r>
      <w:r w:rsidR="006A36D1" w:rsidRPr="00C12279">
        <w:rPr>
          <w:rFonts w:ascii="Times New Roman" w:hAnsi="Times New Roman" w:cs="Times New Roman"/>
          <w:sz w:val="24"/>
          <w:szCs w:val="24"/>
        </w:rPr>
        <w:t>ustoms and</w:t>
      </w:r>
      <w:r w:rsidR="000C5E8E" w:rsidRPr="00C12279">
        <w:rPr>
          <w:rFonts w:ascii="Times New Roman" w:hAnsi="Times New Roman" w:cs="Times New Roman"/>
          <w:sz w:val="24"/>
          <w:szCs w:val="24"/>
        </w:rPr>
        <w:t xml:space="preserve"> E</w:t>
      </w:r>
      <w:r w:rsidR="006A36D1" w:rsidRPr="00C12279">
        <w:rPr>
          <w:rFonts w:ascii="Times New Roman" w:hAnsi="Times New Roman" w:cs="Times New Roman"/>
          <w:sz w:val="24"/>
          <w:szCs w:val="24"/>
        </w:rPr>
        <w:t>xcise</w:t>
      </w:r>
      <w:r w:rsidR="000C5E8E" w:rsidRPr="00C12279">
        <w:rPr>
          <w:rFonts w:ascii="Times New Roman" w:hAnsi="Times New Roman" w:cs="Times New Roman"/>
          <w:sz w:val="24"/>
          <w:szCs w:val="24"/>
        </w:rPr>
        <w:t xml:space="preserve"> Act. </w:t>
      </w:r>
      <w:r w:rsidR="00D208F1" w:rsidRPr="00C12279">
        <w:rPr>
          <w:rFonts w:ascii="Times New Roman" w:hAnsi="Times New Roman" w:cs="Times New Roman"/>
          <w:sz w:val="24"/>
          <w:szCs w:val="24"/>
        </w:rPr>
        <w:t xml:space="preserve"> </w:t>
      </w:r>
      <w:r w:rsidR="00056CB0">
        <w:rPr>
          <w:rFonts w:ascii="Times New Roman" w:hAnsi="Times New Roman" w:cs="Times New Roman"/>
          <w:sz w:val="24"/>
          <w:szCs w:val="24"/>
        </w:rPr>
        <w:t>Counsel</w:t>
      </w:r>
      <w:r w:rsidR="00C52CAE" w:rsidRPr="00C12279">
        <w:rPr>
          <w:rFonts w:ascii="Times New Roman" w:hAnsi="Times New Roman" w:cs="Times New Roman"/>
          <w:sz w:val="24"/>
          <w:szCs w:val="24"/>
        </w:rPr>
        <w:t xml:space="preserve"> were</w:t>
      </w:r>
      <w:r w:rsidR="007F2344" w:rsidRPr="00C12279">
        <w:rPr>
          <w:rFonts w:ascii="Times New Roman" w:hAnsi="Times New Roman" w:cs="Times New Roman"/>
          <w:sz w:val="24"/>
          <w:szCs w:val="24"/>
        </w:rPr>
        <w:t xml:space="preserve"> however agreed that there was</w:t>
      </w:r>
      <w:r w:rsidR="005A1802" w:rsidRPr="00C12279">
        <w:rPr>
          <w:rFonts w:ascii="Times New Roman" w:hAnsi="Times New Roman" w:cs="Times New Roman"/>
          <w:sz w:val="24"/>
          <w:szCs w:val="24"/>
        </w:rPr>
        <w:t xml:space="preserve"> no specific section in t</w:t>
      </w:r>
      <w:r w:rsidR="000D7859" w:rsidRPr="00C12279">
        <w:rPr>
          <w:rFonts w:ascii="Times New Roman" w:hAnsi="Times New Roman" w:cs="Times New Roman"/>
          <w:sz w:val="24"/>
          <w:szCs w:val="24"/>
        </w:rPr>
        <w:t>he S</w:t>
      </w:r>
      <w:r w:rsidR="007F2344" w:rsidRPr="00C12279">
        <w:rPr>
          <w:rFonts w:ascii="Times New Roman" w:hAnsi="Times New Roman" w:cs="Times New Roman"/>
          <w:sz w:val="24"/>
          <w:szCs w:val="24"/>
        </w:rPr>
        <w:t>cheduled Acts which require</w:t>
      </w:r>
      <w:r w:rsidR="005A1802" w:rsidRPr="00C12279">
        <w:rPr>
          <w:rFonts w:ascii="Times New Roman" w:hAnsi="Times New Roman" w:cs="Times New Roman"/>
          <w:sz w:val="24"/>
          <w:szCs w:val="24"/>
        </w:rPr>
        <w:t xml:space="preserve"> the Commissioner to act in the manner advocated by Mr </w:t>
      </w:r>
      <w:r w:rsidR="005A1802" w:rsidRPr="00C12279">
        <w:rPr>
          <w:rFonts w:ascii="Times New Roman" w:hAnsi="Times New Roman" w:cs="Times New Roman"/>
          <w:i/>
          <w:sz w:val="24"/>
          <w:szCs w:val="24"/>
        </w:rPr>
        <w:t>de Bourbon</w:t>
      </w:r>
      <w:r w:rsidR="00794A5C" w:rsidRPr="00C12279">
        <w:rPr>
          <w:rFonts w:ascii="Times New Roman" w:hAnsi="Times New Roman" w:cs="Times New Roman"/>
          <w:i/>
          <w:sz w:val="24"/>
          <w:szCs w:val="24"/>
        </w:rPr>
        <w:t xml:space="preserve">. </w:t>
      </w:r>
      <w:r w:rsidR="00C86638" w:rsidRPr="00C12279">
        <w:rPr>
          <w:rFonts w:ascii="Times New Roman" w:hAnsi="Times New Roman" w:cs="Times New Roman"/>
          <w:sz w:val="24"/>
          <w:szCs w:val="24"/>
          <w:u w:val="single"/>
        </w:rPr>
        <w:t xml:space="preserve"> </w:t>
      </w:r>
    </w:p>
    <w:p w14:paraId="35AC0A88" w14:textId="77777777" w:rsidR="007F658C" w:rsidRPr="00C12279" w:rsidRDefault="007F658C" w:rsidP="00493463">
      <w:pPr>
        <w:jc w:val="both"/>
        <w:rPr>
          <w:rFonts w:ascii="Times New Roman" w:hAnsi="Times New Roman" w:cs="Times New Roman"/>
          <w:b/>
          <w:sz w:val="24"/>
          <w:szCs w:val="24"/>
        </w:rPr>
      </w:pPr>
      <w:r w:rsidRPr="00C12279">
        <w:rPr>
          <w:rFonts w:ascii="Times New Roman" w:hAnsi="Times New Roman" w:cs="Times New Roman"/>
          <w:b/>
          <w:sz w:val="24"/>
          <w:szCs w:val="24"/>
        </w:rPr>
        <w:t>The foundational provisions of the Revenue Authority Act [Chapter 23:11]</w:t>
      </w:r>
    </w:p>
    <w:p w14:paraId="3643EA16" w14:textId="1A4EBA16" w:rsidR="00220AD3" w:rsidRPr="00C12279" w:rsidRDefault="0073086B" w:rsidP="00C52CAE">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is indisputable that the respondent is created by s 3 of the Revenue Authority Act </w:t>
      </w:r>
      <w:r w:rsidRPr="00C12279">
        <w:rPr>
          <w:rFonts w:ascii="Times New Roman" w:hAnsi="Times New Roman" w:cs="Times New Roman"/>
          <w:i/>
          <w:sz w:val="24"/>
          <w:szCs w:val="24"/>
        </w:rPr>
        <w:t>[Chapter 23:11</w:t>
      </w:r>
      <w:r w:rsidRPr="00C12279">
        <w:rPr>
          <w:rFonts w:ascii="Times New Roman" w:hAnsi="Times New Roman" w:cs="Times New Roman"/>
          <w:sz w:val="24"/>
          <w:szCs w:val="24"/>
        </w:rPr>
        <w:t>] as a single entity</w:t>
      </w:r>
      <w:r w:rsidR="009E53E4" w:rsidRPr="00C12279">
        <w:rPr>
          <w:rFonts w:ascii="Times New Roman" w:hAnsi="Times New Roman" w:cs="Times New Roman"/>
          <w:sz w:val="24"/>
          <w:szCs w:val="24"/>
        </w:rPr>
        <w:t xml:space="preserve"> </w:t>
      </w:r>
      <w:r w:rsidRPr="00C12279">
        <w:rPr>
          <w:rFonts w:ascii="Times New Roman" w:hAnsi="Times New Roman" w:cs="Times New Roman"/>
          <w:sz w:val="24"/>
          <w:szCs w:val="24"/>
        </w:rPr>
        <w:t>with the seamless functions outlined in s 4, amongst which is the assessment, collection and enforcement of the payment of all revenues</w:t>
      </w:r>
      <w:r w:rsidR="009E53E4" w:rsidRPr="00C12279">
        <w:rPr>
          <w:rFonts w:ascii="Times New Roman" w:hAnsi="Times New Roman" w:cs="Times New Roman"/>
          <w:sz w:val="24"/>
          <w:szCs w:val="24"/>
        </w:rPr>
        <w:t xml:space="preserve"> under the administrative purview of a single Commissioner -General appointed in terms of s 19. </w:t>
      </w:r>
      <w:r w:rsidRPr="00C12279">
        <w:rPr>
          <w:rFonts w:ascii="Times New Roman" w:hAnsi="Times New Roman" w:cs="Times New Roman"/>
          <w:sz w:val="24"/>
          <w:szCs w:val="24"/>
        </w:rPr>
        <w:t xml:space="preserve"> However,</w:t>
      </w:r>
      <w:r w:rsidR="00206620" w:rsidRPr="00C12279">
        <w:rPr>
          <w:rFonts w:ascii="Times New Roman" w:hAnsi="Times New Roman" w:cs="Times New Roman"/>
          <w:sz w:val="24"/>
          <w:szCs w:val="24"/>
        </w:rPr>
        <w:t xml:space="preserve"> in terms of s 20 and 21, the Board also appoints Commissioners in charge of such departments or divisions that the Board may establish</w:t>
      </w:r>
      <w:r w:rsidR="00BD3052" w:rsidRPr="00C12279">
        <w:rPr>
          <w:rFonts w:ascii="Times New Roman" w:hAnsi="Times New Roman" w:cs="Times New Roman"/>
          <w:sz w:val="24"/>
          <w:szCs w:val="24"/>
        </w:rPr>
        <w:t xml:space="preserve"> but who serve under the control of the Commissioner-General</w:t>
      </w:r>
      <w:r w:rsidR="00163E89" w:rsidRPr="00C12279">
        <w:rPr>
          <w:rFonts w:ascii="Times New Roman" w:hAnsi="Times New Roman" w:cs="Times New Roman"/>
          <w:sz w:val="24"/>
          <w:szCs w:val="24"/>
        </w:rPr>
        <w:t xml:space="preserve"> and who administer the Scheduled Acts listed in the First Schedule amongst which are the Customs and Excise Act and the Income T</w:t>
      </w:r>
      <w:r w:rsidR="00086EB4" w:rsidRPr="00C12279">
        <w:rPr>
          <w:rFonts w:ascii="Times New Roman" w:hAnsi="Times New Roman" w:cs="Times New Roman"/>
          <w:sz w:val="24"/>
          <w:szCs w:val="24"/>
        </w:rPr>
        <w:t>ax Act.</w:t>
      </w:r>
      <w:r w:rsidR="004A79BE" w:rsidRPr="00C12279">
        <w:rPr>
          <w:rFonts w:ascii="Times New Roman" w:hAnsi="Times New Roman" w:cs="Times New Roman"/>
          <w:sz w:val="24"/>
          <w:szCs w:val="24"/>
        </w:rPr>
        <w:t xml:space="preserve"> The Commissioner-General is empowered to exercise the functions conferred on each of these Commissioners</w:t>
      </w:r>
      <w:r w:rsidR="00C01FB8" w:rsidRPr="00C12279">
        <w:rPr>
          <w:rFonts w:ascii="Times New Roman" w:hAnsi="Times New Roman" w:cs="Times New Roman"/>
          <w:sz w:val="24"/>
          <w:szCs w:val="24"/>
        </w:rPr>
        <w:t xml:space="preserve"> and may delegate such authority to any member of staff</w:t>
      </w:r>
      <w:r w:rsidR="004A79BE" w:rsidRPr="00C12279">
        <w:rPr>
          <w:rFonts w:ascii="Times New Roman" w:hAnsi="Times New Roman" w:cs="Times New Roman"/>
          <w:sz w:val="24"/>
          <w:szCs w:val="24"/>
        </w:rPr>
        <w:t xml:space="preserve">. </w:t>
      </w:r>
      <w:r w:rsidR="00206620" w:rsidRPr="00C12279">
        <w:rPr>
          <w:rFonts w:ascii="Times New Roman" w:hAnsi="Times New Roman" w:cs="Times New Roman"/>
          <w:sz w:val="24"/>
          <w:szCs w:val="24"/>
        </w:rPr>
        <w:t xml:space="preserve"> </w:t>
      </w:r>
      <w:r w:rsidR="00C01FB8" w:rsidRPr="00C12279">
        <w:rPr>
          <w:rFonts w:ascii="Times New Roman" w:hAnsi="Times New Roman" w:cs="Times New Roman"/>
          <w:sz w:val="24"/>
          <w:szCs w:val="24"/>
        </w:rPr>
        <w:t xml:space="preserve">The delegated authority, unless set aside by him, is deemed to be his authority. </w:t>
      </w:r>
      <w:r w:rsidR="00E156A7" w:rsidRPr="00C12279">
        <w:rPr>
          <w:rFonts w:ascii="Times New Roman" w:hAnsi="Times New Roman" w:cs="Times New Roman"/>
          <w:sz w:val="24"/>
          <w:szCs w:val="24"/>
        </w:rPr>
        <w:t>In terms of s 34D, the Commission</w:t>
      </w:r>
      <w:r w:rsidR="00F85E97" w:rsidRPr="00C12279">
        <w:rPr>
          <w:rFonts w:ascii="Times New Roman" w:hAnsi="Times New Roman" w:cs="Times New Roman"/>
          <w:sz w:val="24"/>
          <w:szCs w:val="24"/>
        </w:rPr>
        <w:t xml:space="preserve">er-General may personally or </w:t>
      </w:r>
      <w:r w:rsidR="008967AD" w:rsidRPr="00C12279">
        <w:rPr>
          <w:rFonts w:ascii="Times New Roman" w:hAnsi="Times New Roman" w:cs="Times New Roman"/>
          <w:sz w:val="24"/>
          <w:szCs w:val="24"/>
        </w:rPr>
        <w:t xml:space="preserve">by </w:t>
      </w:r>
      <w:r w:rsidR="00F85E97" w:rsidRPr="00C12279">
        <w:rPr>
          <w:rFonts w:ascii="Times New Roman" w:hAnsi="Times New Roman" w:cs="Times New Roman"/>
          <w:sz w:val="24"/>
          <w:szCs w:val="24"/>
        </w:rPr>
        <w:t>proxy</w:t>
      </w:r>
      <w:r w:rsidR="00E156A7" w:rsidRPr="00C12279">
        <w:rPr>
          <w:rFonts w:ascii="Times New Roman" w:hAnsi="Times New Roman" w:cs="Times New Roman"/>
          <w:sz w:val="24"/>
          <w:szCs w:val="24"/>
        </w:rPr>
        <w:t xml:space="preserve"> make an advance tax ruling on any provision of any of the Acts in the First Schedule</w:t>
      </w:r>
      <w:r w:rsidR="006961CA" w:rsidRPr="00C12279">
        <w:rPr>
          <w:rFonts w:ascii="Times New Roman" w:hAnsi="Times New Roman" w:cs="Times New Roman"/>
          <w:sz w:val="24"/>
          <w:szCs w:val="24"/>
        </w:rPr>
        <w:t xml:space="preserve"> of his own accord or on application by an interested person to a taxable transaction.</w:t>
      </w:r>
      <w:r w:rsidR="00E156A7" w:rsidRPr="00C12279">
        <w:rPr>
          <w:rFonts w:ascii="Times New Roman" w:hAnsi="Times New Roman" w:cs="Times New Roman"/>
          <w:sz w:val="24"/>
          <w:szCs w:val="24"/>
        </w:rPr>
        <w:t xml:space="preserve"> </w:t>
      </w:r>
      <w:r w:rsidR="007C0AB4" w:rsidRPr="00C12279">
        <w:rPr>
          <w:rFonts w:ascii="Times New Roman" w:hAnsi="Times New Roman" w:cs="Times New Roman"/>
          <w:sz w:val="24"/>
          <w:szCs w:val="24"/>
        </w:rPr>
        <w:t xml:space="preserve">Tax is defined in the Fourth Schedule </w:t>
      </w:r>
      <w:r w:rsidR="00274840" w:rsidRPr="00C12279">
        <w:rPr>
          <w:rFonts w:ascii="Times New Roman" w:hAnsi="Times New Roman" w:cs="Times New Roman"/>
          <w:sz w:val="24"/>
          <w:szCs w:val="24"/>
        </w:rPr>
        <w:t>as “any tax, duty, fee, levy, charge, penalty, fine or any money levied, imposed, collected or received in terms of any of the Acts specified in the First Schedule” while “relevant Act in relation to an advance tax ruling means any one the Acts specified in the First Schedule</w:t>
      </w:r>
      <w:r w:rsidR="00351BD4" w:rsidRPr="00C12279">
        <w:rPr>
          <w:rFonts w:ascii="Times New Roman" w:hAnsi="Times New Roman" w:cs="Times New Roman"/>
          <w:sz w:val="24"/>
          <w:szCs w:val="24"/>
        </w:rPr>
        <w:t xml:space="preserve"> in respect of which the ruling is made or sought</w:t>
      </w:r>
      <w:r w:rsidR="00274840" w:rsidRPr="00C12279">
        <w:rPr>
          <w:rFonts w:ascii="Times New Roman" w:hAnsi="Times New Roman" w:cs="Times New Roman"/>
          <w:sz w:val="24"/>
          <w:szCs w:val="24"/>
        </w:rPr>
        <w:t xml:space="preserve">.” </w:t>
      </w:r>
      <w:r w:rsidR="007D03D5" w:rsidRPr="00C12279">
        <w:rPr>
          <w:rFonts w:ascii="Times New Roman" w:hAnsi="Times New Roman" w:cs="Times New Roman"/>
          <w:sz w:val="24"/>
          <w:szCs w:val="24"/>
        </w:rPr>
        <w:t xml:space="preserve"> </w:t>
      </w:r>
    </w:p>
    <w:p w14:paraId="26F4EE5C" w14:textId="4E2489CD" w:rsidR="0044579F" w:rsidRPr="00C12279" w:rsidRDefault="007D03D5" w:rsidP="00C52CAE">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context and </w:t>
      </w:r>
      <w:r w:rsidR="00475634" w:rsidRPr="00C12279">
        <w:rPr>
          <w:rFonts w:ascii="Times New Roman" w:hAnsi="Times New Roman" w:cs="Times New Roman"/>
          <w:sz w:val="24"/>
          <w:szCs w:val="24"/>
        </w:rPr>
        <w:t xml:space="preserve">the 13 minimum </w:t>
      </w:r>
      <w:r w:rsidRPr="00C12279">
        <w:rPr>
          <w:rFonts w:ascii="Times New Roman" w:hAnsi="Times New Roman" w:cs="Times New Roman"/>
          <w:sz w:val="24"/>
          <w:szCs w:val="24"/>
        </w:rPr>
        <w:t xml:space="preserve">contents of an advance tax ruling are provided in </w:t>
      </w:r>
      <w:r w:rsidR="00475634" w:rsidRPr="00C12279">
        <w:rPr>
          <w:rFonts w:ascii="Times New Roman" w:hAnsi="Times New Roman" w:cs="Times New Roman"/>
          <w:sz w:val="24"/>
          <w:szCs w:val="24"/>
        </w:rPr>
        <w:t xml:space="preserve">paragraph 2 (2) of the Fourth Schedule to the Revenue Authority Act. Subparagraphs (2) (c) to (f) require a complete description of the proposed transaction </w:t>
      </w:r>
      <w:r w:rsidR="00FE1B77" w:rsidRPr="00C12279">
        <w:rPr>
          <w:rFonts w:ascii="Times New Roman" w:hAnsi="Times New Roman" w:cs="Times New Roman"/>
          <w:sz w:val="24"/>
          <w:szCs w:val="24"/>
        </w:rPr>
        <w:t>for which the ruling is sought and its impact on the tax liability of the applicant and a citation of the relevant statutory provisions or issues and reasons why the proposed ruling should be made. It is apparent to me</w:t>
      </w:r>
      <w:r w:rsidR="009B503D" w:rsidRPr="00C12279">
        <w:rPr>
          <w:rFonts w:ascii="Times New Roman" w:hAnsi="Times New Roman" w:cs="Times New Roman"/>
          <w:sz w:val="24"/>
          <w:szCs w:val="24"/>
        </w:rPr>
        <w:t xml:space="preserve">, contrary to the contention propounded by Mr </w:t>
      </w:r>
      <w:r w:rsidR="009B503D" w:rsidRPr="00C12279">
        <w:rPr>
          <w:rFonts w:ascii="Times New Roman" w:hAnsi="Times New Roman" w:cs="Times New Roman"/>
          <w:i/>
          <w:sz w:val="24"/>
          <w:szCs w:val="24"/>
        </w:rPr>
        <w:t>de Bourbon</w:t>
      </w:r>
      <w:r w:rsidR="009B503D" w:rsidRPr="00C12279">
        <w:rPr>
          <w:rFonts w:ascii="Times New Roman" w:hAnsi="Times New Roman" w:cs="Times New Roman"/>
          <w:sz w:val="24"/>
          <w:szCs w:val="24"/>
        </w:rPr>
        <w:t xml:space="preserve"> in para 12 (b) of his written heads of argument</w:t>
      </w:r>
      <w:r w:rsidR="00FE1B77" w:rsidRPr="00C12279">
        <w:rPr>
          <w:rFonts w:ascii="Times New Roman" w:hAnsi="Times New Roman" w:cs="Times New Roman"/>
          <w:sz w:val="24"/>
          <w:szCs w:val="24"/>
        </w:rPr>
        <w:t xml:space="preserve"> that the application for the value ruling set out in exh 2 does not meet these minimum requirements in respect of the Income Tax Act. In this regard, the submission </w:t>
      </w:r>
      <w:r w:rsidR="00FE1B77" w:rsidRPr="00C12279">
        <w:rPr>
          <w:rFonts w:ascii="Times New Roman" w:hAnsi="Times New Roman" w:cs="Times New Roman"/>
          <w:sz w:val="24"/>
          <w:szCs w:val="24"/>
        </w:rPr>
        <w:lastRenderedPageBreak/>
        <w:t xml:space="preserve">made by Mr </w:t>
      </w:r>
      <w:r w:rsidR="00FE1B77" w:rsidRPr="00C12279">
        <w:rPr>
          <w:rFonts w:ascii="Times New Roman" w:hAnsi="Times New Roman" w:cs="Times New Roman"/>
          <w:i/>
          <w:sz w:val="24"/>
          <w:szCs w:val="24"/>
        </w:rPr>
        <w:t>de Bourbon</w:t>
      </w:r>
      <w:r w:rsidR="00FE1B77" w:rsidRPr="00C12279">
        <w:rPr>
          <w:rFonts w:ascii="Times New Roman" w:hAnsi="Times New Roman" w:cs="Times New Roman"/>
          <w:sz w:val="24"/>
          <w:szCs w:val="24"/>
        </w:rPr>
        <w:t xml:space="preserve"> in </w:t>
      </w:r>
      <w:r w:rsidR="009B503D" w:rsidRPr="00C12279">
        <w:rPr>
          <w:rFonts w:ascii="Times New Roman" w:hAnsi="Times New Roman" w:cs="Times New Roman"/>
          <w:sz w:val="24"/>
          <w:szCs w:val="24"/>
        </w:rPr>
        <w:t xml:space="preserve">para </w:t>
      </w:r>
      <w:r w:rsidR="00076333" w:rsidRPr="00C12279">
        <w:rPr>
          <w:rFonts w:ascii="Times New Roman" w:hAnsi="Times New Roman" w:cs="Times New Roman"/>
          <w:sz w:val="24"/>
          <w:szCs w:val="24"/>
        </w:rPr>
        <w:t>10 of his written heads</w:t>
      </w:r>
      <w:r w:rsidR="00FE1B77" w:rsidRPr="00C12279">
        <w:rPr>
          <w:rFonts w:ascii="Times New Roman" w:hAnsi="Times New Roman" w:cs="Times New Roman"/>
          <w:sz w:val="24"/>
          <w:szCs w:val="24"/>
        </w:rPr>
        <w:t xml:space="preserve"> of argument to the effect that one ruling in respect of </w:t>
      </w:r>
      <w:r w:rsidR="00E60F19" w:rsidRPr="00C12279">
        <w:rPr>
          <w:rFonts w:ascii="Times New Roman" w:hAnsi="Times New Roman" w:cs="Times New Roman"/>
          <w:sz w:val="24"/>
          <w:szCs w:val="24"/>
        </w:rPr>
        <w:t>one Schedule</w:t>
      </w:r>
      <w:r w:rsidR="00076333" w:rsidRPr="00C12279">
        <w:rPr>
          <w:rFonts w:ascii="Times New Roman" w:hAnsi="Times New Roman" w:cs="Times New Roman"/>
          <w:sz w:val="24"/>
          <w:szCs w:val="24"/>
        </w:rPr>
        <w:t xml:space="preserve"> Act fits all the other S</w:t>
      </w:r>
      <w:r w:rsidR="00FE1B77" w:rsidRPr="00C12279">
        <w:rPr>
          <w:rFonts w:ascii="Times New Roman" w:hAnsi="Times New Roman" w:cs="Times New Roman"/>
          <w:sz w:val="24"/>
          <w:szCs w:val="24"/>
        </w:rPr>
        <w:t>chedule</w:t>
      </w:r>
      <w:r w:rsidR="00076333" w:rsidRPr="00C12279">
        <w:rPr>
          <w:rFonts w:ascii="Times New Roman" w:hAnsi="Times New Roman" w:cs="Times New Roman"/>
          <w:sz w:val="24"/>
          <w:szCs w:val="24"/>
        </w:rPr>
        <w:t>d</w:t>
      </w:r>
      <w:r w:rsidR="00FE1B77" w:rsidRPr="00C12279">
        <w:rPr>
          <w:rFonts w:ascii="Times New Roman" w:hAnsi="Times New Roman" w:cs="Times New Roman"/>
          <w:sz w:val="24"/>
          <w:szCs w:val="24"/>
        </w:rPr>
        <w:t xml:space="preserve"> Acts </w:t>
      </w:r>
      <w:r w:rsidR="00E60F19" w:rsidRPr="00C12279">
        <w:rPr>
          <w:rFonts w:ascii="Times New Roman" w:hAnsi="Times New Roman" w:cs="Times New Roman"/>
          <w:sz w:val="24"/>
          <w:szCs w:val="24"/>
        </w:rPr>
        <w:t xml:space="preserve">in regards to the same imported item is devoid of any merit. </w:t>
      </w:r>
      <w:r w:rsidR="0094366D" w:rsidRPr="00C12279">
        <w:rPr>
          <w:rFonts w:ascii="Times New Roman" w:hAnsi="Times New Roman" w:cs="Times New Roman"/>
          <w:sz w:val="24"/>
          <w:szCs w:val="24"/>
        </w:rPr>
        <w:t xml:space="preserve">The </w:t>
      </w:r>
      <w:r w:rsidR="009B503D" w:rsidRPr="00C12279">
        <w:rPr>
          <w:rFonts w:ascii="Times New Roman" w:hAnsi="Times New Roman" w:cs="Times New Roman"/>
          <w:sz w:val="24"/>
          <w:szCs w:val="24"/>
        </w:rPr>
        <w:t>differentiation applied</w:t>
      </w:r>
      <w:r w:rsidR="0094366D" w:rsidRPr="00C12279">
        <w:rPr>
          <w:rFonts w:ascii="Times New Roman" w:hAnsi="Times New Roman" w:cs="Times New Roman"/>
          <w:sz w:val="24"/>
          <w:szCs w:val="24"/>
        </w:rPr>
        <w:t xml:space="preserve"> by the respondent was lawfully grounded in the minimum requirements for an advance tax ruling provided in para 2 (2) to the Fourth Schedule of the Revenue Authority Act. </w:t>
      </w:r>
      <w:r w:rsidR="005055B3" w:rsidRPr="00C12279">
        <w:rPr>
          <w:rFonts w:ascii="Times New Roman" w:hAnsi="Times New Roman" w:cs="Times New Roman"/>
          <w:sz w:val="24"/>
          <w:szCs w:val="24"/>
        </w:rPr>
        <w:t>Again, the value ruling falls woefully short of the requirements of para 6 of the same Schedule failing as it does to apply to the relevant Income Tax Act</w:t>
      </w:r>
      <w:r w:rsidR="00CE3195" w:rsidRPr="00C12279">
        <w:rPr>
          <w:rFonts w:ascii="Times New Roman" w:hAnsi="Times New Roman" w:cs="Times New Roman"/>
          <w:sz w:val="24"/>
          <w:szCs w:val="24"/>
        </w:rPr>
        <w:t>. W</w:t>
      </w:r>
      <w:r w:rsidR="00B97B32" w:rsidRPr="00C12279">
        <w:rPr>
          <w:rFonts w:ascii="Times New Roman" w:hAnsi="Times New Roman" w:cs="Times New Roman"/>
          <w:sz w:val="24"/>
          <w:szCs w:val="24"/>
        </w:rPr>
        <w:t xml:space="preserve">hile the facts and circumstances may be the same as in the value ruling the four requirements in para 6 are conjunctive; so the failure to fulfil any one is fatal to the appellant’s contention seeing it falls outside </w:t>
      </w:r>
      <w:r w:rsidR="005055B3" w:rsidRPr="00C12279">
        <w:rPr>
          <w:rFonts w:ascii="Times New Roman" w:hAnsi="Times New Roman" w:cs="Times New Roman"/>
          <w:sz w:val="24"/>
          <w:szCs w:val="24"/>
        </w:rPr>
        <w:t>the time frame o</w:t>
      </w:r>
      <w:r w:rsidR="00B97B32" w:rsidRPr="00C12279">
        <w:rPr>
          <w:rFonts w:ascii="Times New Roman" w:hAnsi="Times New Roman" w:cs="Times New Roman"/>
          <w:sz w:val="24"/>
          <w:szCs w:val="24"/>
        </w:rPr>
        <w:t xml:space="preserve">f the advance ruling and </w:t>
      </w:r>
      <w:r w:rsidR="00CE3195" w:rsidRPr="00C12279">
        <w:rPr>
          <w:rFonts w:ascii="Times New Roman" w:hAnsi="Times New Roman" w:cs="Times New Roman"/>
          <w:sz w:val="24"/>
          <w:szCs w:val="24"/>
        </w:rPr>
        <w:t xml:space="preserve">the requirement to </w:t>
      </w:r>
      <w:r w:rsidR="005055B3" w:rsidRPr="00C12279">
        <w:rPr>
          <w:rFonts w:ascii="Times New Roman" w:hAnsi="Times New Roman" w:cs="Times New Roman"/>
          <w:sz w:val="24"/>
          <w:szCs w:val="24"/>
        </w:rPr>
        <w:t xml:space="preserve">update </w:t>
      </w:r>
      <w:r w:rsidR="00CE3195" w:rsidRPr="00C12279">
        <w:rPr>
          <w:rFonts w:ascii="Times New Roman" w:hAnsi="Times New Roman" w:cs="Times New Roman"/>
          <w:sz w:val="24"/>
          <w:szCs w:val="24"/>
        </w:rPr>
        <w:t>the Commissioner with any</w:t>
      </w:r>
      <w:r w:rsidR="008837C4" w:rsidRPr="00C12279">
        <w:rPr>
          <w:rFonts w:ascii="Times New Roman" w:hAnsi="Times New Roman" w:cs="Times New Roman"/>
          <w:sz w:val="24"/>
          <w:szCs w:val="24"/>
        </w:rPr>
        <w:t xml:space="preserve"> </w:t>
      </w:r>
      <w:r w:rsidR="005055B3" w:rsidRPr="00C12279">
        <w:rPr>
          <w:rFonts w:ascii="Times New Roman" w:hAnsi="Times New Roman" w:cs="Times New Roman"/>
          <w:sz w:val="24"/>
          <w:szCs w:val="24"/>
        </w:rPr>
        <w:t>new information</w:t>
      </w:r>
      <w:r w:rsidR="008837C4" w:rsidRPr="00C12279">
        <w:rPr>
          <w:rFonts w:ascii="Times New Roman" w:hAnsi="Times New Roman" w:cs="Times New Roman"/>
          <w:sz w:val="24"/>
          <w:szCs w:val="24"/>
        </w:rPr>
        <w:t xml:space="preserve"> affecting the value ruling</w:t>
      </w:r>
      <w:r w:rsidR="00CE3195" w:rsidRPr="00C12279">
        <w:rPr>
          <w:rFonts w:ascii="Times New Roman" w:hAnsi="Times New Roman" w:cs="Times New Roman"/>
          <w:sz w:val="24"/>
          <w:szCs w:val="24"/>
        </w:rPr>
        <w:t xml:space="preserve">. </w:t>
      </w:r>
      <w:r w:rsidR="00351BD4" w:rsidRPr="00C12279">
        <w:rPr>
          <w:rFonts w:ascii="Times New Roman" w:hAnsi="Times New Roman" w:cs="Times New Roman"/>
          <w:sz w:val="24"/>
          <w:szCs w:val="24"/>
        </w:rPr>
        <w:t>The attempt to ex</w:t>
      </w:r>
      <w:r w:rsidR="002151B1" w:rsidRPr="00C12279">
        <w:rPr>
          <w:rFonts w:ascii="Times New Roman" w:hAnsi="Times New Roman" w:cs="Times New Roman"/>
          <w:sz w:val="24"/>
          <w:szCs w:val="24"/>
        </w:rPr>
        <w:t xml:space="preserve">port </w:t>
      </w:r>
      <w:r w:rsidR="00351BD4" w:rsidRPr="00C12279">
        <w:rPr>
          <w:rFonts w:ascii="Times New Roman" w:hAnsi="Times New Roman" w:cs="Times New Roman"/>
          <w:sz w:val="24"/>
          <w:szCs w:val="24"/>
        </w:rPr>
        <w:t xml:space="preserve">the favourable interpretation in </w:t>
      </w:r>
      <w:r w:rsidR="002151B1" w:rsidRPr="00C12279">
        <w:rPr>
          <w:rFonts w:ascii="Times New Roman" w:hAnsi="Times New Roman" w:cs="Times New Roman"/>
          <w:sz w:val="24"/>
          <w:szCs w:val="24"/>
        </w:rPr>
        <w:t xml:space="preserve">para 4 (1) of the Fourth Schedule to the Revenue Authority Act </w:t>
      </w:r>
      <w:r w:rsidR="00351BD4" w:rsidRPr="00C12279">
        <w:rPr>
          <w:rFonts w:ascii="Times New Roman" w:hAnsi="Times New Roman" w:cs="Times New Roman"/>
          <w:sz w:val="24"/>
          <w:szCs w:val="24"/>
        </w:rPr>
        <w:t xml:space="preserve">from the Customs and Excise Act </w:t>
      </w:r>
      <w:r w:rsidR="002151B1" w:rsidRPr="00C12279">
        <w:rPr>
          <w:rFonts w:ascii="Times New Roman" w:hAnsi="Times New Roman" w:cs="Times New Roman"/>
          <w:sz w:val="24"/>
          <w:szCs w:val="24"/>
        </w:rPr>
        <w:t xml:space="preserve">to the Income Tax Act </w:t>
      </w:r>
      <w:r w:rsidR="00351BD4" w:rsidRPr="00C12279">
        <w:rPr>
          <w:rFonts w:ascii="Times New Roman" w:hAnsi="Times New Roman" w:cs="Times New Roman"/>
          <w:sz w:val="24"/>
          <w:szCs w:val="24"/>
        </w:rPr>
        <w:t xml:space="preserve">flounders on the phrase “apply the relevant Act” defined with reference to the specified Act </w:t>
      </w:r>
      <w:r w:rsidR="00CE3195" w:rsidRPr="00C12279">
        <w:rPr>
          <w:rFonts w:ascii="Times New Roman" w:hAnsi="Times New Roman" w:cs="Times New Roman"/>
          <w:sz w:val="24"/>
          <w:szCs w:val="24"/>
        </w:rPr>
        <w:t>in respect of which the ruling wa</w:t>
      </w:r>
      <w:r w:rsidR="00351BD4" w:rsidRPr="00C12279">
        <w:rPr>
          <w:rFonts w:ascii="Times New Roman" w:hAnsi="Times New Roman" w:cs="Times New Roman"/>
          <w:sz w:val="24"/>
          <w:szCs w:val="24"/>
        </w:rPr>
        <w:t>s made or sought. The value ruling was not sought</w:t>
      </w:r>
      <w:r w:rsidR="003B65B7" w:rsidRPr="00C12279">
        <w:rPr>
          <w:rFonts w:ascii="Times New Roman" w:hAnsi="Times New Roman" w:cs="Times New Roman"/>
          <w:sz w:val="24"/>
          <w:szCs w:val="24"/>
        </w:rPr>
        <w:t xml:space="preserve"> and obtained</w:t>
      </w:r>
      <w:r w:rsidR="00351BD4" w:rsidRPr="00C12279">
        <w:rPr>
          <w:rFonts w:ascii="Times New Roman" w:hAnsi="Times New Roman" w:cs="Times New Roman"/>
          <w:sz w:val="24"/>
          <w:szCs w:val="24"/>
        </w:rPr>
        <w:t xml:space="preserve"> in terms of the Income Tax Act but in terms of the Customs and Excise Act. </w:t>
      </w:r>
      <w:r w:rsidR="002151B1" w:rsidRPr="00C12279">
        <w:rPr>
          <w:rFonts w:ascii="Times New Roman" w:hAnsi="Times New Roman" w:cs="Times New Roman"/>
          <w:sz w:val="24"/>
          <w:szCs w:val="24"/>
        </w:rPr>
        <w:t xml:space="preserve"> </w:t>
      </w:r>
    </w:p>
    <w:p w14:paraId="7A67F868" w14:textId="2E8BC3C3" w:rsidR="00F175EA" w:rsidRPr="00C12279" w:rsidRDefault="00E01045" w:rsidP="00C52CAE">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the alternative Mr </w:t>
      </w:r>
      <w:r w:rsidRPr="00C12279">
        <w:rPr>
          <w:rFonts w:ascii="Times New Roman" w:hAnsi="Times New Roman" w:cs="Times New Roman"/>
          <w:i/>
          <w:sz w:val="24"/>
          <w:szCs w:val="24"/>
        </w:rPr>
        <w:t>de Bourbon</w:t>
      </w:r>
      <w:r w:rsidRPr="00C12279">
        <w:rPr>
          <w:rFonts w:ascii="Times New Roman" w:hAnsi="Times New Roman" w:cs="Times New Roman"/>
          <w:sz w:val="24"/>
          <w:szCs w:val="24"/>
        </w:rPr>
        <w:t xml:space="preserve"> submitted that like should be treated alike otherwise it would be unconscionable for the respondent to alter its opinion merely for the sake of extracting as much income tax from the appellant as </w:t>
      </w:r>
      <w:r w:rsidR="00F175EA" w:rsidRPr="00C12279">
        <w:rPr>
          <w:rFonts w:ascii="Times New Roman" w:hAnsi="Times New Roman" w:cs="Times New Roman"/>
          <w:sz w:val="24"/>
          <w:szCs w:val="24"/>
        </w:rPr>
        <w:t xml:space="preserve">it did with respect to </w:t>
      </w:r>
      <w:r w:rsidRPr="00C12279">
        <w:rPr>
          <w:rFonts w:ascii="Times New Roman" w:hAnsi="Times New Roman" w:cs="Times New Roman"/>
          <w:sz w:val="24"/>
          <w:szCs w:val="24"/>
        </w:rPr>
        <w:t xml:space="preserve">customs duty on the same facts and circumstances. </w:t>
      </w:r>
      <w:r w:rsidR="004106E8" w:rsidRPr="00C12279">
        <w:rPr>
          <w:rFonts w:ascii="Times New Roman" w:hAnsi="Times New Roman" w:cs="Times New Roman"/>
          <w:sz w:val="24"/>
          <w:szCs w:val="24"/>
        </w:rPr>
        <w:t>He submitted that by making the value ruling the respondent in essence determined as contemplated by s 106 (2) of the Customs and Excise Act that the two related parties acted at arm’s length</w:t>
      </w:r>
      <w:r w:rsidR="0034745D" w:rsidRPr="00C12279">
        <w:rPr>
          <w:rFonts w:ascii="Times New Roman" w:hAnsi="Times New Roman" w:cs="Times New Roman"/>
          <w:sz w:val="24"/>
          <w:szCs w:val="24"/>
        </w:rPr>
        <w:t xml:space="preserve">, a consideration in convergence with the requirements of s 24 of the Income Tax Act. </w:t>
      </w:r>
      <w:r w:rsidR="00150F81" w:rsidRPr="00C12279">
        <w:rPr>
          <w:rFonts w:ascii="Times New Roman" w:hAnsi="Times New Roman" w:cs="Times New Roman"/>
          <w:sz w:val="24"/>
          <w:szCs w:val="24"/>
        </w:rPr>
        <w:t xml:space="preserve">He argued that the juxtaposition of a different and contradictory opinion on the purchase price under the Income Tax Act to the transaction value under the Customs and Excise Act of the selfsame imported vehicles was both illogical and unlawful. </w:t>
      </w:r>
    </w:p>
    <w:p w14:paraId="01B1B807" w14:textId="77777777" w:rsidR="00F175EA" w:rsidRPr="00C12279" w:rsidRDefault="00F175EA" w:rsidP="00C52CAE">
      <w:pPr>
        <w:spacing w:line="360" w:lineRule="auto"/>
        <w:jc w:val="both"/>
        <w:rPr>
          <w:rFonts w:ascii="Times New Roman" w:hAnsi="Times New Roman" w:cs="Times New Roman"/>
          <w:b/>
          <w:sz w:val="24"/>
          <w:szCs w:val="24"/>
        </w:rPr>
      </w:pPr>
      <w:r w:rsidRPr="00C12279">
        <w:rPr>
          <w:rFonts w:ascii="Times New Roman" w:hAnsi="Times New Roman" w:cs="Times New Roman"/>
          <w:b/>
          <w:sz w:val="24"/>
          <w:szCs w:val="24"/>
        </w:rPr>
        <w:t>The judicial definition of an opinion</w:t>
      </w:r>
      <w:r w:rsidR="004106E8" w:rsidRPr="00C12279">
        <w:rPr>
          <w:rFonts w:ascii="Times New Roman" w:hAnsi="Times New Roman" w:cs="Times New Roman"/>
          <w:b/>
          <w:sz w:val="24"/>
          <w:szCs w:val="24"/>
        </w:rPr>
        <w:t xml:space="preserve"> </w:t>
      </w:r>
    </w:p>
    <w:p w14:paraId="19EDA881" w14:textId="794119AD" w:rsidR="00220501" w:rsidRPr="00C12279" w:rsidRDefault="00F175EA" w:rsidP="00C52CAE">
      <w:pPr>
        <w:spacing w:line="360" w:lineRule="auto"/>
        <w:ind w:firstLine="720"/>
        <w:jc w:val="both"/>
        <w:rPr>
          <w:rFonts w:ascii="Times New Roman" w:hAnsi="Times New Roman" w:cs="Times New Roman"/>
          <w:sz w:val="24"/>
          <w:szCs w:val="24"/>
        </w:rPr>
      </w:pPr>
      <w:r w:rsidRPr="00C52CAE">
        <w:rPr>
          <w:rFonts w:ascii="Times New Roman" w:hAnsi="Times New Roman" w:cs="Times New Roman"/>
          <w:sz w:val="24"/>
          <w:szCs w:val="24"/>
        </w:rPr>
        <w:t>T</w:t>
      </w:r>
      <w:r w:rsidRPr="00C12279">
        <w:rPr>
          <w:rFonts w:ascii="Times New Roman" w:hAnsi="Times New Roman" w:cs="Times New Roman"/>
          <w:sz w:val="24"/>
          <w:szCs w:val="24"/>
        </w:rPr>
        <w:t xml:space="preserve">he word opinion is not defined in any of the Taxes Acts. </w:t>
      </w:r>
      <w:r w:rsidR="00657835" w:rsidRPr="00C12279">
        <w:rPr>
          <w:rFonts w:ascii="Times New Roman" w:hAnsi="Times New Roman" w:cs="Times New Roman"/>
          <w:sz w:val="24"/>
          <w:szCs w:val="24"/>
        </w:rPr>
        <w:t>It has been judicially defined in a number of cases.</w:t>
      </w:r>
      <w:r w:rsidR="007B32F1" w:rsidRPr="00C12279">
        <w:rPr>
          <w:rFonts w:ascii="Times New Roman" w:hAnsi="Times New Roman" w:cs="Times New Roman"/>
          <w:sz w:val="24"/>
          <w:szCs w:val="24"/>
        </w:rPr>
        <w:t xml:space="preserve"> I</w:t>
      </w:r>
      <w:r w:rsidR="00B248A7" w:rsidRPr="00C12279">
        <w:rPr>
          <w:rFonts w:ascii="Times New Roman" w:hAnsi="Times New Roman" w:cs="Times New Roman"/>
          <w:sz w:val="24"/>
          <w:szCs w:val="24"/>
        </w:rPr>
        <w:t>n</w:t>
      </w:r>
      <w:r w:rsidR="00657835" w:rsidRPr="00C12279">
        <w:rPr>
          <w:rFonts w:ascii="Times New Roman" w:hAnsi="Times New Roman" w:cs="Times New Roman"/>
          <w:sz w:val="24"/>
          <w:szCs w:val="24"/>
        </w:rPr>
        <w:t xml:space="preserve"> </w:t>
      </w:r>
      <w:r w:rsidR="00B248A7" w:rsidRPr="00C12279">
        <w:rPr>
          <w:rFonts w:ascii="Times New Roman" w:hAnsi="Times New Roman" w:cs="Times New Roman"/>
          <w:i/>
          <w:sz w:val="24"/>
          <w:szCs w:val="24"/>
        </w:rPr>
        <w:t xml:space="preserve">Judes </w:t>
      </w:r>
      <w:r w:rsidR="00B248A7" w:rsidRPr="00C52CAE">
        <w:rPr>
          <w:rFonts w:ascii="Times New Roman" w:hAnsi="Times New Roman" w:cs="Times New Roman"/>
          <w:sz w:val="24"/>
          <w:szCs w:val="24"/>
        </w:rPr>
        <w:t xml:space="preserve">v </w:t>
      </w:r>
      <w:r w:rsidR="00B248A7" w:rsidRPr="00C12279">
        <w:rPr>
          <w:rFonts w:ascii="Times New Roman" w:hAnsi="Times New Roman" w:cs="Times New Roman"/>
          <w:i/>
          <w:sz w:val="24"/>
          <w:szCs w:val="24"/>
        </w:rPr>
        <w:t xml:space="preserve">District Registrar of Mining Rights, </w:t>
      </w:r>
      <w:r w:rsidR="00F557D3" w:rsidRPr="00C12279">
        <w:rPr>
          <w:rFonts w:ascii="Times New Roman" w:hAnsi="Times New Roman" w:cs="Times New Roman"/>
          <w:i/>
          <w:sz w:val="24"/>
          <w:szCs w:val="24"/>
        </w:rPr>
        <w:t xml:space="preserve">Krugersdorp </w:t>
      </w:r>
      <w:r w:rsidR="00F557D3" w:rsidRPr="00C12279">
        <w:rPr>
          <w:rFonts w:ascii="Times New Roman" w:hAnsi="Times New Roman" w:cs="Times New Roman"/>
          <w:sz w:val="24"/>
          <w:szCs w:val="24"/>
        </w:rPr>
        <w:t>1907</w:t>
      </w:r>
      <w:r w:rsidR="00B248A7" w:rsidRPr="00C12279">
        <w:rPr>
          <w:rFonts w:ascii="Times New Roman" w:hAnsi="Times New Roman" w:cs="Times New Roman"/>
          <w:sz w:val="24"/>
          <w:szCs w:val="24"/>
        </w:rPr>
        <w:t xml:space="preserve"> TS 1046 at 1049 </w:t>
      </w:r>
      <w:r w:rsidR="00672C0D" w:rsidRPr="00C12279">
        <w:rPr>
          <w:rFonts w:ascii="Times New Roman" w:hAnsi="Times New Roman" w:cs="Times New Roman"/>
          <w:sz w:val="24"/>
          <w:szCs w:val="24"/>
        </w:rPr>
        <w:t xml:space="preserve">Innes CJ </w:t>
      </w:r>
      <w:r w:rsidR="007B32F1" w:rsidRPr="00C12279">
        <w:rPr>
          <w:rFonts w:ascii="Times New Roman" w:hAnsi="Times New Roman" w:cs="Times New Roman"/>
          <w:sz w:val="24"/>
          <w:szCs w:val="24"/>
        </w:rPr>
        <w:t xml:space="preserve">equated a decision, in the absence of a qualification with a final determination. </w:t>
      </w:r>
      <w:r w:rsidR="006A2F51" w:rsidRPr="00C12279">
        <w:rPr>
          <w:rFonts w:ascii="Times New Roman" w:hAnsi="Times New Roman" w:cs="Times New Roman"/>
          <w:sz w:val="24"/>
          <w:szCs w:val="24"/>
        </w:rPr>
        <w:t xml:space="preserve">Both </w:t>
      </w:r>
      <w:r w:rsidR="00B248A7" w:rsidRPr="00C12279">
        <w:rPr>
          <w:rFonts w:ascii="Times New Roman" w:hAnsi="Times New Roman" w:cs="Times New Roman"/>
          <w:i/>
          <w:sz w:val="24"/>
          <w:szCs w:val="24"/>
        </w:rPr>
        <w:t xml:space="preserve">Herbert Porter &amp; Co Ltd and Another </w:t>
      </w:r>
      <w:r w:rsidR="00B248A7" w:rsidRPr="00C52CAE">
        <w:rPr>
          <w:rFonts w:ascii="Times New Roman" w:hAnsi="Times New Roman" w:cs="Times New Roman"/>
          <w:sz w:val="24"/>
          <w:szCs w:val="24"/>
        </w:rPr>
        <w:t>v</w:t>
      </w:r>
      <w:r w:rsidR="00B248A7" w:rsidRPr="00C12279">
        <w:rPr>
          <w:rFonts w:ascii="Times New Roman" w:hAnsi="Times New Roman" w:cs="Times New Roman"/>
          <w:i/>
          <w:sz w:val="24"/>
          <w:szCs w:val="24"/>
        </w:rPr>
        <w:t xml:space="preserve"> Johannesburg Stock Exchange</w:t>
      </w:r>
      <w:r w:rsidR="00B248A7" w:rsidRPr="00C12279">
        <w:rPr>
          <w:rFonts w:ascii="Times New Roman" w:hAnsi="Times New Roman" w:cs="Times New Roman"/>
          <w:sz w:val="24"/>
          <w:szCs w:val="24"/>
        </w:rPr>
        <w:t xml:space="preserve"> 1974 (4) SA 781 (W) at </w:t>
      </w:r>
      <w:r w:rsidR="00045693" w:rsidRPr="00C12279">
        <w:rPr>
          <w:rFonts w:ascii="Times New Roman" w:hAnsi="Times New Roman" w:cs="Times New Roman"/>
          <w:sz w:val="24"/>
          <w:szCs w:val="24"/>
        </w:rPr>
        <w:t xml:space="preserve">794 </w:t>
      </w:r>
      <w:r w:rsidR="006A2F51" w:rsidRPr="00C12279">
        <w:rPr>
          <w:rFonts w:ascii="Times New Roman" w:hAnsi="Times New Roman" w:cs="Times New Roman"/>
          <w:sz w:val="24"/>
          <w:szCs w:val="24"/>
        </w:rPr>
        <w:t xml:space="preserve">and </w:t>
      </w:r>
      <w:r w:rsidR="006A2F51" w:rsidRPr="00C12279">
        <w:rPr>
          <w:rFonts w:ascii="Times New Roman" w:hAnsi="Times New Roman" w:cs="Times New Roman"/>
          <w:i/>
          <w:sz w:val="24"/>
          <w:szCs w:val="24"/>
        </w:rPr>
        <w:t xml:space="preserve">Knop </w:t>
      </w:r>
      <w:r w:rsidR="006A2F51" w:rsidRPr="00C52CAE">
        <w:rPr>
          <w:rFonts w:ascii="Times New Roman" w:hAnsi="Times New Roman" w:cs="Times New Roman"/>
          <w:sz w:val="24"/>
          <w:szCs w:val="24"/>
        </w:rPr>
        <w:t>v</w:t>
      </w:r>
      <w:r w:rsidR="006A2F51" w:rsidRPr="00C12279">
        <w:rPr>
          <w:rFonts w:ascii="Times New Roman" w:hAnsi="Times New Roman" w:cs="Times New Roman"/>
          <w:i/>
          <w:sz w:val="24"/>
          <w:szCs w:val="24"/>
        </w:rPr>
        <w:t xml:space="preserve"> Johannesburg City Council</w:t>
      </w:r>
      <w:r w:rsidR="006A2F51" w:rsidRPr="00C12279">
        <w:rPr>
          <w:rFonts w:ascii="Times New Roman" w:hAnsi="Times New Roman" w:cs="Times New Roman"/>
          <w:sz w:val="24"/>
          <w:szCs w:val="24"/>
        </w:rPr>
        <w:t xml:space="preserve"> 1995 (2) SA 1 (A) at 13B defined</w:t>
      </w:r>
      <w:r w:rsidR="00045693" w:rsidRPr="00C12279">
        <w:rPr>
          <w:rFonts w:ascii="Times New Roman" w:hAnsi="Times New Roman" w:cs="Times New Roman"/>
          <w:sz w:val="24"/>
          <w:szCs w:val="24"/>
        </w:rPr>
        <w:t xml:space="preserve"> decision </w:t>
      </w:r>
      <w:r w:rsidR="00F557D3" w:rsidRPr="00C12279">
        <w:rPr>
          <w:rFonts w:ascii="Times New Roman" w:hAnsi="Times New Roman" w:cs="Times New Roman"/>
          <w:sz w:val="24"/>
          <w:szCs w:val="24"/>
        </w:rPr>
        <w:t>as “the final and definite result of examining a question”</w:t>
      </w:r>
      <w:r w:rsidR="006A2F51" w:rsidRPr="00C12279">
        <w:rPr>
          <w:rFonts w:ascii="Times New Roman" w:hAnsi="Times New Roman" w:cs="Times New Roman"/>
          <w:sz w:val="24"/>
          <w:szCs w:val="24"/>
        </w:rPr>
        <w:t xml:space="preserve"> and </w:t>
      </w:r>
      <w:r w:rsidR="006A2F51" w:rsidRPr="00C12279">
        <w:rPr>
          <w:rFonts w:ascii="Times New Roman" w:hAnsi="Times New Roman" w:cs="Times New Roman"/>
          <w:sz w:val="24"/>
          <w:szCs w:val="24"/>
        </w:rPr>
        <w:lastRenderedPageBreak/>
        <w:t xml:space="preserve">“adjudication in the juristic sense, </w:t>
      </w:r>
      <w:r w:rsidR="00672C0D" w:rsidRPr="00C12279">
        <w:rPr>
          <w:rFonts w:ascii="Times New Roman" w:hAnsi="Times New Roman" w:cs="Times New Roman"/>
          <w:sz w:val="24"/>
          <w:szCs w:val="24"/>
        </w:rPr>
        <w:t>i.e.</w:t>
      </w:r>
      <w:r w:rsidR="006A2F51" w:rsidRPr="00C12279">
        <w:rPr>
          <w:rFonts w:ascii="Times New Roman" w:hAnsi="Times New Roman" w:cs="Times New Roman"/>
          <w:sz w:val="24"/>
          <w:szCs w:val="24"/>
        </w:rPr>
        <w:t xml:space="preserve"> a final and definite result in consequence of examining a question”, respectively. </w:t>
      </w:r>
      <w:r w:rsidR="007B32F1" w:rsidRPr="00C12279">
        <w:rPr>
          <w:rFonts w:ascii="Times New Roman" w:hAnsi="Times New Roman" w:cs="Times New Roman"/>
          <w:sz w:val="24"/>
          <w:szCs w:val="24"/>
        </w:rPr>
        <w:t>These definitions were adopted i</w:t>
      </w:r>
      <w:r w:rsidR="00C07B0C" w:rsidRPr="00C12279">
        <w:rPr>
          <w:rFonts w:ascii="Times New Roman" w:hAnsi="Times New Roman" w:cs="Times New Roman"/>
          <w:sz w:val="24"/>
          <w:szCs w:val="24"/>
        </w:rPr>
        <w:t xml:space="preserve">n </w:t>
      </w:r>
      <w:r w:rsidR="00C07B0C" w:rsidRPr="00C12279">
        <w:rPr>
          <w:rFonts w:ascii="Times New Roman" w:hAnsi="Times New Roman" w:cs="Times New Roman"/>
          <w:i/>
          <w:sz w:val="24"/>
          <w:szCs w:val="24"/>
        </w:rPr>
        <w:t xml:space="preserve">Media Workers Association of South Africa &amp; Ors </w:t>
      </w:r>
      <w:r w:rsidR="00C07B0C" w:rsidRPr="00C52CAE">
        <w:rPr>
          <w:rFonts w:ascii="Times New Roman" w:hAnsi="Times New Roman" w:cs="Times New Roman"/>
          <w:sz w:val="24"/>
          <w:szCs w:val="24"/>
        </w:rPr>
        <w:t>v</w:t>
      </w:r>
      <w:r w:rsidR="00C07B0C" w:rsidRPr="00C12279">
        <w:rPr>
          <w:rFonts w:ascii="Times New Roman" w:hAnsi="Times New Roman" w:cs="Times New Roman"/>
          <w:i/>
          <w:sz w:val="24"/>
          <w:szCs w:val="24"/>
        </w:rPr>
        <w:t xml:space="preserve"> Press Corporation of South Africa Ltd (Preskor</w:t>
      </w:r>
      <w:r w:rsidR="00C07B0C" w:rsidRPr="00C12279">
        <w:rPr>
          <w:rFonts w:ascii="Times New Roman" w:hAnsi="Times New Roman" w:cs="Times New Roman"/>
          <w:sz w:val="24"/>
          <w:szCs w:val="24"/>
        </w:rPr>
        <w:t>) 1992 (4) SA 791 (A)</w:t>
      </w:r>
      <w:r w:rsidR="007B32F1" w:rsidRPr="00C12279">
        <w:rPr>
          <w:rFonts w:ascii="Times New Roman" w:hAnsi="Times New Roman" w:cs="Times New Roman"/>
          <w:sz w:val="24"/>
          <w:szCs w:val="24"/>
        </w:rPr>
        <w:t xml:space="preserve"> at 794B-C. This w</w:t>
      </w:r>
      <w:r w:rsidR="00C07B0C" w:rsidRPr="00C12279">
        <w:rPr>
          <w:rFonts w:ascii="Times New Roman" w:hAnsi="Times New Roman" w:cs="Times New Roman"/>
          <w:sz w:val="24"/>
          <w:szCs w:val="24"/>
        </w:rPr>
        <w:t>a</w:t>
      </w:r>
      <w:r w:rsidR="007B32F1" w:rsidRPr="00C12279">
        <w:rPr>
          <w:rFonts w:ascii="Times New Roman" w:hAnsi="Times New Roman" w:cs="Times New Roman"/>
          <w:sz w:val="24"/>
          <w:szCs w:val="24"/>
        </w:rPr>
        <w:t>s a</w:t>
      </w:r>
      <w:r w:rsidR="00C07B0C" w:rsidRPr="00C12279">
        <w:rPr>
          <w:rFonts w:ascii="Times New Roman" w:hAnsi="Times New Roman" w:cs="Times New Roman"/>
          <w:sz w:val="24"/>
          <w:szCs w:val="24"/>
        </w:rPr>
        <w:t xml:space="preserve"> labour matter in which the relevant statutory provision stipulated that “an assessor shall be a person who </w:t>
      </w:r>
      <w:r w:rsidR="00C07B0C" w:rsidRPr="00C12279">
        <w:rPr>
          <w:rFonts w:ascii="Times New Roman" w:hAnsi="Times New Roman" w:cs="Times New Roman"/>
          <w:sz w:val="24"/>
          <w:szCs w:val="24"/>
          <w:u w:val="single"/>
        </w:rPr>
        <w:t>in the opinion</w:t>
      </w:r>
      <w:r w:rsidR="00C07B0C" w:rsidRPr="00C12279">
        <w:rPr>
          <w:rFonts w:ascii="Times New Roman" w:hAnsi="Times New Roman" w:cs="Times New Roman"/>
          <w:sz w:val="24"/>
          <w:szCs w:val="24"/>
        </w:rPr>
        <w:t xml:space="preserve"> of the Chairman of the Court has experience in the administration of justice or skill in any matter which </w:t>
      </w:r>
      <w:r w:rsidR="007B32F1" w:rsidRPr="00C12279">
        <w:rPr>
          <w:rFonts w:ascii="Times New Roman" w:hAnsi="Times New Roman" w:cs="Times New Roman"/>
          <w:sz w:val="24"/>
          <w:szCs w:val="24"/>
        </w:rPr>
        <w:t xml:space="preserve">may be considered by the Court”. By reference to </w:t>
      </w:r>
      <w:r w:rsidR="007B32F1" w:rsidRPr="00C12279">
        <w:rPr>
          <w:rFonts w:ascii="Times New Roman" w:hAnsi="Times New Roman" w:cs="Times New Roman"/>
          <w:i/>
          <w:sz w:val="24"/>
          <w:szCs w:val="24"/>
        </w:rPr>
        <w:t xml:space="preserve">The Shorter Oxford Dictionary </w:t>
      </w:r>
      <w:r w:rsidR="007B32F1" w:rsidRPr="00C12279">
        <w:rPr>
          <w:rFonts w:ascii="Times New Roman" w:hAnsi="Times New Roman" w:cs="Times New Roman"/>
          <w:sz w:val="24"/>
          <w:szCs w:val="24"/>
        </w:rPr>
        <w:t xml:space="preserve">it was held </w:t>
      </w:r>
      <w:r w:rsidR="00C6724A" w:rsidRPr="00C12279">
        <w:rPr>
          <w:rFonts w:ascii="Times New Roman" w:hAnsi="Times New Roman" w:cs="Times New Roman"/>
          <w:sz w:val="24"/>
          <w:szCs w:val="24"/>
        </w:rPr>
        <w:t>at 796E</w:t>
      </w:r>
      <w:r w:rsidR="007B32F1" w:rsidRPr="00C12279">
        <w:rPr>
          <w:rFonts w:ascii="Times New Roman" w:hAnsi="Times New Roman" w:cs="Times New Roman"/>
          <w:sz w:val="24"/>
          <w:szCs w:val="24"/>
        </w:rPr>
        <w:t xml:space="preserve"> that </w:t>
      </w:r>
      <w:r w:rsidR="00C6724A" w:rsidRPr="00C12279">
        <w:rPr>
          <w:rFonts w:ascii="Times New Roman" w:hAnsi="Times New Roman" w:cs="Times New Roman"/>
          <w:sz w:val="24"/>
          <w:szCs w:val="24"/>
        </w:rPr>
        <w:t>an opinion was a ma</w:t>
      </w:r>
      <w:r w:rsidR="007B32F1" w:rsidRPr="00C12279">
        <w:rPr>
          <w:rFonts w:ascii="Times New Roman" w:hAnsi="Times New Roman" w:cs="Times New Roman"/>
          <w:sz w:val="24"/>
          <w:szCs w:val="24"/>
        </w:rPr>
        <w:t>tter of speculation which could not</w:t>
      </w:r>
      <w:r w:rsidR="00C6724A" w:rsidRPr="00C12279">
        <w:rPr>
          <w:rFonts w:ascii="Times New Roman" w:hAnsi="Times New Roman" w:cs="Times New Roman"/>
          <w:sz w:val="24"/>
          <w:szCs w:val="24"/>
        </w:rPr>
        <w:t xml:space="preserve"> be proved by any available evidence to be right or wrong</w:t>
      </w:r>
      <w:r w:rsidR="006A2F51" w:rsidRPr="00C12279">
        <w:rPr>
          <w:rFonts w:ascii="Times New Roman" w:hAnsi="Times New Roman" w:cs="Times New Roman"/>
          <w:sz w:val="24"/>
          <w:szCs w:val="24"/>
        </w:rPr>
        <w:t xml:space="preserve">. In the local case </w:t>
      </w:r>
      <w:r w:rsidR="00220501" w:rsidRPr="00C12279">
        <w:rPr>
          <w:rFonts w:ascii="Times New Roman" w:hAnsi="Times New Roman" w:cs="Times New Roman"/>
          <w:sz w:val="24"/>
          <w:szCs w:val="24"/>
        </w:rPr>
        <w:t xml:space="preserve">of </w:t>
      </w:r>
      <w:r w:rsidR="00220501" w:rsidRPr="00C12279">
        <w:rPr>
          <w:rFonts w:ascii="Times New Roman" w:hAnsi="Times New Roman" w:cs="Times New Roman"/>
          <w:i/>
          <w:sz w:val="24"/>
          <w:szCs w:val="24"/>
        </w:rPr>
        <w:t xml:space="preserve">R </w:t>
      </w:r>
      <w:r w:rsidR="00220501" w:rsidRPr="00C52CAE">
        <w:rPr>
          <w:rFonts w:ascii="Times New Roman" w:hAnsi="Times New Roman" w:cs="Times New Roman"/>
          <w:sz w:val="24"/>
          <w:szCs w:val="24"/>
        </w:rPr>
        <w:t>v</w:t>
      </w:r>
      <w:r w:rsidR="00220501" w:rsidRPr="00C12279">
        <w:rPr>
          <w:rFonts w:ascii="Times New Roman" w:hAnsi="Times New Roman" w:cs="Times New Roman"/>
          <w:i/>
          <w:sz w:val="24"/>
          <w:szCs w:val="24"/>
        </w:rPr>
        <w:t xml:space="preserve"> Foster</w:t>
      </w:r>
      <w:r w:rsidR="00220501" w:rsidRPr="00C12279">
        <w:rPr>
          <w:rFonts w:ascii="Times New Roman" w:hAnsi="Times New Roman" w:cs="Times New Roman"/>
          <w:sz w:val="24"/>
          <w:szCs w:val="24"/>
        </w:rPr>
        <w:t xml:space="preserve"> 1962 (1) SA 280 (SR</w:t>
      </w:r>
      <w:r w:rsidR="006A2F51" w:rsidRPr="00C12279">
        <w:rPr>
          <w:rFonts w:ascii="Times New Roman" w:hAnsi="Times New Roman" w:cs="Times New Roman"/>
          <w:sz w:val="24"/>
          <w:szCs w:val="24"/>
        </w:rPr>
        <w:t xml:space="preserve">) </w:t>
      </w:r>
      <w:r w:rsidR="00220501" w:rsidRPr="00C12279">
        <w:rPr>
          <w:rFonts w:ascii="Times New Roman" w:hAnsi="Times New Roman" w:cs="Times New Roman"/>
          <w:sz w:val="24"/>
          <w:szCs w:val="24"/>
        </w:rPr>
        <w:t>at 285H</w:t>
      </w:r>
      <w:r w:rsidR="00957CF8" w:rsidRPr="00C12279">
        <w:rPr>
          <w:rFonts w:ascii="Times New Roman" w:hAnsi="Times New Roman" w:cs="Times New Roman"/>
          <w:sz w:val="24"/>
          <w:szCs w:val="24"/>
        </w:rPr>
        <w:t>-286A</w:t>
      </w:r>
      <w:r w:rsidR="00220501" w:rsidRPr="00C12279">
        <w:rPr>
          <w:rFonts w:ascii="Times New Roman" w:hAnsi="Times New Roman" w:cs="Times New Roman"/>
          <w:sz w:val="24"/>
          <w:szCs w:val="24"/>
        </w:rPr>
        <w:t xml:space="preserve"> </w:t>
      </w:r>
      <w:r w:rsidR="006A2F51" w:rsidRPr="00C52CAE">
        <w:rPr>
          <w:rFonts w:ascii="Times New Roman" w:hAnsi="Times New Roman" w:cs="Times New Roman"/>
          <w:smallCaps/>
          <w:sz w:val="24"/>
          <w:szCs w:val="24"/>
        </w:rPr>
        <w:t xml:space="preserve">Beadle </w:t>
      </w:r>
      <w:r w:rsidR="006A2F51" w:rsidRPr="00C12279">
        <w:rPr>
          <w:rFonts w:ascii="Times New Roman" w:hAnsi="Times New Roman" w:cs="Times New Roman"/>
          <w:sz w:val="24"/>
          <w:szCs w:val="24"/>
        </w:rPr>
        <w:t xml:space="preserve">CJ held </w:t>
      </w:r>
      <w:r w:rsidR="00220501" w:rsidRPr="00C12279">
        <w:rPr>
          <w:rFonts w:ascii="Times New Roman" w:hAnsi="Times New Roman" w:cs="Times New Roman"/>
          <w:sz w:val="24"/>
          <w:szCs w:val="24"/>
        </w:rPr>
        <w:t>that:</w:t>
      </w:r>
    </w:p>
    <w:p w14:paraId="4D662D0A" w14:textId="77777777" w:rsidR="00C07B0C" w:rsidRPr="00C12279" w:rsidRDefault="00220501" w:rsidP="00957CF8">
      <w:pPr>
        <w:ind w:left="720"/>
        <w:jc w:val="both"/>
        <w:rPr>
          <w:rFonts w:ascii="Times New Roman" w:hAnsi="Times New Roman" w:cs="Times New Roman"/>
          <w:sz w:val="24"/>
          <w:szCs w:val="24"/>
        </w:rPr>
      </w:pPr>
      <w:r w:rsidRPr="00C12279">
        <w:rPr>
          <w:rFonts w:ascii="Times New Roman" w:hAnsi="Times New Roman" w:cs="Times New Roman"/>
          <w:sz w:val="24"/>
          <w:szCs w:val="24"/>
        </w:rPr>
        <w:t>“</w:t>
      </w:r>
      <w:r w:rsidRPr="00C52CAE">
        <w:rPr>
          <w:rFonts w:ascii="Times New Roman" w:hAnsi="Times New Roman" w:cs="Times New Roman"/>
        </w:rPr>
        <w:t xml:space="preserve">Opinion means something different from </w:t>
      </w:r>
      <w:r w:rsidR="001C6C08" w:rsidRPr="00C52CAE">
        <w:rPr>
          <w:rFonts w:ascii="Times New Roman" w:hAnsi="Times New Roman" w:cs="Times New Roman"/>
        </w:rPr>
        <w:t>“</w:t>
      </w:r>
      <w:r w:rsidRPr="00C52CAE">
        <w:rPr>
          <w:rFonts w:ascii="Times New Roman" w:hAnsi="Times New Roman" w:cs="Times New Roman"/>
        </w:rPr>
        <w:t>intention”</w:t>
      </w:r>
      <w:r w:rsidR="001C6C08" w:rsidRPr="00C52CAE">
        <w:rPr>
          <w:rFonts w:ascii="Times New Roman" w:hAnsi="Times New Roman" w:cs="Times New Roman"/>
        </w:rPr>
        <w:t>………</w:t>
      </w:r>
      <w:r w:rsidRPr="00C52CAE">
        <w:rPr>
          <w:rFonts w:ascii="Times New Roman" w:hAnsi="Times New Roman" w:cs="Times New Roman"/>
        </w:rPr>
        <w:t xml:space="preserve">. If the long and complex definition of </w:t>
      </w:r>
      <w:r w:rsidR="00957CF8" w:rsidRPr="00C52CAE">
        <w:rPr>
          <w:rFonts w:ascii="Times New Roman" w:hAnsi="Times New Roman" w:cs="Times New Roman"/>
        </w:rPr>
        <w:t>“</w:t>
      </w:r>
      <w:r w:rsidRPr="00C52CAE">
        <w:rPr>
          <w:rFonts w:ascii="Times New Roman" w:hAnsi="Times New Roman" w:cs="Times New Roman"/>
        </w:rPr>
        <w:t>opinion</w:t>
      </w:r>
      <w:r w:rsidR="00957CF8" w:rsidRPr="00C52CAE">
        <w:rPr>
          <w:rFonts w:ascii="Times New Roman" w:hAnsi="Times New Roman" w:cs="Times New Roman"/>
        </w:rPr>
        <w:t xml:space="preserve">” in the </w:t>
      </w:r>
      <w:r w:rsidR="00957CF8" w:rsidRPr="00C52CAE">
        <w:rPr>
          <w:rFonts w:ascii="Times New Roman" w:hAnsi="Times New Roman" w:cs="Times New Roman"/>
          <w:i/>
        </w:rPr>
        <w:t xml:space="preserve">Shorter Oxford Dictionary </w:t>
      </w:r>
      <w:r w:rsidR="00957CF8" w:rsidRPr="00C52CAE">
        <w:rPr>
          <w:rFonts w:ascii="Times New Roman" w:hAnsi="Times New Roman" w:cs="Times New Roman"/>
        </w:rPr>
        <w:t>is examined it will be seen that the meaning of “opinion” includes only such things as “a judgment” or “a belief of something”. It does not include merely an intention</w:t>
      </w:r>
      <w:r w:rsidR="00957CF8" w:rsidRPr="00C12279">
        <w:rPr>
          <w:rFonts w:ascii="Times New Roman" w:hAnsi="Times New Roman" w:cs="Times New Roman"/>
          <w:sz w:val="24"/>
          <w:szCs w:val="24"/>
        </w:rPr>
        <w:t>.</w:t>
      </w:r>
      <w:r w:rsidR="001C6C08" w:rsidRPr="00C12279">
        <w:rPr>
          <w:rFonts w:ascii="Times New Roman" w:hAnsi="Times New Roman" w:cs="Times New Roman"/>
          <w:sz w:val="24"/>
          <w:szCs w:val="24"/>
        </w:rPr>
        <w:t>”</w:t>
      </w:r>
      <w:r w:rsidR="00957CF8" w:rsidRPr="00C12279">
        <w:rPr>
          <w:rFonts w:ascii="Times New Roman" w:hAnsi="Times New Roman" w:cs="Times New Roman"/>
          <w:sz w:val="24"/>
          <w:szCs w:val="24"/>
        </w:rPr>
        <w:t xml:space="preserve"> </w:t>
      </w:r>
    </w:p>
    <w:p w14:paraId="63DAB0BF" w14:textId="2791A8ED" w:rsidR="00095316" w:rsidRPr="00C12279" w:rsidRDefault="00150F81" w:rsidP="00C52CAE">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However, in </w:t>
      </w:r>
      <w:r w:rsidRPr="00C12279">
        <w:rPr>
          <w:rFonts w:ascii="Times New Roman" w:hAnsi="Times New Roman" w:cs="Times New Roman"/>
          <w:i/>
          <w:sz w:val="24"/>
          <w:szCs w:val="24"/>
        </w:rPr>
        <w:t xml:space="preserve">R </w:t>
      </w:r>
      <w:r w:rsidRPr="00C97769">
        <w:rPr>
          <w:rFonts w:ascii="Times New Roman" w:hAnsi="Times New Roman" w:cs="Times New Roman"/>
          <w:sz w:val="24"/>
          <w:szCs w:val="24"/>
        </w:rPr>
        <w:t>v</w:t>
      </w:r>
      <w:r w:rsidRPr="00C12279">
        <w:rPr>
          <w:rFonts w:ascii="Times New Roman" w:hAnsi="Times New Roman" w:cs="Times New Roman"/>
          <w:i/>
          <w:sz w:val="24"/>
          <w:szCs w:val="24"/>
        </w:rPr>
        <w:t xml:space="preserve"> Sibanda &amp; Ors</w:t>
      </w:r>
      <w:r w:rsidR="00672C0D" w:rsidRPr="00C12279">
        <w:rPr>
          <w:rFonts w:ascii="Times New Roman" w:hAnsi="Times New Roman" w:cs="Times New Roman"/>
          <w:i/>
          <w:sz w:val="24"/>
          <w:szCs w:val="24"/>
        </w:rPr>
        <w:t xml:space="preserve"> </w:t>
      </w:r>
      <w:r w:rsidRPr="00C12279">
        <w:rPr>
          <w:rFonts w:ascii="Times New Roman" w:hAnsi="Times New Roman" w:cs="Times New Roman"/>
          <w:i/>
          <w:sz w:val="24"/>
          <w:szCs w:val="24"/>
        </w:rPr>
        <w:t>1965</w:t>
      </w:r>
      <w:r w:rsidRPr="00C12279">
        <w:rPr>
          <w:rFonts w:ascii="Times New Roman" w:hAnsi="Times New Roman" w:cs="Times New Roman"/>
          <w:sz w:val="24"/>
          <w:szCs w:val="24"/>
        </w:rPr>
        <w:t xml:space="preserve"> RLR 363 at 369 an opinion of a court was equated with a judgment derived from o</w:t>
      </w:r>
      <w:r w:rsidR="00672C0D" w:rsidRPr="00C12279">
        <w:rPr>
          <w:rFonts w:ascii="Times New Roman" w:hAnsi="Times New Roman" w:cs="Times New Roman"/>
          <w:sz w:val="24"/>
          <w:szCs w:val="24"/>
        </w:rPr>
        <w:t>bjective facts</w:t>
      </w:r>
      <w:r w:rsidRPr="00C12279">
        <w:rPr>
          <w:rFonts w:ascii="Times New Roman" w:hAnsi="Times New Roman" w:cs="Times New Roman"/>
          <w:sz w:val="24"/>
          <w:szCs w:val="24"/>
        </w:rPr>
        <w:t xml:space="preserve"> and not a belief.</w:t>
      </w:r>
    </w:p>
    <w:p w14:paraId="4238F1B9" w14:textId="4A4B83BF" w:rsidR="00E0078C" w:rsidRPr="00C12279" w:rsidRDefault="00095316" w:rsidP="00C52CAE">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my view, </w:t>
      </w:r>
      <w:r w:rsidR="006667E7" w:rsidRPr="00C12279">
        <w:rPr>
          <w:rFonts w:ascii="Times New Roman" w:hAnsi="Times New Roman" w:cs="Times New Roman"/>
          <w:sz w:val="24"/>
          <w:szCs w:val="24"/>
        </w:rPr>
        <w:t>the publication and contents of</w:t>
      </w:r>
      <w:r w:rsidRPr="00C12279">
        <w:rPr>
          <w:rFonts w:ascii="Times New Roman" w:hAnsi="Times New Roman" w:cs="Times New Roman"/>
          <w:sz w:val="24"/>
          <w:szCs w:val="24"/>
        </w:rPr>
        <w:t xml:space="preserve"> </w:t>
      </w:r>
      <w:r w:rsidR="006667E7" w:rsidRPr="00C12279">
        <w:rPr>
          <w:rFonts w:ascii="Times New Roman" w:hAnsi="Times New Roman" w:cs="Times New Roman"/>
          <w:sz w:val="24"/>
          <w:szCs w:val="24"/>
        </w:rPr>
        <w:t xml:space="preserve">the </w:t>
      </w:r>
      <w:r w:rsidRPr="00C12279">
        <w:rPr>
          <w:rFonts w:ascii="Times New Roman" w:hAnsi="Times New Roman" w:cs="Times New Roman"/>
          <w:sz w:val="24"/>
          <w:szCs w:val="24"/>
        </w:rPr>
        <w:t xml:space="preserve">Value Ruling No 15 of 2007 </w:t>
      </w:r>
      <w:r w:rsidR="006667E7" w:rsidRPr="00C12279">
        <w:rPr>
          <w:rFonts w:ascii="Times New Roman" w:hAnsi="Times New Roman" w:cs="Times New Roman"/>
          <w:sz w:val="24"/>
          <w:szCs w:val="24"/>
        </w:rPr>
        <w:t xml:space="preserve">and the </w:t>
      </w:r>
      <w:r w:rsidRPr="00C12279">
        <w:rPr>
          <w:rFonts w:ascii="Times New Roman" w:hAnsi="Times New Roman" w:cs="Times New Roman"/>
          <w:sz w:val="24"/>
          <w:szCs w:val="24"/>
        </w:rPr>
        <w:t>accompanying correspondence demonstrated that the Commissioner-General was alive to the powers vested in him generally by Part X and in particular by s 106 and 113 o</w:t>
      </w:r>
      <w:r w:rsidR="006667E7" w:rsidRPr="00C12279">
        <w:rPr>
          <w:rFonts w:ascii="Times New Roman" w:hAnsi="Times New Roman" w:cs="Times New Roman"/>
          <w:sz w:val="24"/>
          <w:szCs w:val="24"/>
        </w:rPr>
        <w:t>f the Customs and Excise Act. It</w:t>
      </w:r>
      <w:r w:rsidRPr="00C12279">
        <w:rPr>
          <w:rFonts w:ascii="Times New Roman" w:hAnsi="Times New Roman" w:cs="Times New Roman"/>
          <w:sz w:val="24"/>
          <w:szCs w:val="24"/>
        </w:rPr>
        <w:t xml:space="preserve"> seems to me that the provisions in Part X delineate almost all the possible ingredients that constitute a transaction value for the purposes of computing the duty value of an imported item under the Customs and Excise Act. In summary, the ruling was that the sum payable to the intermediary was the value for duty purposes and that amount was religiously treated by the appellant as the purchase price of the motor vehicles in all its tax returns from the time it took effect. And rightly so, for those ingredients in my view are similar to the considerations which must necessarily constitute the purchase price of such an imported item for Income Tax purposes. </w:t>
      </w:r>
      <w:r w:rsidR="00773E3B" w:rsidRPr="00C12279">
        <w:rPr>
          <w:rFonts w:ascii="Times New Roman" w:hAnsi="Times New Roman" w:cs="Times New Roman"/>
          <w:sz w:val="24"/>
          <w:szCs w:val="24"/>
        </w:rPr>
        <w:t xml:space="preserve">In ruling on the transaction value for duty purposes, the Commissioner-General made a final and definitive determination amounting to an “adjudication in the juristic sense, i.e. a final and definite result in consequence of examining a question” </w:t>
      </w:r>
      <w:r w:rsidR="00E0078C" w:rsidRPr="00C12279">
        <w:rPr>
          <w:rFonts w:ascii="Times New Roman" w:hAnsi="Times New Roman" w:cs="Times New Roman"/>
          <w:sz w:val="24"/>
          <w:szCs w:val="24"/>
        </w:rPr>
        <w:t xml:space="preserve">or a “judgment” as indicated </w:t>
      </w:r>
      <w:r w:rsidR="00773E3B" w:rsidRPr="00C12279">
        <w:rPr>
          <w:rFonts w:ascii="Times New Roman" w:hAnsi="Times New Roman" w:cs="Times New Roman"/>
          <w:sz w:val="24"/>
          <w:szCs w:val="24"/>
        </w:rPr>
        <w:t xml:space="preserve">in the </w:t>
      </w:r>
      <w:r w:rsidR="00773E3B" w:rsidRPr="00C12279">
        <w:rPr>
          <w:rFonts w:ascii="Times New Roman" w:hAnsi="Times New Roman" w:cs="Times New Roman"/>
          <w:i/>
          <w:sz w:val="24"/>
          <w:szCs w:val="24"/>
        </w:rPr>
        <w:t>Knop</w:t>
      </w:r>
      <w:r w:rsidR="00E0078C" w:rsidRPr="00C12279">
        <w:rPr>
          <w:rFonts w:ascii="Times New Roman" w:hAnsi="Times New Roman" w:cs="Times New Roman"/>
          <w:sz w:val="24"/>
          <w:szCs w:val="24"/>
        </w:rPr>
        <w:t xml:space="preserve"> and </w:t>
      </w:r>
      <w:r w:rsidR="00E0078C" w:rsidRPr="00C12279">
        <w:rPr>
          <w:rFonts w:ascii="Times New Roman" w:hAnsi="Times New Roman" w:cs="Times New Roman"/>
          <w:i/>
          <w:sz w:val="24"/>
          <w:szCs w:val="24"/>
        </w:rPr>
        <w:t xml:space="preserve">R </w:t>
      </w:r>
      <w:r w:rsidR="00E0078C" w:rsidRPr="00C52CAE">
        <w:rPr>
          <w:rFonts w:ascii="Times New Roman" w:hAnsi="Times New Roman" w:cs="Times New Roman"/>
          <w:sz w:val="24"/>
          <w:szCs w:val="24"/>
        </w:rPr>
        <w:t xml:space="preserve">v </w:t>
      </w:r>
      <w:r w:rsidR="00E0078C" w:rsidRPr="00C12279">
        <w:rPr>
          <w:rFonts w:ascii="Times New Roman" w:hAnsi="Times New Roman" w:cs="Times New Roman"/>
          <w:i/>
          <w:sz w:val="24"/>
          <w:szCs w:val="24"/>
        </w:rPr>
        <w:t>Foster</w:t>
      </w:r>
      <w:r w:rsidR="00E0078C" w:rsidRPr="00C12279">
        <w:rPr>
          <w:rFonts w:ascii="Times New Roman" w:hAnsi="Times New Roman" w:cs="Times New Roman"/>
          <w:sz w:val="24"/>
          <w:szCs w:val="24"/>
        </w:rPr>
        <w:t xml:space="preserve">, cases, </w:t>
      </w:r>
      <w:r w:rsidR="00E0078C" w:rsidRPr="00C12279">
        <w:rPr>
          <w:rFonts w:ascii="Times New Roman" w:hAnsi="Times New Roman" w:cs="Times New Roman"/>
          <w:i/>
          <w:sz w:val="24"/>
          <w:szCs w:val="24"/>
        </w:rPr>
        <w:t>supra</w:t>
      </w:r>
      <w:r w:rsidR="00E0078C" w:rsidRPr="00C12279">
        <w:rPr>
          <w:rFonts w:ascii="Times New Roman" w:hAnsi="Times New Roman" w:cs="Times New Roman"/>
          <w:sz w:val="24"/>
          <w:szCs w:val="24"/>
        </w:rPr>
        <w:t xml:space="preserve">, respectively. </w:t>
      </w:r>
    </w:p>
    <w:p w14:paraId="57BB809A" w14:textId="67466F68" w:rsidR="00A57994" w:rsidRPr="00C12279" w:rsidRDefault="00773E3B" w:rsidP="00C52CAE">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That final and definite determination was that the relationship between the appellant and the intermediary</w:t>
      </w:r>
      <w:r w:rsidR="00B95D2C" w:rsidRPr="00C12279">
        <w:rPr>
          <w:rFonts w:ascii="Times New Roman" w:hAnsi="Times New Roman" w:cs="Times New Roman"/>
          <w:sz w:val="24"/>
          <w:szCs w:val="24"/>
        </w:rPr>
        <w:t xml:space="preserve"> did not influence the price actually paid for the goods concerned. The </w:t>
      </w:r>
      <w:r w:rsidR="00B95D2C" w:rsidRPr="00C12279">
        <w:rPr>
          <w:rFonts w:ascii="Times New Roman" w:hAnsi="Times New Roman" w:cs="Times New Roman"/>
          <w:sz w:val="24"/>
          <w:szCs w:val="24"/>
        </w:rPr>
        <w:lastRenderedPageBreak/>
        <w:t>opinion of the Commissioner was that the parties acted at arm’</w:t>
      </w:r>
      <w:r w:rsidR="00A21294" w:rsidRPr="00C12279">
        <w:rPr>
          <w:rFonts w:ascii="Times New Roman" w:hAnsi="Times New Roman" w:cs="Times New Roman"/>
          <w:sz w:val="24"/>
          <w:szCs w:val="24"/>
        </w:rPr>
        <w:t xml:space="preserve">s length in setting the </w:t>
      </w:r>
      <w:r w:rsidR="00B95D2C" w:rsidRPr="00C12279">
        <w:rPr>
          <w:rFonts w:ascii="Times New Roman" w:hAnsi="Times New Roman" w:cs="Times New Roman"/>
          <w:sz w:val="24"/>
          <w:szCs w:val="24"/>
        </w:rPr>
        <w:t xml:space="preserve">transaction value. </w:t>
      </w:r>
      <w:r w:rsidR="00A21294" w:rsidRPr="00C12279">
        <w:rPr>
          <w:rFonts w:ascii="Times New Roman" w:hAnsi="Times New Roman" w:cs="Times New Roman"/>
          <w:sz w:val="24"/>
          <w:szCs w:val="24"/>
        </w:rPr>
        <w:t xml:space="preserve">The finding </w:t>
      </w:r>
      <w:r w:rsidR="006F6C66" w:rsidRPr="00C12279">
        <w:rPr>
          <w:rFonts w:ascii="Times New Roman" w:hAnsi="Times New Roman" w:cs="Times New Roman"/>
          <w:sz w:val="24"/>
          <w:szCs w:val="24"/>
        </w:rPr>
        <w:t xml:space="preserve">was based on the objective assessment of the information provided to the Commissioner, which information would more or less be used to determine the purchase price of the imported vehicles. The introduction of a different statute would not change the </w:t>
      </w:r>
      <w:r w:rsidR="00A57994" w:rsidRPr="00C12279">
        <w:rPr>
          <w:rFonts w:ascii="Times New Roman" w:hAnsi="Times New Roman" w:cs="Times New Roman"/>
          <w:sz w:val="24"/>
          <w:szCs w:val="24"/>
        </w:rPr>
        <w:t>value of the motor vehicles nor the finding that the parties h</w:t>
      </w:r>
      <w:r w:rsidR="007D60F8" w:rsidRPr="00C12279">
        <w:rPr>
          <w:rFonts w:ascii="Times New Roman" w:hAnsi="Times New Roman" w:cs="Times New Roman"/>
          <w:sz w:val="24"/>
          <w:szCs w:val="24"/>
        </w:rPr>
        <w:t xml:space="preserve">ad an arm’s length relationship, especially in view of the respondent’s refusal to refund the duty, surtax and VAT paid on the higher transactional value. Clearly, the appellant cannot approbate and reprobate in respect of the same motor vehicles simply because the imposts are levied under two different statutes. </w:t>
      </w:r>
      <w:r w:rsidR="00A47EFF" w:rsidRPr="00C12279">
        <w:rPr>
          <w:rFonts w:ascii="Times New Roman" w:hAnsi="Times New Roman" w:cs="Times New Roman"/>
          <w:sz w:val="24"/>
          <w:szCs w:val="24"/>
        </w:rPr>
        <w:t xml:space="preserve">Contrary to the submission by Mr </w:t>
      </w:r>
      <w:r w:rsidR="00A47EFF" w:rsidRPr="00C12279">
        <w:rPr>
          <w:rFonts w:ascii="Times New Roman" w:hAnsi="Times New Roman" w:cs="Times New Roman"/>
          <w:i/>
          <w:sz w:val="24"/>
          <w:szCs w:val="24"/>
        </w:rPr>
        <w:t>Magwaliba</w:t>
      </w:r>
      <w:r w:rsidR="00A47EFF" w:rsidRPr="00C12279">
        <w:rPr>
          <w:rFonts w:ascii="Times New Roman" w:hAnsi="Times New Roman" w:cs="Times New Roman"/>
          <w:sz w:val="24"/>
          <w:szCs w:val="24"/>
        </w:rPr>
        <w:t xml:space="preserve"> in para 11.2 of his written heads of argument I am satisfied that the assessment and payment of import duties and taxes based on the transaction value of these vehicles which was objectively ascertained by the respondent is binding on the respondent. The appellant has shown that it knows of no other means and the respondent has not discharged the evidentiary onus that shifted to it of showing how the purchase price required for the computation of taxable income on these vehicles could have been arrived at other than in the same way that was used to ascertain the transaction value.</w:t>
      </w:r>
    </w:p>
    <w:p w14:paraId="4F417F64" w14:textId="77777777" w:rsidR="00A57994" w:rsidRPr="00C12279" w:rsidRDefault="00A57994" w:rsidP="00095316">
      <w:pPr>
        <w:jc w:val="both"/>
        <w:rPr>
          <w:rFonts w:ascii="Times New Roman" w:hAnsi="Times New Roman" w:cs="Times New Roman"/>
          <w:i/>
          <w:sz w:val="24"/>
          <w:szCs w:val="24"/>
        </w:rPr>
      </w:pPr>
      <w:r w:rsidRPr="00C12279">
        <w:rPr>
          <w:rFonts w:ascii="Times New Roman" w:hAnsi="Times New Roman" w:cs="Times New Roman"/>
          <w:i/>
          <w:sz w:val="24"/>
          <w:szCs w:val="24"/>
        </w:rPr>
        <w:t xml:space="preserve">Was the respondent entitled to invoke s 24 of the Income Tax Act to compute notional income? </w:t>
      </w:r>
    </w:p>
    <w:p w14:paraId="0C07F94E" w14:textId="6ED4AD59" w:rsidR="00B625E9" w:rsidRPr="00C52CAE" w:rsidRDefault="00A57994" w:rsidP="00C52CAE">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respondent </w:t>
      </w:r>
      <w:r w:rsidR="0042149C" w:rsidRPr="00C12279">
        <w:rPr>
          <w:rFonts w:ascii="Times New Roman" w:hAnsi="Times New Roman" w:cs="Times New Roman"/>
          <w:sz w:val="24"/>
          <w:szCs w:val="24"/>
        </w:rPr>
        <w:t>conducted a tax compliance</w:t>
      </w:r>
      <w:r w:rsidR="009868BE" w:rsidRPr="00C12279">
        <w:rPr>
          <w:rFonts w:ascii="Times New Roman" w:hAnsi="Times New Roman" w:cs="Times New Roman"/>
          <w:sz w:val="24"/>
          <w:szCs w:val="24"/>
        </w:rPr>
        <w:t xml:space="preserve"> investigation </w:t>
      </w:r>
      <w:r w:rsidR="0042149C" w:rsidRPr="00C12279">
        <w:rPr>
          <w:rFonts w:ascii="Times New Roman" w:hAnsi="Times New Roman" w:cs="Times New Roman"/>
          <w:sz w:val="24"/>
          <w:szCs w:val="24"/>
        </w:rPr>
        <w:t>of the</w:t>
      </w:r>
      <w:r w:rsidR="009868BE" w:rsidRPr="00C12279">
        <w:rPr>
          <w:rFonts w:ascii="Times New Roman" w:hAnsi="Times New Roman" w:cs="Times New Roman"/>
          <w:sz w:val="24"/>
          <w:szCs w:val="24"/>
        </w:rPr>
        <w:t xml:space="preserve"> appellant in respect of the four years in question. It was dissatisfied with the transactions between the appellant and the intermediary</w:t>
      </w:r>
      <w:r w:rsidR="00A17F92" w:rsidRPr="00C12279">
        <w:rPr>
          <w:rFonts w:ascii="Times New Roman" w:hAnsi="Times New Roman" w:cs="Times New Roman"/>
          <w:sz w:val="24"/>
          <w:szCs w:val="24"/>
        </w:rPr>
        <w:t>, who were related parties</w:t>
      </w:r>
      <w:r w:rsidR="009868BE" w:rsidRPr="00C12279">
        <w:rPr>
          <w:rFonts w:ascii="Times New Roman" w:hAnsi="Times New Roman" w:cs="Times New Roman"/>
          <w:sz w:val="24"/>
          <w:szCs w:val="24"/>
        </w:rPr>
        <w:t xml:space="preserve">. The basis of the disquiet was that </w:t>
      </w:r>
      <w:r w:rsidR="004C3145" w:rsidRPr="00C12279">
        <w:rPr>
          <w:rFonts w:ascii="Times New Roman" w:hAnsi="Times New Roman" w:cs="Times New Roman"/>
          <w:sz w:val="24"/>
          <w:szCs w:val="24"/>
        </w:rPr>
        <w:t xml:space="preserve">import documents showed </w:t>
      </w:r>
      <w:r w:rsidR="009868BE" w:rsidRPr="00C12279">
        <w:rPr>
          <w:rFonts w:ascii="Times New Roman" w:hAnsi="Times New Roman" w:cs="Times New Roman"/>
          <w:sz w:val="24"/>
          <w:szCs w:val="24"/>
        </w:rPr>
        <w:t xml:space="preserve">the appellant </w:t>
      </w:r>
      <w:r w:rsidR="004C3145" w:rsidRPr="00C12279">
        <w:rPr>
          <w:rFonts w:ascii="Times New Roman" w:hAnsi="Times New Roman" w:cs="Times New Roman"/>
          <w:sz w:val="24"/>
          <w:szCs w:val="24"/>
        </w:rPr>
        <w:t xml:space="preserve">as the owner of the vehicles in the bonded warehouse when in fact ownership vested in the intermediary who insured them whilst in bond. </w:t>
      </w:r>
      <w:r w:rsidR="007A217A" w:rsidRPr="00C12279">
        <w:rPr>
          <w:rFonts w:ascii="Times New Roman" w:hAnsi="Times New Roman" w:cs="Times New Roman"/>
          <w:sz w:val="24"/>
          <w:szCs w:val="24"/>
        </w:rPr>
        <w:t xml:space="preserve">The </w:t>
      </w:r>
      <w:r w:rsidR="003E2CC9" w:rsidRPr="00C12279">
        <w:rPr>
          <w:rFonts w:ascii="Times New Roman" w:hAnsi="Times New Roman" w:cs="Times New Roman"/>
          <w:sz w:val="24"/>
          <w:szCs w:val="24"/>
        </w:rPr>
        <w:t>prepaid forex amount on the price list was the Carriage Insurance P</w:t>
      </w:r>
      <w:r w:rsidR="007A217A" w:rsidRPr="00C12279">
        <w:rPr>
          <w:rFonts w:ascii="Times New Roman" w:hAnsi="Times New Roman" w:cs="Times New Roman"/>
          <w:sz w:val="24"/>
          <w:szCs w:val="24"/>
        </w:rPr>
        <w:t>aid CIP price</w:t>
      </w:r>
      <w:r w:rsidR="003E2CC9" w:rsidRPr="00C12279">
        <w:rPr>
          <w:rFonts w:ascii="Times New Roman" w:hAnsi="Times New Roman" w:cs="Times New Roman"/>
          <w:sz w:val="24"/>
          <w:szCs w:val="24"/>
        </w:rPr>
        <w:t xml:space="preserve"> equivalent to 40% of the total cost of the vehicle. </w:t>
      </w:r>
      <w:r w:rsidR="007A217A" w:rsidRPr="00C12279">
        <w:rPr>
          <w:rFonts w:ascii="Times New Roman" w:hAnsi="Times New Roman" w:cs="Times New Roman"/>
          <w:sz w:val="24"/>
          <w:szCs w:val="24"/>
        </w:rPr>
        <w:t xml:space="preserve"> </w:t>
      </w:r>
      <w:r w:rsidR="004C3145" w:rsidRPr="00C12279">
        <w:rPr>
          <w:rFonts w:ascii="Times New Roman" w:hAnsi="Times New Roman" w:cs="Times New Roman"/>
          <w:sz w:val="24"/>
          <w:szCs w:val="24"/>
        </w:rPr>
        <w:t xml:space="preserve">In addition, the appellant </w:t>
      </w:r>
      <w:r w:rsidR="009868BE" w:rsidRPr="00C12279">
        <w:rPr>
          <w:rFonts w:ascii="Times New Roman" w:hAnsi="Times New Roman" w:cs="Times New Roman"/>
          <w:sz w:val="24"/>
          <w:szCs w:val="24"/>
        </w:rPr>
        <w:t xml:space="preserve">was responsible for the payment of rentals for the bonded warehouse, advertising and </w:t>
      </w:r>
      <w:r w:rsidR="004C3145" w:rsidRPr="00C12279">
        <w:rPr>
          <w:rFonts w:ascii="Times New Roman" w:hAnsi="Times New Roman" w:cs="Times New Roman"/>
          <w:sz w:val="24"/>
          <w:szCs w:val="24"/>
        </w:rPr>
        <w:t>promotion expenses, clearing charges</w:t>
      </w:r>
      <w:r w:rsidR="009868BE" w:rsidRPr="00C12279">
        <w:rPr>
          <w:rFonts w:ascii="Times New Roman" w:hAnsi="Times New Roman" w:cs="Times New Roman"/>
          <w:sz w:val="24"/>
          <w:szCs w:val="24"/>
        </w:rPr>
        <w:t xml:space="preserve"> and management fees</w:t>
      </w:r>
      <w:r w:rsidR="00CD6E6F" w:rsidRPr="00C12279">
        <w:rPr>
          <w:rFonts w:ascii="Times New Roman" w:hAnsi="Times New Roman" w:cs="Times New Roman"/>
          <w:sz w:val="24"/>
          <w:szCs w:val="24"/>
        </w:rPr>
        <w:t>, which expenses it</w:t>
      </w:r>
      <w:r w:rsidR="00E803CF" w:rsidRPr="00C12279">
        <w:rPr>
          <w:rFonts w:ascii="Times New Roman" w:hAnsi="Times New Roman" w:cs="Times New Roman"/>
          <w:sz w:val="24"/>
          <w:szCs w:val="24"/>
        </w:rPr>
        <w:t xml:space="preserve"> claimed from</w:t>
      </w:r>
      <w:r w:rsidR="002743F1" w:rsidRPr="00C12279">
        <w:rPr>
          <w:rFonts w:ascii="Times New Roman" w:hAnsi="Times New Roman" w:cs="Times New Roman"/>
          <w:sz w:val="24"/>
          <w:szCs w:val="24"/>
        </w:rPr>
        <w:t xml:space="preserve"> </w:t>
      </w:r>
      <w:r w:rsidR="003A242C" w:rsidRPr="00C12279">
        <w:rPr>
          <w:rFonts w:ascii="Times New Roman" w:hAnsi="Times New Roman" w:cs="Times New Roman"/>
          <w:sz w:val="24"/>
          <w:szCs w:val="24"/>
        </w:rPr>
        <w:t>its income</w:t>
      </w:r>
      <w:r w:rsidR="009868BE" w:rsidRPr="00C12279">
        <w:rPr>
          <w:rFonts w:ascii="Times New Roman" w:hAnsi="Times New Roman" w:cs="Times New Roman"/>
          <w:sz w:val="24"/>
          <w:szCs w:val="24"/>
        </w:rPr>
        <w:t xml:space="preserve">. </w:t>
      </w:r>
      <w:r w:rsidR="00E803CF" w:rsidRPr="00C12279">
        <w:rPr>
          <w:rFonts w:ascii="Times New Roman" w:hAnsi="Times New Roman" w:cs="Times New Roman"/>
          <w:sz w:val="24"/>
          <w:szCs w:val="24"/>
        </w:rPr>
        <w:t xml:space="preserve">At the same time, the owner of the motor vehicles incurred comparatively less costs and enjoyed more of the profits in a foreign tax jurisdiction beyond the reach of the respondent. </w:t>
      </w:r>
      <w:r w:rsidR="001E66CD" w:rsidRPr="00C12279">
        <w:rPr>
          <w:rFonts w:ascii="Times New Roman" w:hAnsi="Times New Roman" w:cs="Times New Roman"/>
          <w:sz w:val="24"/>
          <w:szCs w:val="24"/>
        </w:rPr>
        <w:t xml:space="preserve">The respondent formed the opinion that the arrangement was intended to </w:t>
      </w:r>
      <w:r w:rsidR="00435E8D" w:rsidRPr="00C12279">
        <w:rPr>
          <w:rFonts w:ascii="Times New Roman" w:hAnsi="Times New Roman" w:cs="Times New Roman"/>
          <w:sz w:val="24"/>
          <w:szCs w:val="24"/>
        </w:rPr>
        <w:t>reduce the appellant’s profits in Zimbabwe and transfer them</w:t>
      </w:r>
      <w:r w:rsidR="001E66CD" w:rsidRPr="00C12279">
        <w:rPr>
          <w:rFonts w:ascii="Times New Roman" w:hAnsi="Times New Roman" w:cs="Times New Roman"/>
          <w:sz w:val="24"/>
          <w:szCs w:val="24"/>
        </w:rPr>
        <w:t xml:space="preserve"> to this other tax jurisdiction </w:t>
      </w:r>
      <w:r w:rsidR="00435E8D" w:rsidRPr="00C12279">
        <w:rPr>
          <w:rFonts w:ascii="Times New Roman" w:hAnsi="Times New Roman" w:cs="Times New Roman"/>
          <w:sz w:val="24"/>
          <w:szCs w:val="24"/>
        </w:rPr>
        <w:t>to the obvious detriment of the Zimbabwe fiscus.</w:t>
      </w:r>
      <w:r w:rsidR="001E66CD" w:rsidRPr="00C12279">
        <w:rPr>
          <w:rFonts w:ascii="Times New Roman" w:hAnsi="Times New Roman" w:cs="Times New Roman"/>
          <w:sz w:val="24"/>
          <w:szCs w:val="24"/>
        </w:rPr>
        <w:t xml:space="preserve"> In the result the appellant invoked the provisions of s 24 of the Income Tax Act and </w:t>
      </w:r>
      <w:r w:rsidR="0000553B" w:rsidRPr="00C12279">
        <w:rPr>
          <w:rFonts w:ascii="Times New Roman" w:hAnsi="Times New Roman" w:cs="Times New Roman"/>
          <w:sz w:val="24"/>
          <w:szCs w:val="24"/>
        </w:rPr>
        <w:t xml:space="preserve">in collaboration with the appellant </w:t>
      </w:r>
      <w:r w:rsidR="001E66CD" w:rsidRPr="00C12279">
        <w:rPr>
          <w:rFonts w:ascii="Times New Roman" w:hAnsi="Times New Roman" w:cs="Times New Roman"/>
          <w:sz w:val="24"/>
          <w:szCs w:val="24"/>
        </w:rPr>
        <w:t xml:space="preserve">conducted a functional analysis of the transactions in the </w:t>
      </w:r>
      <w:r w:rsidR="001E66CD" w:rsidRPr="00C12279">
        <w:rPr>
          <w:rFonts w:ascii="Times New Roman" w:hAnsi="Times New Roman" w:cs="Times New Roman"/>
          <w:sz w:val="24"/>
          <w:szCs w:val="24"/>
        </w:rPr>
        <w:lastRenderedPageBreak/>
        <w:t xml:space="preserve">supply chain from the purchase of the vehicles from the conglomerate by the intermediary to their disposal </w:t>
      </w:r>
      <w:r w:rsidR="00990F3A" w:rsidRPr="00C12279">
        <w:rPr>
          <w:rFonts w:ascii="Times New Roman" w:hAnsi="Times New Roman" w:cs="Times New Roman"/>
          <w:sz w:val="24"/>
          <w:szCs w:val="24"/>
        </w:rPr>
        <w:t>to the dealers by the appellant</w:t>
      </w:r>
      <w:r w:rsidR="008E4BFE" w:rsidRPr="00C12279">
        <w:rPr>
          <w:rFonts w:ascii="Times New Roman" w:hAnsi="Times New Roman" w:cs="Times New Roman"/>
          <w:sz w:val="24"/>
          <w:szCs w:val="24"/>
        </w:rPr>
        <w:t xml:space="preserve"> and concluded that the transactions between the two were not conducted at arm’s length</w:t>
      </w:r>
      <w:r w:rsidR="001E66CD" w:rsidRPr="00C12279">
        <w:rPr>
          <w:rFonts w:ascii="Times New Roman" w:hAnsi="Times New Roman" w:cs="Times New Roman"/>
          <w:sz w:val="24"/>
          <w:szCs w:val="24"/>
        </w:rPr>
        <w:t xml:space="preserve">. </w:t>
      </w:r>
      <w:r w:rsidR="008E4BFE" w:rsidRPr="00C12279">
        <w:rPr>
          <w:rFonts w:ascii="Times New Roman" w:hAnsi="Times New Roman" w:cs="Times New Roman"/>
          <w:sz w:val="24"/>
          <w:szCs w:val="24"/>
        </w:rPr>
        <w:t xml:space="preserve"> On the basis </w:t>
      </w:r>
      <w:r w:rsidR="003A242C" w:rsidRPr="00C12279">
        <w:rPr>
          <w:rFonts w:ascii="Times New Roman" w:hAnsi="Times New Roman" w:cs="Times New Roman"/>
          <w:sz w:val="24"/>
          <w:szCs w:val="24"/>
        </w:rPr>
        <w:t>of</w:t>
      </w:r>
      <w:r w:rsidR="0000553B" w:rsidRPr="00C12279">
        <w:rPr>
          <w:rFonts w:ascii="Times New Roman" w:hAnsi="Times New Roman" w:cs="Times New Roman"/>
          <w:sz w:val="24"/>
          <w:szCs w:val="24"/>
        </w:rPr>
        <w:t xml:space="preserve"> functional analysis </w:t>
      </w:r>
      <w:r w:rsidR="008E4BFE" w:rsidRPr="00C12279">
        <w:rPr>
          <w:rFonts w:ascii="Times New Roman" w:hAnsi="Times New Roman" w:cs="Times New Roman"/>
          <w:sz w:val="24"/>
          <w:szCs w:val="24"/>
        </w:rPr>
        <w:t xml:space="preserve">it apportioned </w:t>
      </w:r>
      <w:r w:rsidR="00967FA4" w:rsidRPr="00C12279">
        <w:rPr>
          <w:rFonts w:ascii="Times New Roman" w:hAnsi="Times New Roman" w:cs="Times New Roman"/>
          <w:sz w:val="24"/>
          <w:szCs w:val="24"/>
        </w:rPr>
        <w:t xml:space="preserve">and adjusted </w:t>
      </w:r>
      <w:r w:rsidR="008E4BFE" w:rsidRPr="00C12279">
        <w:rPr>
          <w:rFonts w:ascii="Times New Roman" w:hAnsi="Times New Roman" w:cs="Times New Roman"/>
          <w:sz w:val="24"/>
          <w:szCs w:val="24"/>
        </w:rPr>
        <w:t>the income, expenses and profits earned from this supply chain in the ratio of 61% to the appellant and 39% to the intermediary</w:t>
      </w:r>
      <w:r w:rsidR="00A17F92" w:rsidRPr="00C12279">
        <w:rPr>
          <w:rFonts w:ascii="Times New Roman" w:hAnsi="Times New Roman" w:cs="Times New Roman"/>
          <w:sz w:val="24"/>
          <w:szCs w:val="24"/>
        </w:rPr>
        <w:t xml:space="preserve">. </w:t>
      </w:r>
      <w:r w:rsidR="00D15B58" w:rsidRPr="00C12279">
        <w:rPr>
          <w:rFonts w:ascii="Times New Roman" w:hAnsi="Times New Roman" w:cs="Times New Roman"/>
          <w:sz w:val="24"/>
          <w:szCs w:val="24"/>
        </w:rPr>
        <w:t>Even though these</w:t>
      </w:r>
      <w:r w:rsidR="00B62BD6" w:rsidRPr="00C12279">
        <w:rPr>
          <w:rFonts w:ascii="Times New Roman" w:hAnsi="Times New Roman" w:cs="Times New Roman"/>
          <w:sz w:val="24"/>
          <w:szCs w:val="24"/>
        </w:rPr>
        <w:t xml:space="preserve"> expenses were paid by the appellant, the respondent disallowed the portion attributed to the intermediary.</w:t>
      </w:r>
      <w:r w:rsidR="005506AA" w:rsidRPr="00C12279">
        <w:rPr>
          <w:rFonts w:ascii="Times New Roman" w:hAnsi="Times New Roman" w:cs="Times New Roman"/>
          <w:sz w:val="24"/>
          <w:szCs w:val="24"/>
        </w:rPr>
        <w:t xml:space="preserve"> </w:t>
      </w:r>
    </w:p>
    <w:p w14:paraId="6EDB58FE" w14:textId="77777777" w:rsidR="00B62BD6" w:rsidRPr="00C12279" w:rsidRDefault="00B62BD6" w:rsidP="002257F5">
      <w:pPr>
        <w:jc w:val="both"/>
        <w:rPr>
          <w:rFonts w:ascii="Times New Roman" w:hAnsi="Times New Roman" w:cs="Times New Roman"/>
          <w:b/>
          <w:sz w:val="24"/>
          <w:szCs w:val="24"/>
        </w:rPr>
      </w:pPr>
      <w:r w:rsidRPr="00C12279">
        <w:rPr>
          <w:rFonts w:ascii="Times New Roman" w:hAnsi="Times New Roman" w:cs="Times New Roman"/>
          <w:b/>
          <w:sz w:val="24"/>
          <w:szCs w:val="24"/>
        </w:rPr>
        <w:t>Functional analysis</w:t>
      </w:r>
    </w:p>
    <w:p w14:paraId="3083F463" w14:textId="01AB3424" w:rsidR="00BD3E69" w:rsidRPr="00C12279" w:rsidRDefault="00B62BD6" w:rsidP="006933C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Chief Investigations Officer testified that this was an in</w:t>
      </w:r>
      <w:r w:rsidR="00242306" w:rsidRPr="00C12279">
        <w:rPr>
          <w:rFonts w:ascii="Times New Roman" w:hAnsi="Times New Roman" w:cs="Times New Roman"/>
          <w:sz w:val="24"/>
          <w:szCs w:val="24"/>
        </w:rPr>
        <w:t>ternational best practice</w:t>
      </w:r>
      <w:r w:rsidRPr="00C12279">
        <w:rPr>
          <w:rFonts w:ascii="Times New Roman" w:hAnsi="Times New Roman" w:cs="Times New Roman"/>
          <w:sz w:val="24"/>
          <w:szCs w:val="24"/>
        </w:rPr>
        <w:t xml:space="preserve"> adopted by revenue authorities to assess the true income earned by related parties from transactions carried out for mutual benefit</w:t>
      </w:r>
      <w:r w:rsidR="00242306" w:rsidRPr="00C12279">
        <w:rPr>
          <w:rFonts w:ascii="Times New Roman" w:hAnsi="Times New Roman" w:cs="Times New Roman"/>
          <w:sz w:val="24"/>
          <w:szCs w:val="24"/>
        </w:rPr>
        <w:t xml:space="preserve"> that fail the arm’s length test</w:t>
      </w:r>
      <w:r w:rsidRPr="00C12279">
        <w:rPr>
          <w:rFonts w:ascii="Times New Roman" w:hAnsi="Times New Roman" w:cs="Times New Roman"/>
          <w:sz w:val="24"/>
          <w:szCs w:val="24"/>
        </w:rPr>
        <w:t>.</w:t>
      </w:r>
      <w:r w:rsidR="002C0E86" w:rsidRPr="00C12279">
        <w:rPr>
          <w:rFonts w:ascii="Times New Roman" w:hAnsi="Times New Roman" w:cs="Times New Roman"/>
          <w:sz w:val="24"/>
          <w:szCs w:val="24"/>
        </w:rPr>
        <w:t xml:space="preserve"> In its simplest form a functional analysis determines what part of a transaction was undertaken by the various parties involved in that transaction. </w:t>
      </w:r>
      <w:r w:rsidR="00A80C4F" w:rsidRPr="00C12279">
        <w:rPr>
          <w:rFonts w:ascii="Times New Roman" w:hAnsi="Times New Roman" w:cs="Times New Roman"/>
          <w:sz w:val="24"/>
          <w:szCs w:val="24"/>
        </w:rPr>
        <w:t xml:space="preserve">In the present case the parties were </w:t>
      </w:r>
      <w:r w:rsidR="00A73564" w:rsidRPr="00C12279">
        <w:rPr>
          <w:rFonts w:ascii="Times New Roman" w:hAnsi="Times New Roman" w:cs="Times New Roman"/>
          <w:sz w:val="24"/>
          <w:szCs w:val="24"/>
        </w:rPr>
        <w:t>the manufacturer</w:t>
      </w:r>
      <w:r w:rsidR="00A80C4F" w:rsidRPr="00C12279">
        <w:rPr>
          <w:rFonts w:ascii="Times New Roman" w:hAnsi="Times New Roman" w:cs="Times New Roman"/>
          <w:sz w:val="24"/>
          <w:szCs w:val="24"/>
        </w:rPr>
        <w:t xml:space="preserve"> (conglomerate)</w:t>
      </w:r>
      <w:r w:rsidR="00A73564" w:rsidRPr="00C12279">
        <w:rPr>
          <w:rFonts w:ascii="Times New Roman" w:hAnsi="Times New Roman" w:cs="Times New Roman"/>
          <w:sz w:val="24"/>
          <w:szCs w:val="24"/>
        </w:rPr>
        <w:t>, the</w:t>
      </w:r>
      <w:r w:rsidR="00A80C4F" w:rsidRPr="00C12279">
        <w:rPr>
          <w:rFonts w:ascii="Times New Roman" w:hAnsi="Times New Roman" w:cs="Times New Roman"/>
          <w:sz w:val="24"/>
          <w:szCs w:val="24"/>
        </w:rPr>
        <w:t xml:space="preserve"> intermediary, the appellant and the parent company.</w:t>
      </w:r>
      <w:r w:rsidR="00A73564" w:rsidRPr="00C12279">
        <w:rPr>
          <w:rFonts w:ascii="Times New Roman" w:hAnsi="Times New Roman" w:cs="Times New Roman"/>
          <w:sz w:val="24"/>
          <w:szCs w:val="24"/>
        </w:rPr>
        <w:t xml:space="preserve"> </w:t>
      </w:r>
      <w:r w:rsidR="00A80C4F" w:rsidRPr="00C12279">
        <w:rPr>
          <w:rFonts w:ascii="Times New Roman" w:hAnsi="Times New Roman" w:cs="Times New Roman"/>
          <w:sz w:val="24"/>
          <w:szCs w:val="24"/>
        </w:rPr>
        <w:t xml:space="preserve">The respondent categorised the functions under functions performed, the attendant risks and the assets used and apportioned percentages to the work performed by each player. </w:t>
      </w:r>
      <w:r w:rsidR="00FC0E94" w:rsidRPr="00C12279">
        <w:rPr>
          <w:rFonts w:ascii="Times New Roman" w:hAnsi="Times New Roman" w:cs="Times New Roman"/>
          <w:sz w:val="24"/>
          <w:szCs w:val="24"/>
        </w:rPr>
        <w:t xml:space="preserve">The </w:t>
      </w:r>
      <w:r w:rsidR="003F59B8" w:rsidRPr="00C12279">
        <w:rPr>
          <w:rFonts w:ascii="Times New Roman" w:hAnsi="Times New Roman" w:cs="Times New Roman"/>
          <w:sz w:val="24"/>
          <w:szCs w:val="24"/>
        </w:rPr>
        <w:t>respondent raised the</w:t>
      </w:r>
      <w:r w:rsidR="00FC0E94" w:rsidRPr="00C12279">
        <w:rPr>
          <w:rFonts w:ascii="Times New Roman" w:hAnsi="Times New Roman" w:cs="Times New Roman"/>
          <w:sz w:val="24"/>
          <w:szCs w:val="24"/>
        </w:rPr>
        <w:t xml:space="preserve"> functional analysis method </w:t>
      </w:r>
      <w:r w:rsidR="003F59B8" w:rsidRPr="00C12279">
        <w:rPr>
          <w:rFonts w:ascii="Times New Roman" w:hAnsi="Times New Roman" w:cs="Times New Roman"/>
          <w:sz w:val="24"/>
          <w:szCs w:val="24"/>
        </w:rPr>
        <w:t>around April-May 2013 on realising</w:t>
      </w:r>
      <w:r w:rsidR="006E4514" w:rsidRPr="00C12279">
        <w:rPr>
          <w:rFonts w:ascii="Times New Roman" w:hAnsi="Times New Roman" w:cs="Times New Roman"/>
          <w:sz w:val="24"/>
          <w:szCs w:val="24"/>
        </w:rPr>
        <w:t xml:space="preserve"> that the appellant was paying both management fees and a mark-up of between 7.5% and 10% on the conglomerate bought out price to the intermediary. </w:t>
      </w:r>
      <w:r w:rsidR="004E0BA9" w:rsidRPr="00C12279">
        <w:rPr>
          <w:rFonts w:ascii="Times New Roman" w:hAnsi="Times New Roman" w:cs="Times New Roman"/>
          <w:sz w:val="24"/>
          <w:szCs w:val="24"/>
        </w:rPr>
        <w:t xml:space="preserve">On 24 June 2013 it </w:t>
      </w:r>
      <w:r w:rsidR="003F59B8" w:rsidRPr="00C12279">
        <w:rPr>
          <w:rFonts w:ascii="Times New Roman" w:hAnsi="Times New Roman" w:cs="Times New Roman"/>
          <w:sz w:val="24"/>
          <w:szCs w:val="24"/>
        </w:rPr>
        <w:t xml:space="preserve">supplied the appellant with the </w:t>
      </w:r>
      <w:r w:rsidR="004E0BA9" w:rsidRPr="00C12279">
        <w:rPr>
          <w:rFonts w:ascii="Times New Roman" w:hAnsi="Times New Roman" w:cs="Times New Roman"/>
          <w:sz w:val="24"/>
          <w:szCs w:val="24"/>
        </w:rPr>
        <w:t>“Appellant’s Functional Analysis” document on p 18 to 20 of exh 4</w:t>
      </w:r>
      <w:r w:rsidR="001F7120" w:rsidRPr="00C12279">
        <w:rPr>
          <w:rFonts w:ascii="Times New Roman" w:hAnsi="Times New Roman" w:cs="Times New Roman"/>
          <w:sz w:val="24"/>
          <w:szCs w:val="24"/>
        </w:rPr>
        <w:t xml:space="preserve">. </w:t>
      </w:r>
      <w:r w:rsidR="001371A2" w:rsidRPr="00C12279">
        <w:rPr>
          <w:rFonts w:ascii="Times New Roman" w:hAnsi="Times New Roman" w:cs="Times New Roman"/>
          <w:sz w:val="24"/>
          <w:szCs w:val="24"/>
        </w:rPr>
        <w:t xml:space="preserve">The document was divided into six columns headed functions, and each of the names of the four parties involved in the taxable transaction was indicated. The last column was reserved for comments. </w:t>
      </w:r>
    </w:p>
    <w:p w14:paraId="5CFACF64" w14:textId="4A0CE9E2" w:rsidR="00B20EDF" w:rsidRPr="00C12279" w:rsidRDefault="00556EBC" w:rsidP="006933C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functions covered </w:t>
      </w:r>
      <w:r w:rsidR="00B20EDF" w:rsidRPr="00C12279">
        <w:rPr>
          <w:rFonts w:ascii="Times New Roman" w:hAnsi="Times New Roman" w:cs="Times New Roman"/>
          <w:sz w:val="24"/>
          <w:szCs w:val="24"/>
        </w:rPr>
        <w:t xml:space="preserve">firstly, </w:t>
      </w:r>
      <w:r w:rsidRPr="00C12279">
        <w:rPr>
          <w:rFonts w:ascii="Times New Roman" w:hAnsi="Times New Roman" w:cs="Times New Roman"/>
          <w:sz w:val="24"/>
          <w:szCs w:val="24"/>
        </w:rPr>
        <w:t xml:space="preserve">management and administrative services </w:t>
      </w:r>
      <w:r w:rsidR="00BD3E69" w:rsidRPr="00C12279">
        <w:rPr>
          <w:rFonts w:ascii="Times New Roman" w:hAnsi="Times New Roman" w:cs="Times New Roman"/>
          <w:sz w:val="24"/>
          <w:szCs w:val="24"/>
        </w:rPr>
        <w:t xml:space="preserve">and the associated tasks </w:t>
      </w:r>
      <w:r w:rsidRPr="00C12279">
        <w:rPr>
          <w:rFonts w:ascii="Times New Roman" w:hAnsi="Times New Roman" w:cs="Times New Roman"/>
          <w:sz w:val="24"/>
          <w:szCs w:val="24"/>
        </w:rPr>
        <w:t xml:space="preserve">of communication with customers, </w:t>
      </w:r>
      <w:r w:rsidR="001371A2" w:rsidRPr="00C12279">
        <w:rPr>
          <w:rFonts w:ascii="Times New Roman" w:hAnsi="Times New Roman" w:cs="Times New Roman"/>
          <w:sz w:val="24"/>
          <w:szCs w:val="24"/>
        </w:rPr>
        <w:t xml:space="preserve">the </w:t>
      </w:r>
      <w:r w:rsidRPr="00C12279">
        <w:rPr>
          <w:rFonts w:ascii="Times New Roman" w:hAnsi="Times New Roman" w:cs="Times New Roman"/>
          <w:sz w:val="24"/>
          <w:szCs w:val="24"/>
        </w:rPr>
        <w:t xml:space="preserve">handling of payment from buyer </w:t>
      </w:r>
      <w:r w:rsidR="00883D30" w:rsidRPr="00C12279">
        <w:rPr>
          <w:rFonts w:ascii="Times New Roman" w:hAnsi="Times New Roman" w:cs="Times New Roman"/>
          <w:sz w:val="24"/>
          <w:szCs w:val="24"/>
        </w:rPr>
        <w:t xml:space="preserve">and to </w:t>
      </w:r>
      <w:r w:rsidR="009B58AC" w:rsidRPr="00C12279">
        <w:rPr>
          <w:rFonts w:ascii="Times New Roman" w:hAnsi="Times New Roman" w:cs="Times New Roman"/>
          <w:sz w:val="24"/>
          <w:szCs w:val="24"/>
        </w:rPr>
        <w:t>suppliers, provision of acc</w:t>
      </w:r>
      <w:r w:rsidR="00B20EDF" w:rsidRPr="00C12279">
        <w:rPr>
          <w:rFonts w:ascii="Times New Roman" w:hAnsi="Times New Roman" w:cs="Times New Roman"/>
          <w:sz w:val="24"/>
          <w:szCs w:val="24"/>
        </w:rPr>
        <w:t xml:space="preserve">ounting and management services and </w:t>
      </w:r>
      <w:r w:rsidR="009B58AC" w:rsidRPr="00C12279">
        <w:rPr>
          <w:rFonts w:ascii="Times New Roman" w:hAnsi="Times New Roman" w:cs="Times New Roman"/>
          <w:sz w:val="24"/>
          <w:szCs w:val="24"/>
        </w:rPr>
        <w:t>maintaining customer neg</w:t>
      </w:r>
      <w:r w:rsidR="007D7EC5" w:rsidRPr="00C12279">
        <w:rPr>
          <w:rFonts w:ascii="Times New Roman" w:hAnsi="Times New Roman" w:cs="Times New Roman"/>
          <w:sz w:val="24"/>
          <w:szCs w:val="24"/>
        </w:rPr>
        <w:t>oti</w:t>
      </w:r>
      <w:r w:rsidR="009B58AC" w:rsidRPr="00C12279">
        <w:rPr>
          <w:rFonts w:ascii="Times New Roman" w:hAnsi="Times New Roman" w:cs="Times New Roman"/>
          <w:sz w:val="24"/>
          <w:szCs w:val="24"/>
        </w:rPr>
        <w:t>ation</w:t>
      </w:r>
      <w:r w:rsidR="00B20EDF" w:rsidRPr="00C12279">
        <w:rPr>
          <w:rFonts w:ascii="Times New Roman" w:hAnsi="Times New Roman" w:cs="Times New Roman"/>
          <w:sz w:val="24"/>
          <w:szCs w:val="24"/>
        </w:rPr>
        <w:t>s</w:t>
      </w:r>
      <w:r w:rsidR="009B58AC" w:rsidRPr="00C12279">
        <w:rPr>
          <w:rFonts w:ascii="Times New Roman" w:hAnsi="Times New Roman" w:cs="Times New Roman"/>
          <w:sz w:val="24"/>
          <w:szCs w:val="24"/>
        </w:rPr>
        <w:t>, accounting and financial r</w:t>
      </w:r>
      <w:r w:rsidR="00B20EDF" w:rsidRPr="00C12279">
        <w:rPr>
          <w:rFonts w:ascii="Times New Roman" w:hAnsi="Times New Roman" w:cs="Times New Roman"/>
          <w:sz w:val="24"/>
          <w:szCs w:val="24"/>
        </w:rPr>
        <w:t>ecords and inventories.</w:t>
      </w:r>
      <w:r w:rsidR="009B58AC" w:rsidRPr="00C12279">
        <w:rPr>
          <w:rFonts w:ascii="Times New Roman" w:hAnsi="Times New Roman" w:cs="Times New Roman"/>
          <w:sz w:val="24"/>
          <w:szCs w:val="24"/>
        </w:rPr>
        <w:t xml:space="preserve"> The second function </w:t>
      </w:r>
      <w:r w:rsidR="00B20EDF" w:rsidRPr="00C12279">
        <w:rPr>
          <w:rFonts w:ascii="Times New Roman" w:hAnsi="Times New Roman" w:cs="Times New Roman"/>
          <w:sz w:val="24"/>
          <w:szCs w:val="24"/>
        </w:rPr>
        <w:t>was in respect of</w:t>
      </w:r>
      <w:r w:rsidR="009B58AC" w:rsidRPr="00C12279">
        <w:rPr>
          <w:rFonts w:ascii="Times New Roman" w:hAnsi="Times New Roman" w:cs="Times New Roman"/>
          <w:sz w:val="24"/>
          <w:szCs w:val="24"/>
        </w:rPr>
        <w:t xml:space="preserve"> marketing and customer liaison </w:t>
      </w:r>
      <w:r w:rsidR="00B20EDF" w:rsidRPr="00C12279">
        <w:rPr>
          <w:rFonts w:ascii="Times New Roman" w:hAnsi="Times New Roman" w:cs="Times New Roman"/>
          <w:sz w:val="24"/>
          <w:szCs w:val="24"/>
        </w:rPr>
        <w:t>and the associated tasks for the</w:t>
      </w:r>
      <w:r w:rsidR="009B58AC" w:rsidRPr="00C12279">
        <w:rPr>
          <w:rFonts w:ascii="Times New Roman" w:hAnsi="Times New Roman" w:cs="Times New Roman"/>
          <w:sz w:val="24"/>
          <w:szCs w:val="24"/>
        </w:rPr>
        <w:t xml:space="preserve"> development, preparation, approval, implementation and funding of market</w:t>
      </w:r>
      <w:r w:rsidR="00B20EDF" w:rsidRPr="00C12279">
        <w:rPr>
          <w:rFonts w:ascii="Times New Roman" w:hAnsi="Times New Roman" w:cs="Times New Roman"/>
          <w:sz w:val="24"/>
          <w:szCs w:val="24"/>
        </w:rPr>
        <w:t xml:space="preserve">ing strategies and programs which incorporated </w:t>
      </w:r>
      <w:r w:rsidR="009B58AC" w:rsidRPr="00C12279">
        <w:rPr>
          <w:rFonts w:ascii="Times New Roman" w:hAnsi="Times New Roman" w:cs="Times New Roman"/>
          <w:sz w:val="24"/>
          <w:szCs w:val="24"/>
        </w:rPr>
        <w:t xml:space="preserve">negotiations with </w:t>
      </w:r>
      <w:r w:rsidR="00B20EDF" w:rsidRPr="00C12279">
        <w:rPr>
          <w:rFonts w:ascii="Times New Roman" w:hAnsi="Times New Roman" w:cs="Times New Roman"/>
          <w:sz w:val="24"/>
          <w:szCs w:val="24"/>
        </w:rPr>
        <w:t xml:space="preserve">buyers, liaison with suppliers and dealers, and the preparation of pre-shipping exit customs documents </w:t>
      </w:r>
      <w:r w:rsidR="009B58AC" w:rsidRPr="00C12279">
        <w:rPr>
          <w:rFonts w:ascii="Times New Roman" w:hAnsi="Times New Roman" w:cs="Times New Roman"/>
          <w:sz w:val="24"/>
          <w:szCs w:val="24"/>
        </w:rPr>
        <w:t xml:space="preserve">and </w:t>
      </w:r>
      <w:r w:rsidR="00B20EDF" w:rsidRPr="00C12279">
        <w:rPr>
          <w:rFonts w:ascii="Times New Roman" w:hAnsi="Times New Roman" w:cs="Times New Roman"/>
          <w:sz w:val="24"/>
          <w:szCs w:val="24"/>
        </w:rPr>
        <w:t xml:space="preserve">the </w:t>
      </w:r>
      <w:r w:rsidR="009B58AC" w:rsidRPr="00C12279">
        <w:rPr>
          <w:rFonts w:ascii="Times New Roman" w:hAnsi="Times New Roman" w:cs="Times New Roman"/>
          <w:sz w:val="24"/>
          <w:szCs w:val="24"/>
        </w:rPr>
        <w:t>payment of clearing, shipping, freig</w:t>
      </w:r>
      <w:r w:rsidR="00B20EDF" w:rsidRPr="00C12279">
        <w:rPr>
          <w:rFonts w:ascii="Times New Roman" w:hAnsi="Times New Roman" w:cs="Times New Roman"/>
          <w:sz w:val="24"/>
          <w:szCs w:val="24"/>
        </w:rPr>
        <w:t>ht and importation expenses.</w:t>
      </w:r>
      <w:r w:rsidR="009B58AC" w:rsidRPr="00C12279">
        <w:rPr>
          <w:rFonts w:ascii="Times New Roman" w:hAnsi="Times New Roman" w:cs="Times New Roman"/>
          <w:sz w:val="24"/>
          <w:szCs w:val="24"/>
        </w:rPr>
        <w:t xml:space="preserve"> </w:t>
      </w:r>
    </w:p>
    <w:p w14:paraId="65A61B82" w14:textId="6C757045" w:rsidR="001851A6" w:rsidRPr="00C12279" w:rsidRDefault="00B20EDF" w:rsidP="006933C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risks </w:t>
      </w:r>
      <w:r w:rsidR="009B58AC" w:rsidRPr="00C12279">
        <w:rPr>
          <w:rFonts w:ascii="Times New Roman" w:hAnsi="Times New Roman" w:cs="Times New Roman"/>
          <w:sz w:val="24"/>
          <w:szCs w:val="24"/>
        </w:rPr>
        <w:t xml:space="preserve">were </w:t>
      </w:r>
      <w:r w:rsidRPr="00C12279">
        <w:rPr>
          <w:rFonts w:ascii="Times New Roman" w:hAnsi="Times New Roman" w:cs="Times New Roman"/>
          <w:sz w:val="24"/>
          <w:szCs w:val="24"/>
        </w:rPr>
        <w:t xml:space="preserve">in respect of </w:t>
      </w:r>
      <w:r w:rsidR="009B58AC" w:rsidRPr="00C12279">
        <w:rPr>
          <w:rFonts w:ascii="Times New Roman" w:hAnsi="Times New Roman" w:cs="Times New Roman"/>
          <w:sz w:val="24"/>
          <w:szCs w:val="24"/>
        </w:rPr>
        <w:t xml:space="preserve">credit, exchange and business risk </w:t>
      </w:r>
      <w:r w:rsidRPr="00C12279">
        <w:rPr>
          <w:rFonts w:ascii="Times New Roman" w:hAnsi="Times New Roman" w:cs="Times New Roman"/>
          <w:sz w:val="24"/>
          <w:szCs w:val="24"/>
        </w:rPr>
        <w:t>and covered the</w:t>
      </w:r>
      <w:r w:rsidR="009B58AC" w:rsidRPr="00C12279">
        <w:rPr>
          <w:rFonts w:ascii="Times New Roman" w:hAnsi="Times New Roman" w:cs="Times New Roman"/>
          <w:sz w:val="24"/>
          <w:szCs w:val="24"/>
        </w:rPr>
        <w:t xml:space="preserve"> insurance of vehicle</w:t>
      </w:r>
      <w:r w:rsidR="007D7EC5" w:rsidRPr="00C12279">
        <w:rPr>
          <w:rFonts w:ascii="Times New Roman" w:hAnsi="Times New Roman" w:cs="Times New Roman"/>
          <w:sz w:val="24"/>
          <w:szCs w:val="24"/>
        </w:rPr>
        <w:t>s</w:t>
      </w:r>
      <w:r w:rsidRPr="00C12279">
        <w:rPr>
          <w:rFonts w:ascii="Times New Roman" w:hAnsi="Times New Roman" w:cs="Times New Roman"/>
          <w:sz w:val="24"/>
          <w:szCs w:val="24"/>
        </w:rPr>
        <w:t xml:space="preserve"> and the </w:t>
      </w:r>
      <w:r w:rsidR="007D7EC5" w:rsidRPr="00C12279">
        <w:rPr>
          <w:rFonts w:ascii="Times New Roman" w:hAnsi="Times New Roman" w:cs="Times New Roman"/>
          <w:sz w:val="24"/>
          <w:szCs w:val="24"/>
        </w:rPr>
        <w:t xml:space="preserve">loss of inventory and </w:t>
      </w:r>
      <w:r w:rsidR="009B58AC" w:rsidRPr="00C12279">
        <w:rPr>
          <w:rFonts w:ascii="Times New Roman" w:hAnsi="Times New Roman" w:cs="Times New Roman"/>
          <w:sz w:val="24"/>
          <w:szCs w:val="24"/>
        </w:rPr>
        <w:t>warehousing</w:t>
      </w:r>
      <w:r w:rsidR="007D7EC5" w:rsidRPr="00C12279">
        <w:rPr>
          <w:rFonts w:ascii="Times New Roman" w:hAnsi="Times New Roman" w:cs="Times New Roman"/>
          <w:sz w:val="24"/>
          <w:szCs w:val="24"/>
        </w:rPr>
        <w:t xml:space="preserve">. The assets used covered </w:t>
      </w:r>
      <w:r w:rsidR="007D7EC5" w:rsidRPr="00C12279">
        <w:rPr>
          <w:rFonts w:ascii="Times New Roman" w:hAnsi="Times New Roman" w:cs="Times New Roman"/>
          <w:sz w:val="24"/>
          <w:szCs w:val="24"/>
        </w:rPr>
        <w:lastRenderedPageBreak/>
        <w:t xml:space="preserve">warranties, </w:t>
      </w:r>
      <w:r w:rsidR="00110BF2" w:rsidRPr="00C12279">
        <w:rPr>
          <w:rFonts w:ascii="Times New Roman" w:hAnsi="Times New Roman" w:cs="Times New Roman"/>
          <w:sz w:val="24"/>
          <w:szCs w:val="24"/>
        </w:rPr>
        <w:t xml:space="preserve">skilled and technical </w:t>
      </w:r>
      <w:r w:rsidR="007D7EC5" w:rsidRPr="00C12279">
        <w:rPr>
          <w:rFonts w:ascii="Times New Roman" w:hAnsi="Times New Roman" w:cs="Times New Roman"/>
          <w:sz w:val="24"/>
          <w:szCs w:val="24"/>
        </w:rPr>
        <w:t>employees, intellectual property rights, and vehi</w:t>
      </w:r>
      <w:r w:rsidR="00281362" w:rsidRPr="00C12279">
        <w:rPr>
          <w:rFonts w:ascii="Times New Roman" w:hAnsi="Times New Roman" w:cs="Times New Roman"/>
          <w:sz w:val="24"/>
          <w:szCs w:val="24"/>
        </w:rPr>
        <w:t xml:space="preserve">cles and office accommodation. At the request of the respondent, </w:t>
      </w:r>
      <w:r w:rsidR="00110BF2" w:rsidRPr="00C12279">
        <w:rPr>
          <w:rFonts w:ascii="Times New Roman" w:hAnsi="Times New Roman" w:cs="Times New Roman"/>
          <w:sz w:val="24"/>
          <w:szCs w:val="24"/>
        </w:rPr>
        <w:t xml:space="preserve">on 12 July 2013 </w:t>
      </w:r>
      <w:r w:rsidR="00281362" w:rsidRPr="00C12279">
        <w:rPr>
          <w:rFonts w:ascii="Times New Roman" w:hAnsi="Times New Roman" w:cs="Times New Roman"/>
          <w:sz w:val="24"/>
          <w:szCs w:val="24"/>
        </w:rPr>
        <w:t>the</w:t>
      </w:r>
      <w:r w:rsidR="007D7EC5" w:rsidRPr="00C12279">
        <w:rPr>
          <w:rFonts w:ascii="Times New Roman" w:hAnsi="Times New Roman" w:cs="Times New Roman"/>
          <w:sz w:val="24"/>
          <w:szCs w:val="24"/>
        </w:rPr>
        <w:t xml:space="preserve"> appellant allocated </w:t>
      </w:r>
      <w:r w:rsidR="00713A7C" w:rsidRPr="00C12279">
        <w:rPr>
          <w:rFonts w:ascii="Times New Roman" w:hAnsi="Times New Roman" w:cs="Times New Roman"/>
          <w:sz w:val="24"/>
          <w:szCs w:val="24"/>
        </w:rPr>
        <w:t>100% to</w:t>
      </w:r>
      <w:r w:rsidR="007D7EC5" w:rsidRPr="00C12279">
        <w:rPr>
          <w:rFonts w:ascii="Times New Roman" w:hAnsi="Times New Roman" w:cs="Times New Roman"/>
          <w:sz w:val="24"/>
          <w:szCs w:val="24"/>
        </w:rPr>
        <w:t xml:space="preserve"> th</w:t>
      </w:r>
      <w:r w:rsidR="00713A7C" w:rsidRPr="00C12279">
        <w:rPr>
          <w:rFonts w:ascii="Times New Roman" w:hAnsi="Times New Roman" w:cs="Times New Roman"/>
          <w:sz w:val="24"/>
          <w:szCs w:val="24"/>
        </w:rPr>
        <w:t>os</w:t>
      </w:r>
      <w:r w:rsidR="007D7EC5" w:rsidRPr="00C12279">
        <w:rPr>
          <w:rFonts w:ascii="Times New Roman" w:hAnsi="Times New Roman" w:cs="Times New Roman"/>
          <w:sz w:val="24"/>
          <w:szCs w:val="24"/>
        </w:rPr>
        <w:t xml:space="preserve">e tasks </w:t>
      </w:r>
      <w:r w:rsidR="00713A7C" w:rsidRPr="00C12279">
        <w:rPr>
          <w:rFonts w:ascii="Times New Roman" w:hAnsi="Times New Roman" w:cs="Times New Roman"/>
          <w:sz w:val="24"/>
          <w:szCs w:val="24"/>
        </w:rPr>
        <w:t xml:space="preserve">that were wholly </w:t>
      </w:r>
      <w:r w:rsidR="007D7EC5" w:rsidRPr="00C12279">
        <w:rPr>
          <w:rFonts w:ascii="Times New Roman" w:hAnsi="Times New Roman" w:cs="Times New Roman"/>
          <w:sz w:val="24"/>
          <w:szCs w:val="24"/>
        </w:rPr>
        <w:t xml:space="preserve">undertaken by each party and inserted comments in the column provided for that purpose. </w:t>
      </w:r>
      <w:r w:rsidR="006274AE" w:rsidRPr="00C12279">
        <w:rPr>
          <w:rFonts w:ascii="Times New Roman" w:hAnsi="Times New Roman" w:cs="Times New Roman"/>
          <w:sz w:val="24"/>
          <w:szCs w:val="24"/>
        </w:rPr>
        <w:t>Again, on 14 August 2013</w:t>
      </w:r>
      <w:r w:rsidR="006274AE" w:rsidRPr="00C12279">
        <w:rPr>
          <w:rStyle w:val="FootnoteReference"/>
          <w:rFonts w:ascii="Times New Roman" w:hAnsi="Times New Roman" w:cs="Times New Roman"/>
          <w:sz w:val="24"/>
          <w:szCs w:val="24"/>
        </w:rPr>
        <w:footnoteReference w:id="34"/>
      </w:r>
      <w:r w:rsidR="007D7EC5" w:rsidRPr="00C12279">
        <w:rPr>
          <w:rFonts w:ascii="Times New Roman" w:hAnsi="Times New Roman" w:cs="Times New Roman"/>
          <w:sz w:val="24"/>
          <w:szCs w:val="24"/>
        </w:rPr>
        <w:t xml:space="preserve"> </w:t>
      </w:r>
      <w:r w:rsidR="006274AE" w:rsidRPr="00C12279">
        <w:rPr>
          <w:rFonts w:ascii="Times New Roman" w:hAnsi="Times New Roman" w:cs="Times New Roman"/>
          <w:sz w:val="24"/>
          <w:szCs w:val="24"/>
        </w:rPr>
        <w:t xml:space="preserve">the appellant provided a more detailed percentage allocation against the other tasks. </w:t>
      </w:r>
      <w:r w:rsidR="00DD4C7A" w:rsidRPr="00C12279">
        <w:rPr>
          <w:rFonts w:ascii="Times New Roman" w:hAnsi="Times New Roman" w:cs="Times New Roman"/>
          <w:sz w:val="24"/>
          <w:szCs w:val="24"/>
        </w:rPr>
        <w:t xml:space="preserve">In respect of the </w:t>
      </w:r>
      <w:r w:rsidR="00254E5F" w:rsidRPr="00C12279">
        <w:rPr>
          <w:rFonts w:ascii="Times New Roman" w:hAnsi="Times New Roman" w:cs="Times New Roman"/>
          <w:sz w:val="24"/>
          <w:szCs w:val="24"/>
        </w:rPr>
        <w:t>manag</w:t>
      </w:r>
      <w:r w:rsidR="00DD4C7A" w:rsidRPr="00C12279">
        <w:rPr>
          <w:rFonts w:ascii="Times New Roman" w:hAnsi="Times New Roman" w:cs="Times New Roman"/>
          <w:sz w:val="24"/>
          <w:szCs w:val="24"/>
        </w:rPr>
        <w:t>ement and administrative function</w:t>
      </w:r>
      <w:r w:rsidR="00254E5F" w:rsidRPr="00C12279">
        <w:rPr>
          <w:rFonts w:ascii="Times New Roman" w:hAnsi="Times New Roman" w:cs="Times New Roman"/>
          <w:sz w:val="24"/>
          <w:szCs w:val="24"/>
        </w:rPr>
        <w:t xml:space="preserve"> the task of communicating the intention to buy was allocated 100% to the appellant. </w:t>
      </w:r>
      <w:r w:rsidR="00401457" w:rsidRPr="00C12279">
        <w:rPr>
          <w:rFonts w:ascii="Times New Roman" w:hAnsi="Times New Roman" w:cs="Times New Roman"/>
          <w:sz w:val="24"/>
          <w:szCs w:val="24"/>
        </w:rPr>
        <w:t>The other tasks were allocated as follows: payments from the buyer</w:t>
      </w:r>
      <w:r w:rsidR="00883D30" w:rsidRPr="00C12279">
        <w:rPr>
          <w:rFonts w:ascii="Times New Roman" w:hAnsi="Times New Roman" w:cs="Times New Roman"/>
          <w:sz w:val="24"/>
          <w:szCs w:val="24"/>
        </w:rPr>
        <w:t>,</w:t>
      </w:r>
      <w:r w:rsidR="00401457" w:rsidRPr="00C12279">
        <w:rPr>
          <w:rFonts w:ascii="Times New Roman" w:hAnsi="Times New Roman" w:cs="Times New Roman"/>
          <w:sz w:val="24"/>
          <w:szCs w:val="24"/>
        </w:rPr>
        <w:t xml:space="preserve"> appellant 95% and the intermediary 5%; </w:t>
      </w:r>
      <w:r w:rsidR="00DD4C7A" w:rsidRPr="00C12279">
        <w:rPr>
          <w:rFonts w:ascii="Times New Roman" w:hAnsi="Times New Roman" w:cs="Times New Roman"/>
          <w:sz w:val="24"/>
          <w:szCs w:val="24"/>
        </w:rPr>
        <w:t xml:space="preserve">payments to the conglomerate, the intermediary 100%; maintenance of accounting records, negotiation records with buyers and preparing financial reports, the appellant 100%; </w:t>
      </w:r>
      <w:r w:rsidR="00254E5F" w:rsidRPr="00C12279">
        <w:rPr>
          <w:rFonts w:ascii="Times New Roman" w:hAnsi="Times New Roman" w:cs="Times New Roman"/>
          <w:sz w:val="24"/>
          <w:szCs w:val="24"/>
        </w:rPr>
        <w:t>inventory control system</w:t>
      </w:r>
      <w:r w:rsidR="00DD4C7A" w:rsidRPr="00C12279">
        <w:rPr>
          <w:rFonts w:ascii="Times New Roman" w:hAnsi="Times New Roman" w:cs="Times New Roman"/>
          <w:sz w:val="24"/>
          <w:szCs w:val="24"/>
        </w:rPr>
        <w:t xml:space="preserve">, the appellant 50% and the intermediary 50%; </w:t>
      </w:r>
      <w:r w:rsidR="00254E5F" w:rsidRPr="00C12279">
        <w:rPr>
          <w:rFonts w:ascii="Times New Roman" w:hAnsi="Times New Roman" w:cs="Times New Roman"/>
          <w:sz w:val="24"/>
          <w:szCs w:val="24"/>
        </w:rPr>
        <w:t>management support</w:t>
      </w:r>
      <w:r w:rsidR="00DD4C7A" w:rsidRPr="00C12279">
        <w:rPr>
          <w:rFonts w:ascii="Times New Roman" w:hAnsi="Times New Roman" w:cs="Times New Roman"/>
          <w:sz w:val="24"/>
          <w:szCs w:val="24"/>
        </w:rPr>
        <w:t xml:space="preserve">, the French holding company </w:t>
      </w:r>
      <w:r w:rsidR="00254E5F" w:rsidRPr="00C12279">
        <w:rPr>
          <w:rFonts w:ascii="Times New Roman" w:hAnsi="Times New Roman" w:cs="Times New Roman"/>
          <w:sz w:val="24"/>
          <w:szCs w:val="24"/>
        </w:rPr>
        <w:t>100%</w:t>
      </w:r>
      <w:r w:rsidR="00DD4C7A" w:rsidRPr="00C12279">
        <w:rPr>
          <w:rFonts w:ascii="Times New Roman" w:hAnsi="Times New Roman" w:cs="Times New Roman"/>
          <w:sz w:val="24"/>
          <w:szCs w:val="24"/>
        </w:rPr>
        <w:t xml:space="preserve"> and the </w:t>
      </w:r>
      <w:r w:rsidR="00254E5F" w:rsidRPr="00C12279">
        <w:rPr>
          <w:rFonts w:ascii="Times New Roman" w:hAnsi="Times New Roman" w:cs="Times New Roman"/>
          <w:sz w:val="24"/>
          <w:szCs w:val="24"/>
        </w:rPr>
        <w:t>financial support for funding and liaison with suppliers</w:t>
      </w:r>
      <w:r w:rsidR="00DD4C7A" w:rsidRPr="00C12279">
        <w:rPr>
          <w:rFonts w:ascii="Times New Roman" w:hAnsi="Times New Roman" w:cs="Times New Roman"/>
          <w:sz w:val="24"/>
          <w:szCs w:val="24"/>
        </w:rPr>
        <w:t xml:space="preserve">, the intermediary 100%. </w:t>
      </w:r>
    </w:p>
    <w:p w14:paraId="7D118BC0" w14:textId="3C81B844" w:rsidR="00254E5F" w:rsidRPr="00C12279" w:rsidRDefault="00DD4C7A" w:rsidP="006933C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Under</w:t>
      </w:r>
      <w:r w:rsidR="00254E5F" w:rsidRPr="00C12279">
        <w:rPr>
          <w:rFonts w:ascii="Times New Roman" w:hAnsi="Times New Roman" w:cs="Times New Roman"/>
          <w:sz w:val="24"/>
          <w:szCs w:val="24"/>
        </w:rPr>
        <w:t xml:space="preserve"> the marketing and customer liaison function the task</w:t>
      </w:r>
      <w:r w:rsidRPr="00C12279">
        <w:rPr>
          <w:rFonts w:ascii="Times New Roman" w:hAnsi="Times New Roman" w:cs="Times New Roman"/>
          <w:sz w:val="24"/>
          <w:szCs w:val="24"/>
        </w:rPr>
        <w:t>s were allocated as follows:</w:t>
      </w:r>
      <w:r w:rsidR="00254E5F" w:rsidRPr="00C12279">
        <w:rPr>
          <w:rFonts w:ascii="Times New Roman" w:hAnsi="Times New Roman" w:cs="Times New Roman"/>
          <w:sz w:val="24"/>
          <w:szCs w:val="24"/>
        </w:rPr>
        <w:t xml:space="preserve"> developing marketing strategies</w:t>
      </w:r>
      <w:r w:rsidRPr="00C12279">
        <w:rPr>
          <w:rFonts w:ascii="Times New Roman" w:hAnsi="Times New Roman" w:cs="Times New Roman"/>
          <w:sz w:val="24"/>
          <w:szCs w:val="24"/>
        </w:rPr>
        <w:t xml:space="preserve">, the appellant 100%; funding 96.5% to the appellant and </w:t>
      </w:r>
      <w:r w:rsidR="00254E5F" w:rsidRPr="00C12279">
        <w:rPr>
          <w:rFonts w:ascii="Times New Roman" w:hAnsi="Times New Roman" w:cs="Times New Roman"/>
          <w:sz w:val="24"/>
          <w:szCs w:val="24"/>
        </w:rPr>
        <w:t>the conglomerate</w:t>
      </w:r>
      <w:r w:rsidRPr="00C12279">
        <w:rPr>
          <w:rFonts w:ascii="Times New Roman" w:hAnsi="Times New Roman" w:cs="Times New Roman"/>
          <w:sz w:val="24"/>
          <w:szCs w:val="24"/>
        </w:rPr>
        <w:t xml:space="preserve"> 3.5%</w:t>
      </w:r>
      <w:r w:rsidR="001851A6" w:rsidRPr="00C12279">
        <w:rPr>
          <w:rFonts w:ascii="Times New Roman" w:hAnsi="Times New Roman" w:cs="Times New Roman"/>
          <w:sz w:val="24"/>
          <w:szCs w:val="24"/>
        </w:rPr>
        <w:t>; i</w:t>
      </w:r>
      <w:r w:rsidR="00254E5F" w:rsidRPr="00C12279">
        <w:rPr>
          <w:rFonts w:ascii="Times New Roman" w:hAnsi="Times New Roman" w:cs="Times New Roman"/>
          <w:sz w:val="24"/>
          <w:szCs w:val="24"/>
        </w:rPr>
        <w:t>mplementation of marketing programmes, negotiation with buyers and liaison with the dealers</w:t>
      </w:r>
      <w:r w:rsidR="001851A6" w:rsidRPr="00C12279">
        <w:rPr>
          <w:rFonts w:ascii="Times New Roman" w:hAnsi="Times New Roman" w:cs="Times New Roman"/>
          <w:sz w:val="24"/>
          <w:szCs w:val="24"/>
        </w:rPr>
        <w:t xml:space="preserve">, appellant 100%; </w:t>
      </w:r>
      <w:r w:rsidR="00254E5F" w:rsidRPr="00C12279">
        <w:rPr>
          <w:rFonts w:ascii="Times New Roman" w:hAnsi="Times New Roman" w:cs="Times New Roman"/>
          <w:sz w:val="24"/>
          <w:szCs w:val="24"/>
        </w:rPr>
        <w:t>payment of clearing charges and transport fees</w:t>
      </w:r>
      <w:r w:rsidR="001851A6" w:rsidRPr="00C12279">
        <w:rPr>
          <w:rFonts w:ascii="Times New Roman" w:hAnsi="Times New Roman" w:cs="Times New Roman"/>
          <w:sz w:val="24"/>
          <w:szCs w:val="24"/>
        </w:rPr>
        <w:t>, appellant 85%</w:t>
      </w:r>
      <w:r w:rsidR="00254E5F" w:rsidRPr="00C12279">
        <w:rPr>
          <w:rFonts w:ascii="Times New Roman" w:hAnsi="Times New Roman" w:cs="Times New Roman"/>
          <w:sz w:val="24"/>
          <w:szCs w:val="24"/>
        </w:rPr>
        <w:t xml:space="preserve"> and </w:t>
      </w:r>
      <w:r w:rsidR="001851A6" w:rsidRPr="00C12279">
        <w:rPr>
          <w:rFonts w:ascii="Times New Roman" w:hAnsi="Times New Roman" w:cs="Times New Roman"/>
          <w:sz w:val="24"/>
          <w:szCs w:val="24"/>
        </w:rPr>
        <w:t>the intermediary 15%; p</w:t>
      </w:r>
      <w:r w:rsidR="00254E5F" w:rsidRPr="00C12279">
        <w:rPr>
          <w:rFonts w:ascii="Times New Roman" w:hAnsi="Times New Roman" w:cs="Times New Roman"/>
          <w:sz w:val="24"/>
          <w:szCs w:val="24"/>
        </w:rPr>
        <w:t xml:space="preserve">rice negotiations with </w:t>
      </w:r>
      <w:r w:rsidR="001851A6" w:rsidRPr="00C12279">
        <w:rPr>
          <w:rFonts w:ascii="Times New Roman" w:hAnsi="Times New Roman" w:cs="Times New Roman"/>
          <w:sz w:val="24"/>
          <w:szCs w:val="24"/>
        </w:rPr>
        <w:t xml:space="preserve">the </w:t>
      </w:r>
      <w:r w:rsidR="00254E5F" w:rsidRPr="00C12279">
        <w:rPr>
          <w:rFonts w:ascii="Times New Roman" w:hAnsi="Times New Roman" w:cs="Times New Roman"/>
          <w:sz w:val="24"/>
          <w:szCs w:val="24"/>
        </w:rPr>
        <w:t>supplier</w:t>
      </w:r>
      <w:r w:rsidR="001851A6" w:rsidRPr="00C12279">
        <w:rPr>
          <w:rFonts w:ascii="Times New Roman" w:hAnsi="Times New Roman" w:cs="Times New Roman"/>
          <w:sz w:val="24"/>
          <w:szCs w:val="24"/>
        </w:rPr>
        <w:t xml:space="preserve">/conglomerate, appellant 60%, the intermediary 10% and the French holding company 30% and pre-shipping, customs exit documents and freight to the place of importation in Zimbabwe, the intermediary 100%. In regards to the </w:t>
      </w:r>
      <w:r w:rsidR="00254E5F" w:rsidRPr="00C12279">
        <w:rPr>
          <w:rFonts w:ascii="Times New Roman" w:hAnsi="Times New Roman" w:cs="Times New Roman"/>
          <w:sz w:val="24"/>
          <w:szCs w:val="24"/>
        </w:rPr>
        <w:t>risks</w:t>
      </w:r>
      <w:r w:rsidR="001851A6" w:rsidRPr="00C12279">
        <w:rPr>
          <w:rFonts w:ascii="Times New Roman" w:hAnsi="Times New Roman" w:cs="Times New Roman"/>
          <w:sz w:val="24"/>
          <w:szCs w:val="24"/>
        </w:rPr>
        <w:t xml:space="preserve"> function, the tasks were allocated as follows:</w:t>
      </w:r>
      <w:r w:rsidR="00254E5F" w:rsidRPr="00C12279">
        <w:rPr>
          <w:rFonts w:ascii="Times New Roman" w:hAnsi="Times New Roman" w:cs="Times New Roman"/>
          <w:sz w:val="24"/>
          <w:szCs w:val="24"/>
        </w:rPr>
        <w:t xml:space="preserve"> insurance risk from embarkation in the country of manufacture to sale in a bonded warehouse in Zimbabwe</w:t>
      </w:r>
      <w:r w:rsidR="001851A6" w:rsidRPr="00C12279">
        <w:rPr>
          <w:rFonts w:ascii="Times New Roman" w:hAnsi="Times New Roman" w:cs="Times New Roman"/>
          <w:sz w:val="24"/>
          <w:szCs w:val="24"/>
        </w:rPr>
        <w:t xml:space="preserve">, intermediary 100%; </w:t>
      </w:r>
      <w:r w:rsidR="00254E5F" w:rsidRPr="00C12279">
        <w:rPr>
          <w:rFonts w:ascii="Times New Roman" w:hAnsi="Times New Roman" w:cs="Times New Roman"/>
          <w:sz w:val="24"/>
          <w:szCs w:val="24"/>
        </w:rPr>
        <w:t>credit and exchange rate risks</w:t>
      </w:r>
      <w:r w:rsidR="001851A6" w:rsidRPr="00C12279">
        <w:rPr>
          <w:rFonts w:ascii="Times New Roman" w:hAnsi="Times New Roman" w:cs="Times New Roman"/>
          <w:sz w:val="24"/>
          <w:szCs w:val="24"/>
        </w:rPr>
        <w:t xml:space="preserve">, intermediary 100% and business risk, appellant 50% and intermediary 50%. </w:t>
      </w:r>
      <w:r w:rsidR="00254E5F" w:rsidRPr="00C12279">
        <w:rPr>
          <w:rFonts w:ascii="Times New Roman" w:hAnsi="Times New Roman" w:cs="Times New Roman"/>
          <w:sz w:val="24"/>
          <w:szCs w:val="24"/>
        </w:rPr>
        <w:t xml:space="preserve"> </w:t>
      </w:r>
      <w:r w:rsidR="001851A6" w:rsidRPr="00C12279">
        <w:rPr>
          <w:rFonts w:ascii="Times New Roman" w:hAnsi="Times New Roman" w:cs="Times New Roman"/>
          <w:sz w:val="24"/>
          <w:szCs w:val="24"/>
        </w:rPr>
        <w:t>And i</w:t>
      </w:r>
      <w:r w:rsidR="00254E5F" w:rsidRPr="00C12279">
        <w:rPr>
          <w:rFonts w:ascii="Times New Roman" w:hAnsi="Times New Roman" w:cs="Times New Roman"/>
          <w:sz w:val="24"/>
          <w:szCs w:val="24"/>
        </w:rPr>
        <w:t>n regards to the use of assets</w:t>
      </w:r>
      <w:r w:rsidR="002C0873" w:rsidRPr="00C12279">
        <w:rPr>
          <w:rFonts w:ascii="Times New Roman" w:hAnsi="Times New Roman" w:cs="Times New Roman"/>
          <w:sz w:val="24"/>
          <w:szCs w:val="24"/>
        </w:rPr>
        <w:t xml:space="preserve"> function the tasks were allocated thus: </w:t>
      </w:r>
      <w:r w:rsidR="00254E5F" w:rsidRPr="00C12279">
        <w:rPr>
          <w:rFonts w:ascii="Times New Roman" w:hAnsi="Times New Roman" w:cs="Times New Roman"/>
          <w:sz w:val="24"/>
          <w:szCs w:val="24"/>
        </w:rPr>
        <w:t xml:space="preserve"> </w:t>
      </w:r>
      <w:r w:rsidR="002C0873" w:rsidRPr="00C12279">
        <w:rPr>
          <w:rFonts w:ascii="Times New Roman" w:hAnsi="Times New Roman" w:cs="Times New Roman"/>
          <w:sz w:val="24"/>
          <w:szCs w:val="24"/>
        </w:rPr>
        <w:t>warranties,</w:t>
      </w:r>
      <w:r w:rsidR="00254E5F" w:rsidRPr="00C12279">
        <w:rPr>
          <w:rFonts w:ascii="Times New Roman" w:hAnsi="Times New Roman" w:cs="Times New Roman"/>
          <w:sz w:val="24"/>
          <w:szCs w:val="24"/>
        </w:rPr>
        <w:t xml:space="preserve"> appellant 10%</w:t>
      </w:r>
      <w:r w:rsidR="002C0873" w:rsidRPr="00C12279">
        <w:rPr>
          <w:rFonts w:ascii="Times New Roman" w:hAnsi="Times New Roman" w:cs="Times New Roman"/>
          <w:sz w:val="24"/>
          <w:szCs w:val="24"/>
        </w:rPr>
        <w:t xml:space="preserve"> and the conglomerate 90%; the use of intellectual property rights, the conglomerate 100%; the use of technical skills the appellant 25%, the intermediary 25%, the conglomerate 25% and the French holding company 25% and the use of operational vehicles and rentals, appellant 100%. </w:t>
      </w:r>
    </w:p>
    <w:p w14:paraId="55DCB272" w14:textId="422EEE42" w:rsidR="004E7286" w:rsidRPr="00C12279" w:rsidRDefault="006274AE" w:rsidP="006933C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On 21 November 2013</w:t>
      </w:r>
      <w:r w:rsidRPr="00C12279">
        <w:rPr>
          <w:rStyle w:val="FootnoteReference"/>
          <w:rFonts w:ascii="Times New Roman" w:hAnsi="Times New Roman" w:cs="Times New Roman"/>
          <w:sz w:val="24"/>
          <w:szCs w:val="24"/>
        </w:rPr>
        <w:footnoteReference w:id="35"/>
      </w:r>
      <w:r w:rsidR="00545246" w:rsidRPr="00C12279">
        <w:rPr>
          <w:rFonts w:ascii="Times New Roman" w:hAnsi="Times New Roman" w:cs="Times New Roman"/>
          <w:sz w:val="24"/>
          <w:szCs w:val="24"/>
        </w:rPr>
        <w:t xml:space="preserve"> th</w:t>
      </w:r>
      <w:r w:rsidR="007D7EC5" w:rsidRPr="00C12279">
        <w:rPr>
          <w:rFonts w:ascii="Times New Roman" w:hAnsi="Times New Roman" w:cs="Times New Roman"/>
          <w:sz w:val="24"/>
          <w:szCs w:val="24"/>
        </w:rPr>
        <w:t xml:space="preserve">e respondent </w:t>
      </w:r>
      <w:r w:rsidR="00545246" w:rsidRPr="00C12279">
        <w:rPr>
          <w:rFonts w:ascii="Times New Roman" w:hAnsi="Times New Roman" w:cs="Times New Roman"/>
          <w:sz w:val="24"/>
          <w:szCs w:val="24"/>
        </w:rPr>
        <w:t xml:space="preserve">concluded the functional analysis by averaging the percentages inserted by the appellant with its own and </w:t>
      </w:r>
      <w:r w:rsidR="00DB695F" w:rsidRPr="00C12279">
        <w:rPr>
          <w:rFonts w:ascii="Times New Roman" w:hAnsi="Times New Roman" w:cs="Times New Roman"/>
          <w:sz w:val="24"/>
          <w:szCs w:val="24"/>
        </w:rPr>
        <w:t>allocated 61% to the appellant and 39% to the intermediary</w:t>
      </w:r>
      <w:r w:rsidR="004E7286" w:rsidRPr="00C12279">
        <w:rPr>
          <w:rFonts w:ascii="Times New Roman" w:hAnsi="Times New Roman" w:cs="Times New Roman"/>
          <w:sz w:val="24"/>
          <w:szCs w:val="24"/>
        </w:rPr>
        <w:t>.</w:t>
      </w:r>
    </w:p>
    <w:p w14:paraId="663F804A" w14:textId="6B988995" w:rsidR="006E753B" w:rsidRPr="00C12279" w:rsidRDefault="006E753B" w:rsidP="006933C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lastRenderedPageBreak/>
        <w:t>The vehicles sales gross profit of US$1 252 021 for 2009 US$ 3 110 196.00 for 2010, US$6 338 185.46 for 2011 and US$ 4 918 389.78 for 2012</w:t>
      </w:r>
      <w:r w:rsidRPr="00C12279">
        <w:rPr>
          <w:rFonts w:ascii="Times New Roman" w:hAnsi="Times New Roman" w:cs="Times New Roman"/>
          <w:b/>
          <w:i/>
          <w:sz w:val="24"/>
          <w:szCs w:val="24"/>
        </w:rPr>
        <w:t xml:space="preserve"> </w:t>
      </w:r>
      <w:r w:rsidRPr="00C12279">
        <w:rPr>
          <w:rFonts w:ascii="Times New Roman" w:hAnsi="Times New Roman" w:cs="Times New Roman"/>
          <w:sz w:val="24"/>
          <w:szCs w:val="24"/>
        </w:rPr>
        <w:t>were based on total gross sales figure that did not include the intermediary’s invoices. The</w:t>
      </w:r>
      <w:r w:rsidR="0021770D" w:rsidRPr="00C12279">
        <w:rPr>
          <w:rFonts w:ascii="Times New Roman" w:hAnsi="Times New Roman" w:cs="Times New Roman"/>
          <w:sz w:val="24"/>
          <w:szCs w:val="24"/>
        </w:rPr>
        <w:t>se gross profit figures were derived from the difference between the appellant’s local sales</w:t>
      </w:r>
      <w:r w:rsidRPr="00C12279">
        <w:rPr>
          <w:rFonts w:ascii="Times New Roman" w:hAnsi="Times New Roman" w:cs="Times New Roman"/>
          <w:sz w:val="24"/>
          <w:szCs w:val="24"/>
        </w:rPr>
        <w:t xml:space="preserve"> </w:t>
      </w:r>
      <w:r w:rsidR="0021770D" w:rsidRPr="00C12279">
        <w:rPr>
          <w:rFonts w:ascii="Times New Roman" w:hAnsi="Times New Roman" w:cs="Times New Roman"/>
          <w:sz w:val="24"/>
          <w:szCs w:val="24"/>
        </w:rPr>
        <w:t>and</w:t>
      </w:r>
      <w:r w:rsidRPr="00C12279">
        <w:rPr>
          <w:rFonts w:ascii="Times New Roman" w:hAnsi="Times New Roman" w:cs="Times New Roman"/>
          <w:sz w:val="24"/>
          <w:szCs w:val="24"/>
        </w:rPr>
        <w:t xml:space="preserve"> the landed costs comprised of</w:t>
      </w:r>
      <w:r w:rsidR="0021770D" w:rsidRPr="00C12279">
        <w:rPr>
          <w:rFonts w:ascii="Times New Roman" w:hAnsi="Times New Roman" w:cs="Times New Roman"/>
          <w:sz w:val="24"/>
          <w:szCs w:val="24"/>
        </w:rPr>
        <w:t xml:space="preserve"> the conglomerate</w:t>
      </w:r>
      <w:r w:rsidR="00D53BB0" w:rsidRPr="00C12279">
        <w:rPr>
          <w:rFonts w:ascii="Times New Roman" w:hAnsi="Times New Roman" w:cs="Times New Roman"/>
          <w:sz w:val="24"/>
          <w:szCs w:val="24"/>
        </w:rPr>
        <w:t>’s</w:t>
      </w:r>
      <w:r w:rsidR="0021770D" w:rsidRPr="00C12279">
        <w:rPr>
          <w:rFonts w:ascii="Times New Roman" w:hAnsi="Times New Roman" w:cs="Times New Roman"/>
          <w:sz w:val="24"/>
          <w:szCs w:val="24"/>
        </w:rPr>
        <w:t xml:space="preserve"> FOB costs and shipping costs, finance charges and handling and clearing charges. T</w:t>
      </w:r>
      <w:r w:rsidRPr="00C12279">
        <w:rPr>
          <w:rFonts w:ascii="Times New Roman" w:hAnsi="Times New Roman" w:cs="Times New Roman"/>
          <w:sz w:val="24"/>
          <w:szCs w:val="24"/>
        </w:rPr>
        <w:t xml:space="preserve">he Commissioner disregarded </w:t>
      </w:r>
      <w:r w:rsidR="0021770D" w:rsidRPr="00C12279">
        <w:rPr>
          <w:rFonts w:ascii="Times New Roman" w:hAnsi="Times New Roman" w:cs="Times New Roman"/>
          <w:sz w:val="24"/>
          <w:szCs w:val="24"/>
        </w:rPr>
        <w:t xml:space="preserve">the </w:t>
      </w:r>
      <w:r w:rsidRPr="00C12279">
        <w:rPr>
          <w:rFonts w:ascii="Times New Roman" w:hAnsi="Times New Roman" w:cs="Times New Roman"/>
          <w:sz w:val="24"/>
          <w:szCs w:val="24"/>
        </w:rPr>
        <w:t xml:space="preserve">gross </w:t>
      </w:r>
      <w:r w:rsidR="00282179" w:rsidRPr="00C12279">
        <w:rPr>
          <w:rFonts w:ascii="Times New Roman" w:hAnsi="Times New Roman" w:cs="Times New Roman"/>
          <w:sz w:val="24"/>
          <w:szCs w:val="24"/>
        </w:rPr>
        <w:t>profit recorded</w:t>
      </w:r>
      <w:r w:rsidR="000D0189" w:rsidRPr="00C12279">
        <w:rPr>
          <w:rFonts w:ascii="Times New Roman" w:hAnsi="Times New Roman" w:cs="Times New Roman"/>
          <w:sz w:val="24"/>
          <w:szCs w:val="24"/>
        </w:rPr>
        <w:t xml:space="preserve"> in the appellant’s statement of comprehensive income </w:t>
      </w:r>
      <w:r w:rsidR="004F7280" w:rsidRPr="00C12279">
        <w:rPr>
          <w:rFonts w:ascii="Times New Roman" w:hAnsi="Times New Roman" w:cs="Times New Roman"/>
          <w:sz w:val="24"/>
          <w:szCs w:val="24"/>
        </w:rPr>
        <w:t>of US$ 837 160 for 2009</w:t>
      </w:r>
      <w:r w:rsidR="005F09FE" w:rsidRPr="00C12279">
        <w:rPr>
          <w:rStyle w:val="FootnoteReference"/>
          <w:rFonts w:ascii="Times New Roman" w:hAnsi="Times New Roman" w:cs="Times New Roman"/>
          <w:sz w:val="24"/>
          <w:szCs w:val="24"/>
        </w:rPr>
        <w:footnoteReference w:id="36"/>
      </w:r>
      <w:r w:rsidR="005F09FE" w:rsidRPr="00C12279">
        <w:rPr>
          <w:rFonts w:ascii="Times New Roman" w:hAnsi="Times New Roman" w:cs="Times New Roman"/>
          <w:sz w:val="24"/>
          <w:szCs w:val="24"/>
        </w:rPr>
        <w:t xml:space="preserve">, </w:t>
      </w:r>
      <w:r w:rsidR="0021770D" w:rsidRPr="00C12279">
        <w:rPr>
          <w:rFonts w:ascii="Times New Roman" w:hAnsi="Times New Roman" w:cs="Times New Roman"/>
          <w:sz w:val="24"/>
          <w:szCs w:val="24"/>
        </w:rPr>
        <w:t xml:space="preserve">US$ </w:t>
      </w:r>
      <w:r w:rsidR="004F7280" w:rsidRPr="00C12279">
        <w:rPr>
          <w:rFonts w:ascii="Times New Roman" w:hAnsi="Times New Roman" w:cs="Times New Roman"/>
          <w:sz w:val="24"/>
          <w:szCs w:val="24"/>
        </w:rPr>
        <w:t xml:space="preserve">2 327 853 </w:t>
      </w:r>
      <w:r w:rsidR="0021770D" w:rsidRPr="00C12279">
        <w:rPr>
          <w:rFonts w:ascii="Times New Roman" w:hAnsi="Times New Roman" w:cs="Times New Roman"/>
          <w:sz w:val="24"/>
          <w:szCs w:val="24"/>
        </w:rPr>
        <w:t>for 2010</w:t>
      </w:r>
      <w:r w:rsidR="005F09FE" w:rsidRPr="00C12279">
        <w:rPr>
          <w:rStyle w:val="FootnoteReference"/>
          <w:rFonts w:ascii="Times New Roman" w:hAnsi="Times New Roman" w:cs="Times New Roman"/>
          <w:sz w:val="24"/>
          <w:szCs w:val="24"/>
        </w:rPr>
        <w:footnoteReference w:id="37"/>
      </w:r>
      <w:r w:rsidR="0021770D" w:rsidRPr="00C12279">
        <w:rPr>
          <w:rFonts w:ascii="Times New Roman" w:hAnsi="Times New Roman" w:cs="Times New Roman"/>
          <w:sz w:val="24"/>
          <w:szCs w:val="24"/>
        </w:rPr>
        <w:t xml:space="preserve">, US$ </w:t>
      </w:r>
      <w:r w:rsidR="004F7280" w:rsidRPr="00C12279">
        <w:rPr>
          <w:rFonts w:ascii="Times New Roman" w:hAnsi="Times New Roman" w:cs="Times New Roman"/>
          <w:sz w:val="24"/>
          <w:szCs w:val="24"/>
        </w:rPr>
        <w:t xml:space="preserve">3 953 949 </w:t>
      </w:r>
      <w:r w:rsidR="0021770D" w:rsidRPr="00C12279">
        <w:rPr>
          <w:rFonts w:ascii="Times New Roman" w:hAnsi="Times New Roman" w:cs="Times New Roman"/>
          <w:sz w:val="24"/>
          <w:szCs w:val="24"/>
        </w:rPr>
        <w:t>for 2011</w:t>
      </w:r>
      <w:r w:rsidR="005F09FE" w:rsidRPr="00C12279">
        <w:rPr>
          <w:rStyle w:val="FootnoteReference"/>
          <w:rFonts w:ascii="Times New Roman" w:hAnsi="Times New Roman" w:cs="Times New Roman"/>
          <w:sz w:val="24"/>
          <w:szCs w:val="24"/>
        </w:rPr>
        <w:footnoteReference w:id="38"/>
      </w:r>
      <w:r w:rsidR="002012A0" w:rsidRPr="00C12279">
        <w:rPr>
          <w:rFonts w:ascii="Times New Roman" w:hAnsi="Times New Roman" w:cs="Times New Roman"/>
          <w:sz w:val="24"/>
          <w:szCs w:val="24"/>
        </w:rPr>
        <w:t xml:space="preserve"> </w:t>
      </w:r>
      <w:r w:rsidR="0021770D" w:rsidRPr="00C12279">
        <w:rPr>
          <w:rFonts w:ascii="Times New Roman" w:hAnsi="Times New Roman" w:cs="Times New Roman"/>
          <w:sz w:val="24"/>
          <w:szCs w:val="24"/>
        </w:rPr>
        <w:t xml:space="preserve">and US$ </w:t>
      </w:r>
      <w:r w:rsidR="004F7280" w:rsidRPr="00C12279">
        <w:rPr>
          <w:rFonts w:ascii="Times New Roman" w:hAnsi="Times New Roman" w:cs="Times New Roman"/>
          <w:sz w:val="24"/>
          <w:szCs w:val="24"/>
        </w:rPr>
        <w:t>3 615 881 for 2012</w:t>
      </w:r>
      <w:r w:rsidR="005F09FE" w:rsidRPr="00C12279">
        <w:rPr>
          <w:rStyle w:val="FootnoteReference"/>
          <w:rFonts w:ascii="Times New Roman" w:hAnsi="Times New Roman" w:cs="Times New Roman"/>
          <w:sz w:val="24"/>
          <w:szCs w:val="24"/>
        </w:rPr>
        <w:footnoteReference w:id="39"/>
      </w:r>
      <w:r w:rsidR="004F7280" w:rsidRPr="00C12279">
        <w:rPr>
          <w:rFonts w:ascii="Times New Roman" w:hAnsi="Times New Roman" w:cs="Times New Roman"/>
          <w:sz w:val="24"/>
          <w:szCs w:val="24"/>
        </w:rPr>
        <w:t xml:space="preserve">. </w:t>
      </w:r>
      <w:r w:rsidRPr="00C12279">
        <w:rPr>
          <w:rFonts w:ascii="Times New Roman" w:hAnsi="Times New Roman" w:cs="Times New Roman"/>
          <w:sz w:val="24"/>
          <w:szCs w:val="24"/>
        </w:rPr>
        <w:t xml:space="preserve"> </w:t>
      </w:r>
    </w:p>
    <w:p w14:paraId="18DF4FF5" w14:textId="19488A4F" w:rsidR="002012A0" w:rsidRPr="00C12279" w:rsidRDefault="002012A0" w:rsidP="006933C3">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Mr </w:t>
      </w:r>
      <w:r w:rsidRPr="00C12279">
        <w:rPr>
          <w:rFonts w:ascii="Times New Roman" w:hAnsi="Times New Roman" w:cs="Times New Roman"/>
          <w:i/>
          <w:sz w:val="24"/>
          <w:szCs w:val="24"/>
        </w:rPr>
        <w:t>de Bourbon</w:t>
      </w:r>
      <w:r w:rsidRPr="00C12279">
        <w:rPr>
          <w:rFonts w:ascii="Times New Roman" w:hAnsi="Times New Roman" w:cs="Times New Roman"/>
          <w:sz w:val="24"/>
          <w:szCs w:val="24"/>
        </w:rPr>
        <w:t xml:space="preserve"> </w:t>
      </w:r>
      <w:r w:rsidR="00327088" w:rsidRPr="00C12279">
        <w:rPr>
          <w:rFonts w:ascii="Times New Roman" w:hAnsi="Times New Roman" w:cs="Times New Roman"/>
          <w:sz w:val="24"/>
          <w:szCs w:val="24"/>
        </w:rPr>
        <w:t xml:space="preserve">correctly </w:t>
      </w:r>
      <w:r w:rsidRPr="00C12279">
        <w:rPr>
          <w:rFonts w:ascii="Times New Roman" w:hAnsi="Times New Roman" w:cs="Times New Roman"/>
          <w:sz w:val="24"/>
          <w:szCs w:val="24"/>
        </w:rPr>
        <w:t xml:space="preserve">criticised the functional analysis methodology as </w:t>
      </w:r>
      <w:r w:rsidR="00D53BB0" w:rsidRPr="00C12279">
        <w:rPr>
          <w:rFonts w:ascii="Times New Roman" w:hAnsi="Times New Roman" w:cs="Times New Roman"/>
          <w:sz w:val="24"/>
          <w:szCs w:val="24"/>
        </w:rPr>
        <w:t xml:space="preserve">an </w:t>
      </w:r>
      <w:r w:rsidRPr="00C12279">
        <w:rPr>
          <w:rFonts w:ascii="Times New Roman" w:hAnsi="Times New Roman" w:cs="Times New Roman"/>
          <w:sz w:val="24"/>
          <w:szCs w:val="24"/>
        </w:rPr>
        <w:t xml:space="preserve">arbitrary, unscientific and </w:t>
      </w:r>
      <w:r w:rsidR="00D53BB0" w:rsidRPr="00C12279">
        <w:rPr>
          <w:rFonts w:ascii="Times New Roman" w:hAnsi="Times New Roman" w:cs="Times New Roman"/>
          <w:sz w:val="24"/>
          <w:szCs w:val="24"/>
        </w:rPr>
        <w:t>a</w:t>
      </w:r>
      <w:r w:rsidR="00327088" w:rsidRPr="00C12279">
        <w:rPr>
          <w:rFonts w:ascii="Times New Roman" w:hAnsi="Times New Roman" w:cs="Times New Roman"/>
          <w:sz w:val="24"/>
          <w:szCs w:val="24"/>
        </w:rPr>
        <w:t>n</w:t>
      </w:r>
      <w:r w:rsidR="000855CB" w:rsidRPr="00C12279">
        <w:rPr>
          <w:rFonts w:ascii="Times New Roman" w:hAnsi="Times New Roman" w:cs="Times New Roman"/>
          <w:sz w:val="24"/>
          <w:szCs w:val="24"/>
        </w:rPr>
        <w:t xml:space="preserve"> opinion based on value judgment and not on a formula</w:t>
      </w:r>
      <w:r w:rsidR="000855CB" w:rsidRPr="00C12279">
        <w:rPr>
          <w:rStyle w:val="FootnoteReference"/>
          <w:rFonts w:ascii="Times New Roman" w:hAnsi="Times New Roman" w:cs="Times New Roman"/>
          <w:sz w:val="24"/>
          <w:szCs w:val="24"/>
        </w:rPr>
        <w:footnoteReference w:id="40"/>
      </w:r>
      <w:r w:rsidR="000855CB" w:rsidRPr="00C12279">
        <w:rPr>
          <w:rFonts w:ascii="Times New Roman" w:hAnsi="Times New Roman" w:cs="Times New Roman"/>
          <w:sz w:val="24"/>
          <w:szCs w:val="24"/>
        </w:rPr>
        <w:t xml:space="preserve">. </w:t>
      </w:r>
      <w:r w:rsidR="00327088" w:rsidRPr="00C12279">
        <w:rPr>
          <w:rFonts w:ascii="Times New Roman" w:hAnsi="Times New Roman" w:cs="Times New Roman"/>
          <w:sz w:val="24"/>
          <w:szCs w:val="24"/>
        </w:rPr>
        <w:t>He accurately observed that the</w:t>
      </w:r>
      <w:r w:rsidR="001D0C7D" w:rsidRPr="00C12279">
        <w:rPr>
          <w:rFonts w:ascii="Times New Roman" w:hAnsi="Times New Roman" w:cs="Times New Roman"/>
          <w:sz w:val="24"/>
          <w:szCs w:val="24"/>
        </w:rPr>
        <w:t xml:space="preserve"> imputed gross profit was out of step with the comparable prices of similar vehicles offered in Zimbabwe by other brand competitors. He </w:t>
      </w:r>
      <w:r w:rsidR="00D53BB0" w:rsidRPr="00C12279">
        <w:rPr>
          <w:rFonts w:ascii="Times New Roman" w:hAnsi="Times New Roman" w:cs="Times New Roman"/>
          <w:sz w:val="24"/>
          <w:szCs w:val="24"/>
        </w:rPr>
        <w:t>correctly contented that the</w:t>
      </w:r>
      <w:r w:rsidR="00A137B9" w:rsidRPr="00C12279">
        <w:rPr>
          <w:rFonts w:ascii="Times New Roman" w:hAnsi="Times New Roman" w:cs="Times New Roman"/>
          <w:sz w:val="24"/>
          <w:szCs w:val="24"/>
        </w:rPr>
        <w:t xml:space="preserve"> chief investigations</w:t>
      </w:r>
      <w:r w:rsidR="001E594A">
        <w:rPr>
          <w:rFonts w:ascii="Times New Roman" w:hAnsi="Times New Roman" w:cs="Times New Roman"/>
          <w:sz w:val="24"/>
          <w:szCs w:val="24"/>
        </w:rPr>
        <w:t xml:space="preserve"> officer did not explain how his</w:t>
      </w:r>
      <w:r w:rsidR="00A137B9" w:rsidRPr="00C12279">
        <w:rPr>
          <w:rFonts w:ascii="Times New Roman" w:hAnsi="Times New Roman" w:cs="Times New Roman"/>
          <w:sz w:val="24"/>
          <w:szCs w:val="24"/>
        </w:rPr>
        <w:t xml:space="preserve"> </w:t>
      </w:r>
      <w:r w:rsidR="001E594A">
        <w:rPr>
          <w:rFonts w:ascii="Times New Roman" w:hAnsi="Times New Roman" w:cs="Times New Roman"/>
          <w:sz w:val="24"/>
          <w:szCs w:val="24"/>
        </w:rPr>
        <w:t>tabulated figures</w:t>
      </w:r>
      <w:r w:rsidR="00D53BB0" w:rsidRPr="00C12279">
        <w:rPr>
          <w:rFonts w:ascii="Times New Roman" w:hAnsi="Times New Roman" w:cs="Times New Roman"/>
          <w:sz w:val="24"/>
          <w:szCs w:val="24"/>
        </w:rPr>
        <w:t xml:space="preserve"> </w:t>
      </w:r>
      <w:r w:rsidR="00FF33D4" w:rsidRPr="00C12279">
        <w:rPr>
          <w:rFonts w:ascii="Times New Roman" w:hAnsi="Times New Roman" w:cs="Times New Roman"/>
          <w:sz w:val="24"/>
          <w:szCs w:val="24"/>
        </w:rPr>
        <w:t xml:space="preserve">and especially the vehicle sales gross profit figures </w:t>
      </w:r>
      <w:r w:rsidR="00D53BB0" w:rsidRPr="00C12279">
        <w:rPr>
          <w:rFonts w:ascii="Times New Roman" w:hAnsi="Times New Roman" w:cs="Times New Roman"/>
          <w:sz w:val="24"/>
          <w:szCs w:val="24"/>
        </w:rPr>
        <w:t>were computed and more importantly</w:t>
      </w:r>
      <w:r w:rsidR="00A137B9" w:rsidRPr="00C12279">
        <w:rPr>
          <w:rFonts w:ascii="Times New Roman" w:hAnsi="Times New Roman" w:cs="Times New Roman"/>
          <w:sz w:val="24"/>
          <w:szCs w:val="24"/>
        </w:rPr>
        <w:t xml:space="preserve"> how he arrived at the 61:39 split. </w:t>
      </w:r>
      <w:r w:rsidR="00327088" w:rsidRPr="00C12279">
        <w:rPr>
          <w:rFonts w:ascii="Times New Roman" w:hAnsi="Times New Roman" w:cs="Times New Roman"/>
          <w:sz w:val="24"/>
          <w:szCs w:val="24"/>
        </w:rPr>
        <w:t>In my view, even the more detailed functional analysis percentage apportionments</w:t>
      </w:r>
      <w:r w:rsidR="001E594A">
        <w:rPr>
          <w:rFonts w:ascii="Times New Roman" w:hAnsi="Times New Roman" w:cs="Times New Roman"/>
          <w:sz w:val="24"/>
          <w:szCs w:val="24"/>
        </w:rPr>
        <w:t xml:space="preserve"> provided by the appellant on 14</w:t>
      </w:r>
      <w:r w:rsidR="00327088" w:rsidRPr="00C12279">
        <w:rPr>
          <w:rFonts w:ascii="Times New Roman" w:hAnsi="Times New Roman" w:cs="Times New Roman"/>
          <w:sz w:val="24"/>
          <w:szCs w:val="24"/>
        </w:rPr>
        <w:t xml:space="preserve"> August 2013 in annexure H of the Commissioner’s case failed to disclose how the 61:39 split was achieved. </w:t>
      </w:r>
      <w:r w:rsidR="009B2791" w:rsidRPr="00C12279">
        <w:rPr>
          <w:rFonts w:ascii="Times New Roman" w:hAnsi="Times New Roman" w:cs="Times New Roman"/>
          <w:sz w:val="24"/>
          <w:szCs w:val="24"/>
        </w:rPr>
        <w:t>Apparently, it was invoked on the weak</w:t>
      </w:r>
      <w:r w:rsidR="0036028B" w:rsidRPr="00C12279">
        <w:rPr>
          <w:rFonts w:ascii="Times New Roman" w:hAnsi="Times New Roman" w:cs="Times New Roman"/>
          <w:sz w:val="24"/>
          <w:szCs w:val="24"/>
        </w:rPr>
        <w:t xml:space="preserve"> basis</w:t>
      </w:r>
      <w:r w:rsidR="00EF0778" w:rsidRPr="00C12279">
        <w:rPr>
          <w:rFonts w:ascii="Times New Roman" w:hAnsi="Times New Roman" w:cs="Times New Roman"/>
          <w:sz w:val="24"/>
          <w:szCs w:val="24"/>
        </w:rPr>
        <w:t xml:space="preserve"> of a purported concession to profit sharing made by the appellant in a letter of 9 September 2011</w:t>
      </w:r>
      <w:r w:rsidR="00EF0778" w:rsidRPr="00C12279">
        <w:rPr>
          <w:rStyle w:val="FootnoteReference"/>
          <w:rFonts w:ascii="Times New Roman" w:hAnsi="Times New Roman" w:cs="Times New Roman"/>
          <w:sz w:val="24"/>
          <w:szCs w:val="24"/>
        </w:rPr>
        <w:footnoteReference w:id="41"/>
      </w:r>
      <w:r w:rsidR="009B2791" w:rsidRPr="00C12279">
        <w:rPr>
          <w:rFonts w:ascii="Times New Roman" w:hAnsi="Times New Roman" w:cs="Times New Roman"/>
          <w:sz w:val="24"/>
          <w:szCs w:val="24"/>
        </w:rPr>
        <w:t xml:space="preserve">, which letter did not form part of the pleadings or evidence in this case. </w:t>
      </w:r>
      <w:r w:rsidR="00CC59BC" w:rsidRPr="00C12279">
        <w:rPr>
          <w:rFonts w:ascii="Times New Roman" w:hAnsi="Times New Roman" w:cs="Times New Roman"/>
          <w:sz w:val="24"/>
          <w:szCs w:val="24"/>
        </w:rPr>
        <w:t>The evidence at hand established that the appellant at all times disputed ever sharing any profits with the intermediary</w:t>
      </w:r>
      <w:r w:rsidR="00CC59BC" w:rsidRPr="00C12279">
        <w:rPr>
          <w:rStyle w:val="FootnoteReference"/>
          <w:rFonts w:ascii="Times New Roman" w:hAnsi="Times New Roman" w:cs="Times New Roman"/>
          <w:sz w:val="24"/>
          <w:szCs w:val="24"/>
        </w:rPr>
        <w:footnoteReference w:id="42"/>
      </w:r>
      <w:r w:rsidR="00CC59BC" w:rsidRPr="00C12279">
        <w:rPr>
          <w:rFonts w:ascii="Times New Roman" w:hAnsi="Times New Roman" w:cs="Times New Roman"/>
          <w:sz w:val="24"/>
          <w:szCs w:val="24"/>
        </w:rPr>
        <w:t xml:space="preserve">. </w:t>
      </w:r>
      <w:r w:rsidR="009B2791" w:rsidRPr="00C12279">
        <w:rPr>
          <w:rFonts w:ascii="Times New Roman" w:hAnsi="Times New Roman" w:cs="Times New Roman"/>
          <w:sz w:val="24"/>
          <w:szCs w:val="24"/>
        </w:rPr>
        <w:t>The real reason for ascribing profit sharing between the</w:t>
      </w:r>
      <w:r w:rsidR="00CC59BC" w:rsidRPr="00C12279">
        <w:rPr>
          <w:rFonts w:ascii="Times New Roman" w:hAnsi="Times New Roman" w:cs="Times New Roman"/>
          <w:sz w:val="24"/>
          <w:szCs w:val="24"/>
        </w:rPr>
        <w:t>m</w:t>
      </w:r>
      <w:r w:rsidR="009B2791" w:rsidRPr="00C12279">
        <w:rPr>
          <w:rFonts w:ascii="Times New Roman" w:hAnsi="Times New Roman" w:cs="Times New Roman"/>
          <w:sz w:val="24"/>
          <w:szCs w:val="24"/>
        </w:rPr>
        <w:t xml:space="preserve"> as </w:t>
      </w:r>
      <w:r w:rsidR="00D53BB0" w:rsidRPr="00C12279">
        <w:rPr>
          <w:rFonts w:ascii="Times New Roman" w:hAnsi="Times New Roman" w:cs="Times New Roman"/>
          <w:sz w:val="24"/>
          <w:szCs w:val="24"/>
        </w:rPr>
        <w:t xml:space="preserve">eventually </w:t>
      </w:r>
      <w:r w:rsidR="009B2791" w:rsidRPr="00C12279">
        <w:rPr>
          <w:rFonts w:ascii="Times New Roman" w:hAnsi="Times New Roman" w:cs="Times New Roman"/>
          <w:sz w:val="24"/>
          <w:szCs w:val="24"/>
        </w:rPr>
        <w:t>disclosed by the chief investigations officer was that they each added a mark-up of 7.5% to their respective purchase price</w:t>
      </w:r>
      <w:r w:rsidR="00D53BB0" w:rsidRPr="00C12279">
        <w:rPr>
          <w:rFonts w:ascii="Times New Roman" w:hAnsi="Times New Roman" w:cs="Times New Roman"/>
          <w:sz w:val="24"/>
          <w:szCs w:val="24"/>
        </w:rPr>
        <w:t>s</w:t>
      </w:r>
      <w:r w:rsidR="00CC59BC" w:rsidRPr="00C12279">
        <w:rPr>
          <w:rFonts w:ascii="Times New Roman" w:hAnsi="Times New Roman" w:cs="Times New Roman"/>
          <w:sz w:val="24"/>
          <w:szCs w:val="24"/>
        </w:rPr>
        <w:t>.</w:t>
      </w:r>
      <w:r w:rsidR="009B2791" w:rsidRPr="00C12279">
        <w:rPr>
          <w:rFonts w:ascii="Times New Roman" w:hAnsi="Times New Roman" w:cs="Times New Roman"/>
          <w:sz w:val="24"/>
          <w:szCs w:val="24"/>
        </w:rPr>
        <w:t xml:space="preserve"> </w:t>
      </w:r>
      <w:r w:rsidR="00CC59BC" w:rsidRPr="00C12279">
        <w:rPr>
          <w:rFonts w:ascii="Times New Roman" w:hAnsi="Times New Roman" w:cs="Times New Roman"/>
          <w:sz w:val="24"/>
          <w:szCs w:val="24"/>
        </w:rPr>
        <w:t xml:space="preserve"> </w:t>
      </w:r>
      <w:r w:rsidR="009B2791" w:rsidRPr="00C12279">
        <w:rPr>
          <w:rFonts w:ascii="Times New Roman" w:hAnsi="Times New Roman" w:cs="Times New Roman"/>
          <w:sz w:val="24"/>
          <w:szCs w:val="24"/>
        </w:rPr>
        <w:t xml:space="preserve">The </w:t>
      </w:r>
      <w:r w:rsidR="00CC59BC" w:rsidRPr="00C12279">
        <w:rPr>
          <w:rFonts w:ascii="Times New Roman" w:hAnsi="Times New Roman" w:cs="Times New Roman"/>
          <w:sz w:val="24"/>
          <w:szCs w:val="24"/>
        </w:rPr>
        <w:t xml:space="preserve">respondent thus formed the opinion </w:t>
      </w:r>
      <w:r w:rsidR="00D53BB0" w:rsidRPr="00C12279">
        <w:rPr>
          <w:rFonts w:ascii="Times New Roman" w:hAnsi="Times New Roman" w:cs="Times New Roman"/>
          <w:sz w:val="24"/>
          <w:szCs w:val="24"/>
        </w:rPr>
        <w:t xml:space="preserve">that </w:t>
      </w:r>
      <w:r w:rsidR="00CC59BC" w:rsidRPr="00C12279">
        <w:rPr>
          <w:rFonts w:ascii="Times New Roman" w:hAnsi="Times New Roman" w:cs="Times New Roman"/>
          <w:sz w:val="24"/>
          <w:szCs w:val="24"/>
        </w:rPr>
        <w:t>the parties shared profits equally and not the costs, which burden was borne</w:t>
      </w:r>
      <w:r w:rsidR="00D53BB0" w:rsidRPr="00C12279">
        <w:rPr>
          <w:rFonts w:ascii="Times New Roman" w:hAnsi="Times New Roman" w:cs="Times New Roman"/>
          <w:sz w:val="24"/>
          <w:szCs w:val="24"/>
        </w:rPr>
        <w:t xml:space="preserve"> by the appellant. The respondent</w:t>
      </w:r>
      <w:r w:rsidR="00CC59BC" w:rsidRPr="00C12279">
        <w:rPr>
          <w:rFonts w:ascii="Times New Roman" w:hAnsi="Times New Roman" w:cs="Times New Roman"/>
          <w:sz w:val="24"/>
          <w:szCs w:val="24"/>
        </w:rPr>
        <w:t xml:space="preserve"> found the position contrary to the arm’s length principle</w:t>
      </w:r>
      <w:r w:rsidR="009E25A1" w:rsidRPr="00C12279">
        <w:rPr>
          <w:rFonts w:ascii="Times New Roman" w:hAnsi="Times New Roman" w:cs="Times New Roman"/>
          <w:sz w:val="24"/>
          <w:szCs w:val="24"/>
        </w:rPr>
        <w:t xml:space="preserve">. </w:t>
      </w:r>
      <w:r w:rsidR="00CC59BC" w:rsidRPr="00C12279">
        <w:rPr>
          <w:rFonts w:ascii="Times New Roman" w:hAnsi="Times New Roman" w:cs="Times New Roman"/>
          <w:sz w:val="24"/>
          <w:szCs w:val="24"/>
        </w:rPr>
        <w:t xml:space="preserve"> </w:t>
      </w:r>
    </w:p>
    <w:p w14:paraId="0FBF564F" w14:textId="79EE014B" w:rsidR="00F45B9D" w:rsidRPr="00C12279" w:rsidRDefault="00690DE4" w:rsidP="006933C3">
      <w:pPr>
        <w:spacing w:line="360" w:lineRule="auto"/>
        <w:jc w:val="both"/>
        <w:rPr>
          <w:rFonts w:ascii="Times New Roman" w:hAnsi="Times New Roman" w:cs="Times New Roman"/>
          <w:b/>
          <w:sz w:val="24"/>
          <w:szCs w:val="24"/>
        </w:rPr>
      </w:pPr>
      <w:r w:rsidRPr="00C12279">
        <w:rPr>
          <w:rFonts w:ascii="Times New Roman" w:hAnsi="Times New Roman" w:cs="Times New Roman"/>
          <w:b/>
          <w:sz w:val="24"/>
          <w:szCs w:val="24"/>
        </w:rPr>
        <w:t>Is it part of our law</w:t>
      </w:r>
    </w:p>
    <w:p w14:paraId="3DC40CBC" w14:textId="77777777" w:rsidR="00900931" w:rsidRPr="00C12279" w:rsidRDefault="00690DE4" w:rsidP="006933C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lastRenderedPageBreak/>
        <w:t xml:space="preserve">Mr </w:t>
      </w:r>
      <w:r w:rsidRPr="00C12279">
        <w:rPr>
          <w:rFonts w:ascii="Times New Roman" w:hAnsi="Times New Roman" w:cs="Times New Roman"/>
          <w:i/>
          <w:sz w:val="24"/>
          <w:szCs w:val="24"/>
        </w:rPr>
        <w:t>de Bourbon</w:t>
      </w:r>
      <w:r w:rsidRPr="00C12279">
        <w:rPr>
          <w:rFonts w:ascii="Times New Roman" w:hAnsi="Times New Roman" w:cs="Times New Roman"/>
          <w:sz w:val="24"/>
          <w:szCs w:val="24"/>
        </w:rPr>
        <w:t xml:space="preserve"> submitted that functional analysis was not part of our law notwithstanding that the respondent foistered it upon the appellant. </w:t>
      </w:r>
      <w:r w:rsidR="00DB7E75" w:rsidRPr="00C12279">
        <w:rPr>
          <w:rFonts w:ascii="Times New Roman" w:hAnsi="Times New Roman" w:cs="Times New Roman"/>
          <w:sz w:val="24"/>
          <w:szCs w:val="24"/>
        </w:rPr>
        <w:t xml:space="preserve">He further submitted that it was illogical and irrational and did not form part of the South African or OECD transfer pricing system. </w:t>
      </w:r>
      <w:r w:rsidR="00172824" w:rsidRPr="00C12279">
        <w:rPr>
          <w:rFonts w:ascii="Times New Roman" w:hAnsi="Times New Roman" w:cs="Times New Roman"/>
          <w:sz w:val="24"/>
          <w:szCs w:val="24"/>
        </w:rPr>
        <w:t xml:space="preserve">In regards to transfer pricing, he argued that until the introduction of s 98A to the Income Tax Act by the Finance Act No. 1 of 2014 on 1 January 2014 there were no statutory provisions dealing with this subject in our law. </w:t>
      </w:r>
      <w:r w:rsidR="00B376E6" w:rsidRPr="00C12279">
        <w:rPr>
          <w:rFonts w:ascii="Times New Roman" w:hAnsi="Times New Roman" w:cs="Times New Roman"/>
          <w:sz w:val="24"/>
          <w:szCs w:val="24"/>
        </w:rPr>
        <w:t xml:space="preserve"> The concept of transfer pricing </w:t>
      </w:r>
      <w:r w:rsidR="00BC3ADC" w:rsidRPr="00C12279">
        <w:rPr>
          <w:rFonts w:ascii="Times New Roman" w:hAnsi="Times New Roman" w:cs="Times New Roman"/>
          <w:sz w:val="24"/>
          <w:szCs w:val="24"/>
        </w:rPr>
        <w:t>as explained by Keith Huxman and Philip Haupt in</w:t>
      </w:r>
      <w:r w:rsidR="00BC3ADC" w:rsidRPr="00C12279">
        <w:rPr>
          <w:rFonts w:ascii="Times New Roman" w:hAnsi="Times New Roman" w:cs="Times New Roman"/>
          <w:i/>
          <w:sz w:val="24"/>
          <w:szCs w:val="24"/>
        </w:rPr>
        <w:t xml:space="preserve"> Notes on South African Income Tax </w:t>
      </w:r>
      <w:r w:rsidR="00BC3ADC" w:rsidRPr="00C12279">
        <w:rPr>
          <w:rFonts w:ascii="Times New Roman" w:hAnsi="Times New Roman" w:cs="Times New Roman"/>
          <w:sz w:val="24"/>
          <w:szCs w:val="24"/>
        </w:rPr>
        <w:t xml:space="preserve">24 ed (2005) </w:t>
      </w:r>
      <w:r w:rsidR="00B376E6" w:rsidRPr="00C12279">
        <w:rPr>
          <w:rFonts w:ascii="Times New Roman" w:hAnsi="Times New Roman" w:cs="Times New Roman"/>
          <w:sz w:val="24"/>
          <w:szCs w:val="24"/>
        </w:rPr>
        <w:t xml:space="preserve">involves the manipulation </w:t>
      </w:r>
      <w:r w:rsidR="00BC3ADC" w:rsidRPr="00C12279">
        <w:rPr>
          <w:rFonts w:ascii="Times New Roman" w:hAnsi="Times New Roman" w:cs="Times New Roman"/>
          <w:sz w:val="24"/>
          <w:szCs w:val="24"/>
        </w:rPr>
        <w:t xml:space="preserve">of prices, income and expenses by associated companies operating in different tax jurisdictions </w:t>
      </w:r>
      <w:r w:rsidR="00B376E6" w:rsidRPr="00C12279">
        <w:rPr>
          <w:rFonts w:ascii="Times New Roman" w:hAnsi="Times New Roman" w:cs="Times New Roman"/>
          <w:sz w:val="24"/>
          <w:szCs w:val="24"/>
        </w:rPr>
        <w:t>in order to reduce</w:t>
      </w:r>
      <w:r w:rsidR="00BC3ADC" w:rsidRPr="00C12279">
        <w:rPr>
          <w:rFonts w:ascii="Times New Roman" w:hAnsi="Times New Roman" w:cs="Times New Roman"/>
          <w:sz w:val="24"/>
          <w:szCs w:val="24"/>
        </w:rPr>
        <w:t xml:space="preserve"> profits in a higher tax jurisdiction</w:t>
      </w:r>
      <w:r w:rsidR="009455E0" w:rsidRPr="00C12279">
        <w:rPr>
          <w:rFonts w:ascii="Times New Roman" w:hAnsi="Times New Roman" w:cs="Times New Roman"/>
          <w:sz w:val="24"/>
          <w:szCs w:val="24"/>
        </w:rPr>
        <w:t xml:space="preserve">. It is invariably measured by the arm’s </w:t>
      </w:r>
      <w:r w:rsidR="00A07FD6" w:rsidRPr="00C12279">
        <w:rPr>
          <w:rFonts w:ascii="Times New Roman" w:hAnsi="Times New Roman" w:cs="Times New Roman"/>
          <w:sz w:val="24"/>
          <w:szCs w:val="24"/>
        </w:rPr>
        <w:t xml:space="preserve">length principle. It seems to me that transfer pricing could be dealt with under the general deduction formula in s 15 (2) (a) of the Income Tax Act as was the case in South Africa when </w:t>
      </w:r>
      <w:r w:rsidR="00A07FD6" w:rsidRPr="00C12279">
        <w:rPr>
          <w:rFonts w:ascii="Times New Roman" w:hAnsi="Times New Roman" w:cs="Times New Roman"/>
          <w:i/>
          <w:sz w:val="24"/>
          <w:szCs w:val="24"/>
        </w:rPr>
        <w:t>ITC 569</w:t>
      </w:r>
      <w:r w:rsidR="00A07FD6" w:rsidRPr="00C12279">
        <w:rPr>
          <w:rFonts w:ascii="Times New Roman" w:hAnsi="Times New Roman" w:cs="Times New Roman"/>
          <w:sz w:val="24"/>
          <w:szCs w:val="24"/>
        </w:rPr>
        <w:t xml:space="preserve"> (1944) 13 SATC 447 was decided before the introduction of s 31 in Act 58 of 1962 and the subsequent publication of Note 7, which delineated transfer pricing transactions in that country. While our law did not have a specific transfer pricing provision until 1 January 2014, it seems to me that the issue could be dealt with under the general deduction formula, or either s 24 or s 98 of the Income Tax Act if the requirements in those sections were met.  </w:t>
      </w:r>
    </w:p>
    <w:p w14:paraId="780A3C68" w14:textId="1E966BF9" w:rsidR="00C61436" w:rsidRPr="00C12279" w:rsidRDefault="00927346" w:rsidP="006933C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w:t>
      </w:r>
      <w:r w:rsidR="006F312B" w:rsidRPr="00C12279">
        <w:rPr>
          <w:rFonts w:ascii="Times New Roman" w:hAnsi="Times New Roman" w:cs="Times New Roman"/>
          <w:sz w:val="24"/>
          <w:szCs w:val="24"/>
        </w:rPr>
        <w:t>is clear that t</w:t>
      </w:r>
      <w:r w:rsidR="005B3DFB" w:rsidRPr="00C12279">
        <w:rPr>
          <w:rFonts w:ascii="Times New Roman" w:hAnsi="Times New Roman" w:cs="Times New Roman"/>
          <w:sz w:val="24"/>
          <w:szCs w:val="24"/>
        </w:rPr>
        <w:t>he functional analysis methodology is not specifically provided for in our law</w:t>
      </w:r>
      <w:r w:rsidR="006F312B" w:rsidRPr="00C12279">
        <w:rPr>
          <w:rFonts w:ascii="Times New Roman" w:hAnsi="Times New Roman" w:cs="Times New Roman"/>
          <w:sz w:val="24"/>
          <w:szCs w:val="24"/>
        </w:rPr>
        <w:t xml:space="preserve">. </w:t>
      </w:r>
      <w:r w:rsidRPr="00C12279">
        <w:rPr>
          <w:rFonts w:ascii="Times New Roman" w:hAnsi="Times New Roman" w:cs="Times New Roman"/>
          <w:sz w:val="24"/>
          <w:szCs w:val="24"/>
        </w:rPr>
        <w:t xml:space="preserve">Nor was transfer pricing specifically provided for in our law prior to </w:t>
      </w:r>
      <w:r w:rsidR="00AE7BC9" w:rsidRPr="00C12279">
        <w:rPr>
          <w:rFonts w:ascii="Times New Roman" w:hAnsi="Times New Roman" w:cs="Times New Roman"/>
          <w:sz w:val="24"/>
          <w:szCs w:val="24"/>
        </w:rPr>
        <w:t xml:space="preserve">1 January 2014. </w:t>
      </w:r>
      <w:r w:rsidR="00E4284F" w:rsidRPr="00C12279">
        <w:rPr>
          <w:rFonts w:ascii="Times New Roman" w:hAnsi="Times New Roman" w:cs="Times New Roman"/>
          <w:sz w:val="24"/>
          <w:szCs w:val="24"/>
        </w:rPr>
        <w:t xml:space="preserve">The </w:t>
      </w:r>
      <w:r w:rsidR="00AE7BC9" w:rsidRPr="00C12279">
        <w:rPr>
          <w:rFonts w:ascii="Times New Roman" w:hAnsi="Times New Roman" w:cs="Times New Roman"/>
          <w:sz w:val="24"/>
          <w:szCs w:val="24"/>
        </w:rPr>
        <w:t xml:space="preserve">respondent </w:t>
      </w:r>
      <w:r w:rsidR="004D273A" w:rsidRPr="00C12279">
        <w:rPr>
          <w:rFonts w:ascii="Times New Roman" w:hAnsi="Times New Roman" w:cs="Times New Roman"/>
          <w:sz w:val="24"/>
          <w:szCs w:val="24"/>
        </w:rPr>
        <w:t>relied on the provisions of s 24 of the Income Tax Act to invoke the functional analysis methodology.</w:t>
      </w:r>
      <w:r w:rsidR="0017182A" w:rsidRPr="00C12279">
        <w:rPr>
          <w:rFonts w:ascii="Times New Roman" w:hAnsi="Times New Roman" w:cs="Times New Roman"/>
          <w:sz w:val="24"/>
          <w:szCs w:val="24"/>
        </w:rPr>
        <w:t xml:space="preserve"> The correspondence between the parties both before and after the objection and especially in the summary of evidence filed by the appellant in preparation of the appeal hearing recognised the existence </w:t>
      </w:r>
      <w:r w:rsidR="005960C9">
        <w:rPr>
          <w:rFonts w:ascii="Times New Roman" w:hAnsi="Times New Roman" w:cs="Times New Roman"/>
          <w:sz w:val="24"/>
          <w:szCs w:val="24"/>
        </w:rPr>
        <w:t xml:space="preserve">of </w:t>
      </w:r>
      <w:r w:rsidR="0017182A" w:rsidRPr="00C12279">
        <w:rPr>
          <w:rFonts w:ascii="Times New Roman" w:hAnsi="Times New Roman" w:cs="Times New Roman"/>
          <w:sz w:val="24"/>
          <w:szCs w:val="24"/>
        </w:rPr>
        <w:t>t</w:t>
      </w:r>
      <w:r w:rsidR="00B36FD7" w:rsidRPr="00C12279">
        <w:rPr>
          <w:rFonts w:ascii="Times New Roman" w:hAnsi="Times New Roman" w:cs="Times New Roman"/>
          <w:sz w:val="24"/>
          <w:szCs w:val="24"/>
        </w:rPr>
        <w:t xml:space="preserve">he functional analysis concept. </w:t>
      </w:r>
      <w:r w:rsidR="00066571" w:rsidRPr="00C12279">
        <w:rPr>
          <w:rFonts w:ascii="Times New Roman" w:hAnsi="Times New Roman" w:cs="Times New Roman"/>
          <w:sz w:val="24"/>
          <w:szCs w:val="24"/>
        </w:rPr>
        <w:t>In the objection letter the appellant recognised functional analysis as an international practice. And i</w:t>
      </w:r>
      <w:r w:rsidR="00B36FD7" w:rsidRPr="00C12279">
        <w:rPr>
          <w:rFonts w:ascii="Times New Roman" w:hAnsi="Times New Roman" w:cs="Times New Roman"/>
          <w:sz w:val="24"/>
          <w:szCs w:val="24"/>
        </w:rPr>
        <w:t xml:space="preserve">n its summary of evidence, the appellant was ready to call evidence to show how functional analysis was prepared and the context in which it applied. Indeed in argument Mr </w:t>
      </w:r>
      <w:r w:rsidR="00B36FD7" w:rsidRPr="00C12279">
        <w:rPr>
          <w:rFonts w:ascii="Times New Roman" w:hAnsi="Times New Roman" w:cs="Times New Roman"/>
          <w:i/>
          <w:sz w:val="24"/>
          <w:szCs w:val="24"/>
        </w:rPr>
        <w:t>de Bourbon</w:t>
      </w:r>
      <w:r w:rsidR="00B36FD7" w:rsidRPr="00C12279">
        <w:rPr>
          <w:rFonts w:ascii="Times New Roman" w:hAnsi="Times New Roman" w:cs="Times New Roman"/>
          <w:sz w:val="24"/>
          <w:szCs w:val="24"/>
        </w:rPr>
        <w:t xml:space="preserve"> referred to </w:t>
      </w:r>
      <w:r w:rsidR="00944C4B" w:rsidRPr="00C12279">
        <w:rPr>
          <w:rFonts w:ascii="Times New Roman" w:hAnsi="Times New Roman" w:cs="Times New Roman"/>
          <w:sz w:val="24"/>
          <w:szCs w:val="24"/>
        </w:rPr>
        <w:t>t</w:t>
      </w:r>
      <w:r w:rsidR="00B36FD7" w:rsidRPr="00C12279">
        <w:rPr>
          <w:rFonts w:ascii="Times New Roman" w:hAnsi="Times New Roman" w:cs="Times New Roman"/>
          <w:sz w:val="24"/>
          <w:szCs w:val="24"/>
        </w:rPr>
        <w:t xml:space="preserve">he pillars on which it stands as comprising the functions of the targeted parties in the chain of supply, the </w:t>
      </w:r>
      <w:r w:rsidR="00066571" w:rsidRPr="00C12279">
        <w:rPr>
          <w:rFonts w:ascii="Times New Roman" w:hAnsi="Times New Roman" w:cs="Times New Roman"/>
          <w:sz w:val="24"/>
          <w:szCs w:val="24"/>
        </w:rPr>
        <w:t xml:space="preserve">nature and type of </w:t>
      </w:r>
      <w:r w:rsidR="00B36FD7" w:rsidRPr="00C12279">
        <w:rPr>
          <w:rFonts w:ascii="Times New Roman" w:hAnsi="Times New Roman" w:cs="Times New Roman"/>
          <w:sz w:val="24"/>
          <w:szCs w:val="24"/>
        </w:rPr>
        <w:t xml:space="preserve">assets </w:t>
      </w:r>
      <w:r w:rsidR="00066571" w:rsidRPr="00C12279">
        <w:rPr>
          <w:rFonts w:ascii="Times New Roman" w:hAnsi="Times New Roman" w:cs="Times New Roman"/>
          <w:sz w:val="24"/>
          <w:szCs w:val="24"/>
        </w:rPr>
        <w:t xml:space="preserve">or resources deployed </w:t>
      </w:r>
      <w:r w:rsidR="00B36FD7" w:rsidRPr="00C12279">
        <w:rPr>
          <w:rFonts w:ascii="Times New Roman" w:hAnsi="Times New Roman" w:cs="Times New Roman"/>
          <w:sz w:val="24"/>
          <w:szCs w:val="24"/>
        </w:rPr>
        <w:t xml:space="preserve">used and </w:t>
      </w:r>
      <w:r w:rsidR="00066571" w:rsidRPr="00C12279">
        <w:rPr>
          <w:rFonts w:ascii="Times New Roman" w:hAnsi="Times New Roman" w:cs="Times New Roman"/>
          <w:sz w:val="24"/>
          <w:szCs w:val="24"/>
        </w:rPr>
        <w:t>the risks assumed by each party in the supply chain</w:t>
      </w:r>
      <w:r w:rsidR="00B36FD7" w:rsidRPr="00C12279">
        <w:rPr>
          <w:rFonts w:ascii="Times New Roman" w:hAnsi="Times New Roman" w:cs="Times New Roman"/>
          <w:sz w:val="24"/>
          <w:szCs w:val="24"/>
        </w:rPr>
        <w:t>. These were applied by the respondent in the functional analysis it conducted in collaboration with the appellant. To the extent that it is a recognised method of assessing taxable income earned or deemed to have been earned by a</w:t>
      </w:r>
      <w:r w:rsidR="00390410">
        <w:rPr>
          <w:rFonts w:ascii="Times New Roman" w:hAnsi="Times New Roman" w:cs="Times New Roman"/>
          <w:sz w:val="24"/>
          <w:szCs w:val="24"/>
        </w:rPr>
        <w:t xml:space="preserve"> taxpayer, I would on the sparse</w:t>
      </w:r>
      <w:r w:rsidR="00B36FD7" w:rsidRPr="00C12279">
        <w:rPr>
          <w:rFonts w:ascii="Times New Roman" w:hAnsi="Times New Roman" w:cs="Times New Roman"/>
          <w:sz w:val="24"/>
          <w:szCs w:val="24"/>
        </w:rPr>
        <w:t xml:space="preserve"> evidence before me hold that </w:t>
      </w:r>
      <w:r w:rsidR="00C61436" w:rsidRPr="00C12279">
        <w:rPr>
          <w:rFonts w:ascii="Times New Roman" w:hAnsi="Times New Roman" w:cs="Times New Roman"/>
          <w:sz w:val="24"/>
          <w:szCs w:val="24"/>
        </w:rPr>
        <w:t xml:space="preserve">there is nothing in our law that would preclude the Commissioner from applying it in suitable cases. </w:t>
      </w:r>
    </w:p>
    <w:p w14:paraId="5F3B284E" w14:textId="6452EB2A" w:rsidR="00FC5772" w:rsidRPr="00C12279" w:rsidRDefault="00C61436" w:rsidP="006933C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lastRenderedPageBreak/>
        <w:t xml:space="preserve">Whether or not this was a suitable case to </w:t>
      </w:r>
      <w:r w:rsidR="004E3993" w:rsidRPr="00C12279">
        <w:rPr>
          <w:rFonts w:ascii="Times New Roman" w:hAnsi="Times New Roman" w:cs="Times New Roman"/>
          <w:sz w:val="24"/>
          <w:szCs w:val="24"/>
        </w:rPr>
        <w:t xml:space="preserve">employ functional analysis in </w:t>
      </w:r>
      <w:r w:rsidRPr="00C12279">
        <w:rPr>
          <w:rFonts w:ascii="Times New Roman" w:hAnsi="Times New Roman" w:cs="Times New Roman"/>
          <w:sz w:val="24"/>
          <w:szCs w:val="24"/>
        </w:rPr>
        <w:t xml:space="preserve">determining the appellant’s taxable income depends on whether or not the provisions of s 24 applied to the circumstances pertaining to the appellant. </w:t>
      </w:r>
      <w:r w:rsidR="000B6055" w:rsidRPr="00C12279">
        <w:rPr>
          <w:rFonts w:ascii="Times New Roman" w:hAnsi="Times New Roman" w:cs="Times New Roman"/>
          <w:sz w:val="24"/>
          <w:szCs w:val="24"/>
        </w:rPr>
        <w:t xml:space="preserve"> </w:t>
      </w:r>
      <w:r w:rsidR="00FC5772" w:rsidRPr="00C12279">
        <w:rPr>
          <w:rFonts w:ascii="Times New Roman" w:hAnsi="Times New Roman" w:cs="Times New Roman"/>
          <w:sz w:val="24"/>
          <w:szCs w:val="24"/>
        </w:rPr>
        <w:t xml:space="preserve">I agree with Mr </w:t>
      </w:r>
      <w:r w:rsidR="00FC5772" w:rsidRPr="00C12279">
        <w:rPr>
          <w:rFonts w:ascii="Times New Roman" w:hAnsi="Times New Roman" w:cs="Times New Roman"/>
          <w:i/>
          <w:sz w:val="24"/>
          <w:szCs w:val="24"/>
        </w:rPr>
        <w:t>Magwalib</w:t>
      </w:r>
      <w:r w:rsidR="00FC5772" w:rsidRPr="00C12279">
        <w:rPr>
          <w:rFonts w:ascii="Times New Roman" w:hAnsi="Times New Roman" w:cs="Times New Roman"/>
          <w:sz w:val="24"/>
          <w:szCs w:val="24"/>
        </w:rPr>
        <w:t>a that the genesis of the provisions s 24 of the I</w:t>
      </w:r>
      <w:r w:rsidR="00C45241">
        <w:rPr>
          <w:rFonts w:ascii="Times New Roman" w:hAnsi="Times New Roman" w:cs="Times New Roman"/>
          <w:sz w:val="24"/>
          <w:szCs w:val="24"/>
        </w:rPr>
        <w:t>ncome Tax Act can be traced back to</w:t>
      </w:r>
      <w:r w:rsidR="00FC5772" w:rsidRPr="00C12279">
        <w:rPr>
          <w:rFonts w:ascii="Times New Roman" w:hAnsi="Times New Roman" w:cs="Times New Roman"/>
          <w:sz w:val="24"/>
          <w:szCs w:val="24"/>
        </w:rPr>
        <w:t xml:space="preserve"> English Company Law. </w:t>
      </w:r>
      <w:r w:rsidR="004A5DDE" w:rsidRPr="00C12279">
        <w:rPr>
          <w:rFonts w:ascii="Times New Roman" w:hAnsi="Times New Roman" w:cs="Times New Roman"/>
          <w:sz w:val="24"/>
          <w:szCs w:val="24"/>
        </w:rPr>
        <w:t xml:space="preserve">Incorporated companies, whether related or independent had always been regarded as separate and distinct entities. </w:t>
      </w:r>
      <w:r w:rsidR="00B616C6" w:rsidRPr="00C12279">
        <w:rPr>
          <w:rFonts w:ascii="Times New Roman" w:hAnsi="Times New Roman" w:cs="Times New Roman"/>
          <w:sz w:val="24"/>
          <w:szCs w:val="24"/>
        </w:rPr>
        <w:t>In time, in order to answer the</w:t>
      </w:r>
      <w:r w:rsidR="008932DF" w:rsidRPr="00C12279">
        <w:rPr>
          <w:rFonts w:ascii="Times New Roman" w:hAnsi="Times New Roman" w:cs="Times New Roman"/>
          <w:sz w:val="24"/>
          <w:szCs w:val="24"/>
        </w:rPr>
        <w:t xml:space="preserve"> pressing questions raised by the conduct of related parties and especially holding companies and </w:t>
      </w:r>
      <w:r w:rsidR="00B616C6" w:rsidRPr="00C12279">
        <w:rPr>
          <w:rFonts w:ascii="Times New Roman" w:hAnsi="Times New Roman" w:cs="Times New Roman"/>
          <w:sz w:val="24"/>
          <w:szCs w:val="24"/>
        </w:rPr>
        <w:t xml:space="preserve">their </w:t>
      </w:r>
      <w:r w:rsidR="008932DF" w:rsidRPr="00C12279">
        <w:rPr>
          <w:rFonts w:ascii="Times New Roman" w:hAnsi="Times New Roman" w:cs="Times New Roman"/>
          <w:sz w:val="24"/>
          <w:szCs w:val="24"/>
        </w:rPr>
        <w:t xml:space="preserve">subsidiaries </w:t>
      </w:r>
      <w:r w:rsidR="00556149" w:rsidRPr="00C12279">
        <w:rPr>
          <w:rFonts w:ascii="Times New Roman" w:hAnsi="Times New Roman" w:cs="Times New Roman"/>
          <w:sz w:val="24"/>
          <w:szCs w:val="24"/>
        </w:rPr>
        <w:t>the English courts imported the concepts of assignment and agency into the relationship and this was quickly adopted by bot</w:t>
      </w:r>
      <w:r w:rsidR="000B6055" w:rsidRPr="00C12279">
        <w:rPr>
          <w:rFonts w:ascii="Times New Roman" w:hAnsi="Times New Roman" w:cs="Times New Roman"/>
          <w:sz w:val="24"/>
          <w:szCs w:val="24"/>
        </w:rPr>
        <w:t>h</w:t>
      </w:r>
      <w:r w:rsidR="00556149" w:rsidRPr="00C12279">
        <w:rPr>
          <w:rFonts w:ascii="Times New Roman" w:hAnsi="Times New Roman" w:cs="Times New Roman"/>
          <w:sz w:val="24"/>
          <w:szCs w:val="24"/>
        </w:rPr>
        <w:t xml:space="preserve"> the South African and Zimbabwean courts. Expressions such as an assignee</w:t>
      </w:r>
      <w:r w:rsidR="00B616C6" w:rsidRPr="00C12279">
        <w:rPr>
          <w:rFonts w:ascii="Times New Roman" w:hAnsi="Times New Roman" w:cs="Times New Roman"/>
          <w:sz w:val="24"/>
          <w:szCs w:val="24"/>
        </w:rPr>
        <w:t xml:space="preserve"> of the holding companies</w:t>
      </w:r>
      <w:r w:rsidR="008932DF" w:rsidRPr="00C12279">
        <w:rPr>
          <w:rStyle w:val="FootnoteReference"/>
          <w:rFonts w:ascii="Times New Roman" w:hAnsi="Times New Roman" w:cs="Times New Roman"/>
          <w:sz w:val="24"/>
          <w:szCs w:val="24"/>
        </w:rPr>
        <w:footnoteReference w:id="43"/>
      </w:r>
      <w:r w:rsidR="00556149" w:rsidRPr="00C12279">
        <w:rPr>
          <w:rFonts w:ascii="Times New Roman" w:hAnsi="Times New Roman" w:cs="Times New Roman"/>
          <w:sz w:val="24"/>
          <w:szCs w:val="24"/>
        </w:rPr>
        <w:t xml:space="preserve">, </w:t>
      </w:r>
      <w:r w:rsidR="00533D63" w:rsidRPr="00C12279">
        <w:rPr>
          <w:rFonts w:ascii="Times New Roman" w:hAnsi="Times New Roman" w:cs="Times New Roman"/>
          <w:sz w:val="24"/>
          <w:szCs w:val="24"/>
        </w:rPr>
        <w:t>“an agent of the holding company…….conducting its business for it”</w:t>
      </w:r>
      <w:r w:rsidR="00533D63" w:rsidRPr="00C12279">
        <w:rPr>
          <w:rStyle w:val="FootnoteReference"/>
          <w:rFonts w:ascii="Times New Roman" w:hAnsi="Times New Roman" w:cs="Times New Roman"/>
          <w:sz w:val="24"/>
          <w:szCs w:val="24"/>
        </w:rPr>
        <w:footnoteReference w:id="44"/>
      </w:r>
      <w:r w:rsidR="00556149" w:rsidRPr="00C12279">
        <w:rPr>
          <w:rFonts w:ascii="Times New Roman" w:hAnsi="Times New Roman" w:cs="Times New Roman"/>
          <w:sz w:val="24"/>
          <w:szCs w:val="24"/>
        </w:rPr>
        <w:t xml:space="preserve"> and</w:t>
      </w:r>
      <w:r w:rsidR="00533D63" w:rsidRPr="00C12279">
        <w:rPr>
          <w:rFonts w:ascii="Times New Roman" w:hAnsi="Times New Roman" w:cs="Times New Roman"/>
          <w:sz w:val="24"/>
          <w:szCs w:val="24"/>
        </w:rPr>
        <w:t xml:space="preserve"> “one economic entities”</w:t>
      </w:r>
      <w:r w:rsidR="00C57311" w:rsidRPr="00C12279">
        <w:rPr>
          <w:rStyle w:val="FootnoteReference"/>
          <w:rFonts w:ascii="Times New Roman" w:hAnsi="Times New Roman" w:cs="Times New Roman"/>
          <w:sz w:val="24"/>
          <w:szCs w:val="24"/>
        </w:rPr>
        <w:footnoteReference w:id="45"/>
      </w:r>
      <w:r w:rsidR="00D668BA" w:rsidRPr="00C12279">
        <w:rPr>
          <w:rFonts w:ascii="Times New Roman" w:hAnsi="Times New Roman" w:cs="Times New Roman"/>
          <w:sz w:val="24"/>
          <w:szCs w:val="24"/>
        </w:rPr>
        <w:t xml:space="preserve"> were used to remove the separate and distinct nature of these corporate entities</w:t>
      </w:r>
      <w:r w:rsidR="007E4A12" w:rsidRPr="00C12279">
        <w:rPr>
          <w:rFonts w:ascii="Times New Roman" w:hAnsi="Times New Roman" w:cs="Times New Roman"/>
          <w:sz w:val="24"/>
          <w:szCs w:val="24"/>
        </w:rPr>
        <w:t xml:space="preserve">. </w:t>
      </w:r>
      <w:r w:rsidR="00D668BA" w:rsidRPr="00C12279">
        <w:rPr>
          <w:rFonts w:ascii="Times New Roman" w:hAnsi="Times New Roman" w:cs="Times New Roman"/>
          <w:sz w:val="24"/>
          <w:szCs w:val="24"/>
        </w:rPr>
        <w:t>While the facts of each case in which these expressions were used were different from the present case, the principles derived from these cases resulted in the legislative intervention crystallised in s 24 of the Income Tax Act that sought to treat the activities of subsidiaries that shared management, control and capital and that breached the arm’s length p</w:t>
      </w:r>
      <w:r w:rsidR="00CA5B9B">
        <w:rPr>
          <w:rFonts w:ascii="Times New Roman" w:hAnsi="Times New Roman" w:cs="Times New Roman"/>
          <w:sz w:val="24"/>
          <w:szCs w:val="24"/>
        </w:rPr>
        <w:t>rinciple as “one economic entities</w:t>
      </w:r>
      <w:r w:rsidR="00A3718D" w:rsidRPr="00C12279">
        <w:rPr>
          <w:rFonts w:ascii="Times New Roman" w:hAnsi="Times New Roman" w:cs="Times New Roman"/>
          <w:sz w:val="24"/>
          <w:szCs w:val="24"/>
        </w:rPr>
        <w:t>”</w:t>
      </w:r>
      <w:r w:rsidR="00D668BA" w:rsidRPr="00C12279">
        <w:rPr>
          <w:rFonts w:ascii="Times New Roman" w:hAnsi="Times New Roman" w:cs="Times New Roman"/>
          <w:sz w:val="24"/>
          <w:szCs w:val="24"/>
        </w:rPr>
        <w:t xml:space="preserve">. </w:t>
      </w:r>
    </w:p>
    <w:p w14:paraId="625D997A" w14:textId="47689668" w:rsidR="001C5B40" w:rsidRPr="00C12279" w:rsidRDefault="00621C67" w:rsidP="006933C3">
      <w:pPr>
        <w:spacing w:after="0" w:line="360" w:lineRule="auto"/>
        <w:ind w:firstLine="720"/>
        <w:jc w:val="both"/>
        <w:rPr>
          <w:rFonts w:ascii="Times New Roman" w:hAnsi="Times New Roman" w:cs="Times New Roman"/>
          <w:i/>
          <w:sz w:val="24"/>
          <w:szCs w:val="24"/>
        </w:rPr>
      </w:pPr>
      <w:r w:rsidRPr="00C12279">
        <w:rPr>
          <w:rFonts w:ascii="Times New Roman" w:hAnsi="Times New Roman" w:cs="Times New Roman"/>
          <w:sz w:val="24"/>
          <w:szCs w:val="24"/>
        </w:rPr>
        <w:t>I do not think that t</w:t>
      </w:r>
      <w:r w:rsidR="001C5B40" w:rsidRPr="00C12279">
        <w:rPr>
          <w:rFonts w:ascii="Times New Roman" w:hAnsi="Times New Roman" w:cs="Times New Roman"/>
          <w:sz w:val="24"/>
          <w:szCs w:val="24"/>
        </w:rPr>
        <w:t>he respondent</w:t>
      </w:r>
      <w:r w:rsidRPr="00C12279">
        <w:rPr>
          <w:rFonts w:ascii="Times New Roman" w:hAnsi="Times New Roman" w:cs="Times New Roman"/>
          <w:sz w:val="24"/>
          <w:szCs w:val="24"/>
        </w:rPr>
        <w:t>’s legal right to invoke</w:t>
      </w:r>
      <w:r w:rsidR="001C5B40" w:rsidRPr="00C12279">
        <w:rPr>
          <w:rFonts w:ascii="Times New Roman" w:hAnsi="Times New Roman" w:cs="Times New Roman"/>
          <w:sz w:val="24"/>
          <w:szCs w:val="24"/>
        </w:rPr>
        <w:t xml:space="preserve"> the provisions of s 24 in making the adjustments to the appellant’s tax liability </w:t>
      </w:r>
      <w:r w:rsidRPr="00C12279">
        <w:rPr>
          <w:rFonts w:ascii="Times New Roman" w:hAnsi="Times New Roman" w:cs="Times New Roman"/>
          <w:sz w:val="24"/>
          <w:szCs w:val="24"/>
        </w:rPr>
        <w:t>arisin</w:t>
      </w:r>
      <w:r w:rsidR="000129F3" w:rsidRPr="00C12279">
        <w:rPr>
          <w:rFonts w:ascii="Times New Roman" w:hAnsi="Times New Roman" w:cs="Times New Roman"/>
          <w:sz w:val="24"/>
          <w:szCs w:val="24"/>
        </w:rPr>
        <w:t>g from either the failure</w:t>
      </w:r>
      <w:r w:rsidRPr="00C12279">
        <w:rPr>
          <w:rFonts w:ascii="Times New Roman" w:hAnsi="Times New Roman" w:cs="Times New Roman"/>
          <w:sz w:val="24"/>
          <w:szCs w:val="24"/>
        </w:rPr>
        <w:t xml:space="preserve"> to declare all the income earned or claiming unjustified deductions can be gainsaid.  </w:t>
      </w:r>
      <w:r w:rsidR="001C5B40" w:rsidRPr="00C12279">
        <w:rPr>
          <w:rFonts w:ascii="Times New Roman" w:hAnsi="Times New Roman" w:cs="Times New Roman"/>
          <w:sz w:val="24"/>
          <w:szCs w:val="24"/>
        </w:rPr>
        <w:t>The section stipulates that:</w:t>
      </w:r>
    </w:p>
    <w:p w14:paraId="3BD5D44F" w14:textId="74E44872" w:rsidR="001C5B40" w:rsidRPr="006933C3" w:rsidRDefault="006933C3" w:rsidP="006933C3">
      <w:pPr>
        <w:autoSpaceDE w:val="0"/>
        <w:autoSpaceDN w:val="0"/>
        <w:adjustRightInd w:val="0"/>
        <w:spacing w:after="0" w:line="240" w:lineRule="auto"/>
        <w:ind w:left="720"/>
        <w:jc w:val="both"/>
        <w:rPr>
          <w:rFonts w:ascii="Times New Roman" w:hAnsi="Times New Roman" w:cs="Times New Roman"/>
          <w:b/>
          <w:bCs/>
        </w:rPr>
      </w:pPr>
      <w:r>
        <w:rPr>
          <w:rFonts w:ascii="Times New Roman" w:hAnsi="Times New Roman" w:cs="Times New Roman"/>
          <w:b/>
          <w:bCs/>
          <w:sz w:val="24"/>
          <w:szCs w:val="24"/>
        </w:rPr>
        <w:t>“</w:t>
      </w:r>
      <w:r w:rsidR="001C5B40" w:rsidRPr="006933C3">
        <w:rPr>
          <w:rFonts w:ascii="Times New Roman" w:hAnsi="Times New Roman" w:cs="Times New Roman"/>
          <w:b/>
          <w:bCs/>
        </w:rPr>
        <w:t>24 Special provisions relating to determination of taxable income in accordance with double taxation agreements</w:t>
      </w:r>
    </w:p>
    <w:p w14:paraId="153E9F43" w14:textId="77777777" w:rsidR="001C5B40" w:rsidRPr="006933C3" w:rsidRDefault="001C5B40" w:rsidP="006933C3">
      <w:pPr>
        <w:autoSpaceDE w:val="0"/>
        <w:autoSpaceDN w:val="0"/>
        <w:adjustRightInd w:val="0"/>
        <w:spacing w:after="0" w:line="240" w:lineRule="auto"/>
        <w:ind w:firstLine="720"/>
        <w:jc w:val="both"/>
        <w:rPr>
          <w:rFonts w:ascii="Times New Roman" w:hAnsi="Times New Roman" w:cs="Times New Roman"/>
        </w:rPr>
      </w:pPr>
      <w:r w:rsidRPr="006933C3">
        <w:rPr>
          <w:rFonts w:ascii="Times New Roman" w:hAnsi="Times New Roman" w:cs="Times New Roman"/>
        </w:rPr>
        <w:t>The Commissioner may—</w:t>
      </w:r>
    </w:p>
    <w:p w14:paraId="1E708889" w14:textId="77777777" w:rsidR="001C5B40" w:rsidRPr="006933C3" w:rsidRDefault="001C5B40" w:rsidP="006933C3">
      <w:pPr>
        <w:autoSpaceDE w:val="0"/>
        <w:autoSpaceDN w:val="0"/>
        <w:adjustRightInd w:val="0"/>
        <w:spacing w:after="0" w:line="240" w:lineRule="auto"/>
        <w:ind w:firstLine="720"/>
        <w:jc w:val="both"/>
        <w:rPr>
          <w:rFonts w:ascii="Times New Roman" w:hAnsi="Times New Roman" w:cs="Times New Roman"/>
        </w:rPr>
      </w:pPr>
      <w:r w:rsidRPr="006933C3">
        <w:rPr>
          <w:rFonts w:ascii="Times New Roman" w:hAnsi="Times New Roman" w:cs="Times New Roman"/>
        </w:rPr>
        <w:t>(</w:t>
      </w:r>
      <w:r w:rsidRPr="006933C3">
        <w:rPr>
          <w:rFonts w:ascii="Times New Roman" w:hAnsi="Times New Roman" w:cs="Times New Roman"/>
          <w:i/>
          <w:iCs/>
        </w:rPr>
        <w:t>a</w:t>
      </w:r>
      <w:r w:rsidRPr="006933C3">
        <w:rPr>
          <w:rFonts w:ascii="Times New Roman" w:hAnsi="Times New Roman" w:cs="Times New Roman"/>
        </w:rPr>
        <w:t>)  if any person—</w:t>
      </w:r>
    </w:p>
    <w:p w14:paraId="5E32B647" w14:textId="77777777" w:rsidR="001C5B40" w:rsidRPr="006933C3" w:rsidRDefault="001C5B40" w:rsidP="001C5B40">
      <w:pPr>
        <w:autoSpaceDE w:val="0"/>
        <w:autoSpaceDN w:val="0"/>
        <w:adjustRightInd w:val="0"/>
        <w:spacing w:after="0" w:line="240" w:lineRule="auto"/>
        <w:ind w:left="1440" w:hanging="720"/>
        <w:jc w:val="both"/>
        <w:rPr>
          <w:rFonts w:ascii="Times New Roman" w:hAnsi="Times New Roman" w:cs="Times New Roman"/>
        </w:rPr>
      </w:pPr>
      <w:r w:rsidRPr="006933C3">
        <w:rPr>
          <w:rFonts w:ascii="Times New Roman" w:hAnsi="Times New Roman" w:cs="Times New Roman"/>
        </w:rPr>
        <w:t xml:space="preserve">(i) </w:t>
      </w:r>
      <w:r w:rsidRPr="006933C3">
        <w:rPr>
          <w:rFonts w:ascii="Times New Roman" w:hAnsi="Times New Roman" w:cs="Times New Roman"/>
        </w:rPr>
        <w:tab/>
        <w:t>carrying on business in Zimbabwe participates directly or indirectly in the management, control or capital of a business carried on by some other person outside Zimbabwe; or</w:t>
      </w:r>
    </w:p>
    <w:p w14:paraId="5A8798B5" w14:textId="77777777" w:rsidR="001C5B40" w:rsidRPr="006933C3" w:rsidRDefault="001C5B40" w:rsidP="001C5B40">
      <w:pPr>
        <w:autoSpaceDE w:val="0"/>
        <w:autoSpaceDN w:val="0"/>
        <w:adjustRightInd w:val="0"/>
        <w:spacing w:after="0" w:line="240" w:lineRule="auto"/>
        <w:ind w:left="1440" w:hanging="720"/>
        <w:jc w:val="both"/>
        <w:rPr>
          <w:rFonts w:ascii="Times New Roman" w:hAnsi="Times New Roman" w:cs="Times New Roman"/>
        </w:rPr>
      </w:pPr>
      <w:r w:rsidRPr="006933C3">
        <w:rPr>
          <w:rFonts w:ascii="Times New Roman" w:hAnsi="Times New Roman" w:cs="Times New Roman"/>
        </w:rPr>
        <w:t>(ii)</w:t>
      </w:r>
      <w:r w:rsidRPr="006933C3">
        <w:rPr>
          <w:rFonts w:ascii="Times New Roman" w:hAnsi="Times New Roman" w:cs="Times New Roman"/>
        </w:rPr>
        <w:tab/>
        <w:t xml:space="preserve"> carrying on business outside Zimbabwe participates directly or indirectly in the management, control or capital of a business carried on by some other person in Zimbabwe; or</w:t>
      </w:r>
    </w:p>
    <w:p w14:paraId="1EFA4C92" w14:textId="77777777" w:rsidR="001C5B40" w:rsidRPr="006933C3" w:rsidRDefault="001C5B40" w:rsidP="001C5B40">
      <w:pPr>
        <w:autoSpaceDE w:val="0"/>
        <w:autoSpaceDN w:val="0"/>
        <w:adjustRightInd w:val="0"/>
        <w:spacing w:after="0" w:line="240" w:lineRule="auto"/>
        <w:ind w:left="1440" w:hanging="720"/>
        <w:jc w:val="both"/>
        <w:rPr>
          <w:rFonts w:ascii="Times New Roman" w:hAnsi="Times New Roman" w:cs="Times New Roman"/>
        </w:rPr>
      </w:pPr>
      <w:r w:rsidRPr="00C12279">
        <w:rPr>
          <w:rFonts w:ascii="Times New Roman" w:hAnsi="Times New Roman" w:cs="Times New Roman"/>
          <w:sz w:val="24"/>
          <w:szCs w:val="24"/>
        </w:rPr>
        <w:t xml:space="preserve">(iii) </w:t>
      </w:r>
      <w:r w:rsidRPr="00C12279">
        <w:rPr>
          <w:rFonts w:ascii="Times New Roman" w:hAnsi="Times New Roman" w:cs="Times New Roman"/>
          <w:sz w:val="24"/>
          <w:szCs w:val="24"/>
        </w:rPr>
        <w:tab/>
      </w:r>
      <w:r w:rsidRPr="006933C3">
        <w:rPr>
          <w:rFonts w:ascii="Times New Roman" w:hAnsi="Times New Roman" w:cs="Times New Roman"/>
        </w:rPr>
        <w:t>participates directly or indirectly in the management, control or capital both of a business carried on in Zimbabwe by some other person and of a business carried on outside Zimbabwe by some other person; and</w:t>
      </w:r>
    </w:p>
    <w:p w14:paraId="03583756" w14:textId="77777777" w:rsidR="001C5B40" w:rsidRPr="006933C3" w:rsidRDefault="001C5B40" w:rsidP="006933C3">
      <w:pPr>
        <w:autoSpaceDE w:val="0"/>
        <w:autoSpaceDN w:val="0"/>
        <w:adjustRightInd w:val="0"/>
        <w:spacing w:after="0" w:line="240" w:lineRule="auto"/>
        <w:ind w:left="720"/>
        <w:jc w:val="both"/>
        <w:rPr>
          <w:rFonts w:ascii="Times New Roman" w:hAnsi="Times New Roman" w:cs="Times New Roman"/>
        </w:rPr>
      </w:pPr>
      <w:r w:rsidRPr="006933C3">
        <w:rPr>
          <w:rFonts w:ascii="Times New Roman" w:hAnsi="Times New Roman" w:cs="Times New Roman"/>
        </w:rPr>
        <w:t>(</w:t>
      </w:r>
      <w:r w:rsidRPr="006933C3">
        <w:rPr>
          <w:rFonts w:ascii="Times New Roman" w:hAnsi="Times New Roman" w:cs="Times New Roman"/>
          <w:i/>
          <w:iCs/>
        </w:rPr>
        <w:t>b</w:t>
      </w:r>
      <w:r w:rsidR="00AD1E37" w:rsidRPr="006933C3">
        <w:rPr>
          <w:rFonts w:ascii="Times New Roman" w:hAnsi="Times New Roman" w:cs="Times New Roman"/>
        </w:rPr>
        <w:t>)</w:t>
      </w:r>
      <w:r w:rsidR="00AD1E37" w:rsidRPr="006933C3">
        <w:rPr>
          <w:rFonts w:ascii="Times New Roman" w:hAnsi="Times New Roman" w:cs="Times New Roman"/>
        </w:rPr>
        <w:tab/>
      </w:r>
      <w:r w:rsidRPr="006933C3">
        <w:rPr>
          <w:rFonts w:ascii="Times New Roman" w:hAnsi="Times New Roman" w:cs="Times New Roman"/>
        </w:rPr>
        <w:t>if conditions are made or imposed between any of the persons mentioned in paragraph (</w:t>
      </w:r>
      <w:r w:rsidRPr="006933C3">
        <w:rPr>
          <w:rFonts w:ascii="Times New Roman" w:hAnsi="Times New Roman" w:cs="Times New Roman"/>
          <w:i/>
          <w:iCs/>
        </w:rPr>
        <w:t>a</w:t>
      </w:r>
      <w:r w:rsidRPr="006933C3">
        <w:rPr>
          <w:rFonts w:ascii="Times New Roman" w:hAnsi="Times New Roman" w:cs="Times New Roman"/>
        </w:rPr>
        <w:t xml:space="preserve">) in their business or financial relations which, in the opinion of the </w:t>
      </w:r>
      <w:r w:rsidRPr="006933C3">
        <w:rPr>
          <w:rFonts w:ascii="Times New Roman" w:hAnsi="Times New Roman" w:cs="Times New Roman"/>
        </w:rPr>
        <w:lastRenderedPageBreak/>
        <w:t>Commissioner, differ from those which would be made between two persons dealing with each other at arm’s length;</w:t>
      </w:r>
    </w:p>
    <w:p w14:paraId="6A4F9DDB" w14:textId="05CBB8E2" w:rsidR="001C5B40" w:rsidRPr="006933C3" w:rsidRDefault="001C5B40" w:rsidP="006933C3">
      <w:pPr>
        <w:autoSpaceDE w:val="0"/>
        <w:autoSpaceDN w:val="0"/>
        <w:adjustRightInd w:val="0"/>
        <w:spacing w:after="0" w:line="240" w:lineRule="auto"/>
        <w:ind w:left="720"/>
        <w:jc w:val="both"/>
        <w:rPr>
          <w:rFonts w:ascii="Times New Roman" w:hAnsi="Times New Roman" w:cs="Times New Roman"/>
        </w:rPr>
      </w:pPr>
      <w:r w:rsidRPr="006933C3">
        <w:rPr>
          <w:rFonts w:ascii="Times New Roman" w:hAnsi="Times New Roman" w:cs="Times New Roman"/>
        </w:rPr>
        <w:t>determine the taxable income of the person carrying on business in Zimbabwe as if such conditions had not been made or imposed but in accordance with the conditions which, in the opinion of the Commissioner, might be expected to have been made or imposed between two persons dealing with each other at arm’s length.</w:t>
      </w:r>
      <w:r w:rsidR="006933C3" w:rsidRPr="006933C3">
        <w:rPr>
          <w:rFonts w:ascii="Times New Roman" w:hAnsi="Times New Roman" w:cs="Times New Roman"/>
        </w:rPr>
        <w:t>”</w:t>
      </w:r>
    </w:p>
    <w:p w14:paraId="1E065688" w14:textId="77777777" w:rsidR="00463CD6" w:rsidRPr="006933C3" w:rsidRDefault="00463CD6" w:rsidP="001C5B40">
      <w:pPr>
        <w:jc w:val="both"/>
        <w:rPr>
          <w:rFonts w:ascii="Times New Roman" w:hAnsi="Times New Roman" w:cs="Times New Roman"/>
        </w:rPr>
      </w:pPr>
    </w:p>
    <w:p w14:paraId="0B67BC91" w14:textId="77777777" w:rsidR="002677AC" w:rsidRPr="00C12279" w:rsidRDefault="002677AC" w:rsidP="006933C3">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first point to note is the anomalous reference in the heading to double taxation agreements which is not embodied in the provisions of the section. I agree with the submission by Mr </w:t>
      </w:r>
      <w:r w:rsidRPr="00C12279">
        <w:rPr>
          <w:rFonts w:ascii="Times New Roman" w:hAnsi="Times New Roman" w:cs="Times New Roman"/>
          <w:i/>
          <w:sz w:val="24"/>
          <w:szCs w:val="24"/>
        </w:rPr>
        <w:t>de Bourbon</w:t>
      </w:r>
      <w:r w:rsidRPr="00C12279">
        <w:rPr>
          <w:rFonts w:ascii="Times New Roman" w:hAnsi="Times New Roman" w:cs="Times New Roman"/>
          <w:sz w:val="24"/>
          <w:szCs w:val="24"/>
        </w:rPr>
        <w:t xml:space="preserve"> that by virtue of s 7 (a) of the Interpretation Act </w:t>
      </w:r>
      <w:r w:rsidRPr="00C12279">
        <w:rPr>
          <w:rFonts w:ascii="Times New Roman" w:hAnsi="Times New Roman" w:cs="Times New Roman"/>
          <w:i/>
          <w:sz w:val="24"/>
          <w:szCs w:val="24"/>
        </w:rPr>
        <w:t>[Chapter 1:01]</w:t>
      </w:r>
      <w:r w:rsidRPr="00C12279">
        <w:rPr>
          <w:rFonts w:ascii="Times New Roman" w:hAnsi="Times New Roman" w:cs="Times New Roman"/>
          <w:sz w:val="24"/>
          <w:szCs w:val="24"/>
        </w:rPr>
        <w:t xml:space="preserve"> the reference to double taxation agreements should be disregarded in construing the section. </w:t>
      </w:r>
    </w:p>
    <w:p w14:paraId="23D924BA" w14:textId="77777777" w:rsidR="003C7D9B" w:rsidRPr="00C12279" w:rsidRDefault="00BD1036" w:rsidP="001C5B40">
      <w:pPr>
        <w:jc w:val="both"/>
        <w:rPr>
          <w:rFonts w:ascii="Times New Roman" w:hAnsi="Times New Roman" w:cs="Times New Roman"/>
          <w:b/>
          <w:sz w:val="24"/>
          <w:szCs w:val="24"/>
        </w:rPr>
      </w:pPr>
      <w:r w:rsidRPr="00C12279">
        <w:rPr>
          <w:rFonts w:ascii="Times New Roman" w:hAnsi="Times New Roman" w:cs="Times New Roman"/>
          <w:b/>
          <w:sz w:val="24"/>
          <w:szCs w:val="24"/>
        </w:rPr>
        <w:t>The onus</w:t>
      </w:r>
    </w:p>
    <w:p w14:paraId="6485950A" w14:textId="318A6130" w:rsidR="001D1004" w:rsidRPr="00C12279" w:rsidRDefault="006A4419" w:rsidP="006933C3">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Mr </w:t>
      </w:r>
      <w:r w:rsidRPr="00C12279">
        <w:rPr>
          <w:rFonts w:ascii="Times New Roman" w:hAnsi="Times New Roman" w:cs="Times New Roman"/>
          <w:i/>
          <w:sz w:val="24"/>
          <w:szCs w:val="24"/>
        </w:rPr>
        <w:t>de Bourbon</w:t>
      </w:r>
      <w:r w:rsidRPr="00C12279">
        <w:rPr>
          <w:rFonts w:ascii="Times New Roman" w:hAnsi="Times New Roman" w:cs="Times New Roman"/>
          <w:sz w:val="24"/>
          <w:szCs w:val="24"/>
        </w:rPr>
        <w:t xml:space="preserve"> submitted </w:t>
      </w:r>
      <w:r w:rsidR="00876BED" w:rsidRPr="00C12279">
        <w:rPr>
          <w:rFonts w:ascii="Times New Roman" w:hAnsi="Times New Roman" w:cs="Times New Roman"/>
          <w:sz w:val="24"/>
          <w:szCs w:val="24"/>
        </w:rPr>
        <w:t xml:space="preserve">on the authority of </w:t>
      </w:r>
      <w:r w:rsidR="00876BED" w:rsidRPr="00C12279">
        <w:rPr>
          <w:rFonts w:ascii="Times New Roman" w:hAnsi="Times New Roman" w:cs="Times New Roman"/>
          <w:i/>
          <w:sz w:val="24"/>
          <w:szCs w:val="24"/>
        </w:rPr>
        <w:t xml:space="preserve">Commissioner for Inland Revenue </w:t>
      </w:r>
      <w:r w:rsidR="00876BED" w:rsidRPr="006933C3">
        <w:rPr>
          <w:rFonts w:ascii="Times New Roman" w:hAnsi="Times New Roman" w:cs="Times New Roman"/>
          <w:sz w:val="24"/>
          <w:szCs w:val="24"/>
        </w:rPr>
        <w:t xml:space="preserve">v </w:t>
      </w:r>
      <w:r w:rsidR="00876BED" w:rsidRPr="00C12279">
        <w:rPr>
          <w:rFonts w:ascii="Times New Roman" w:hAnsi="Times New Roman" w:cs="Times New Roman"/>
          <w:i/>
          <w:sz w:val="24"/>
          <w:szCs w:val="24"/>
        </w:rPr>
        <w:t xml:space="preserve">Conhage (Pty) Ltd (formerly Tycon (Pty) Ltd </w:t>
      </w:r>
      <w:r w:rsidR="00876BED" w:rsidRPr="00C12279">
        <w:rPr>
          <w:rFonts w:ascii="Times New Roman" w:hAnsi="Times New Roman" w:cs="Times New Roman"/>
          <w:sz w:val="24"/>
          <w:szCs w:val="24"/>
        </w:rPr>
        <w:t xml:space="preserve">1999 (4) SA 1149 (SCA) at 1159-60 paras [11] and [12]; 61 SATC 391 (SCA) at 397 </w:t>
      </w:r>
      <w:r w:rsidRPr="00C12279">
        <w:rPr>
          <w:rFonts w:ascii="Times New Roman" w:hAnsi="Times New Roman" w:cs="Times New Roman"/>
          <w:sz w:val="24"/>
          <w:szCs w:val="24"/>
        </w:rPr>
        <w:t xml:space="preserve">that the onus was on the Commissioner to show </w:t>
      </w:r>
      <w:r w:rsidR="00876BED" w:rsidRPr="00C12279">
        <w:rPr>
          <w:rFonts w:ascii="Times New Roman" w:hAnsi="Times New Roman" w:cs="Times New Roman"/>
          <w:sz w:val="24"/>
          <w:szCs w:val="24"/>
        </w:rPr>
        <w:t xml:space="preserve">on a balance of probabilities </w:t>
      </w:r>
      <w:r w:rsidRPr="00C12279">
        <w:rPr>
          <w:rFonts w:ascii="Times New Roman" w:hAnsi="Times New Roman" w:cs="Times New Roman"/>
          <w:sz w:val="24"/>
          <w:szCs w:val="24"/>
        </w:rPr>
        <w:t xml:space="preserve">that the arrangements between the two related parties in question were not at arm’s length. </w:t>
      </w:r>
      <w:r w:rsidR="004E0361" w:rsidRPr="00C12279">
        <w:rPr>
          <w:rFonts w:ascii="Times New Roman" w:hAnsi="Times New Roman" w:cs="Times New Roman"/>
          <w:sz w:val="24"/>
          <w:szCs w:val="24"/>
        </w:rPr>
        <w:t xml:space="preserve">I declined to follow the South African position in </w:t>
      </w:r>
      <w:r w:rsidR="004E0361" w:rsidRPr="00C12279">
        <w:rPr>
          <w:rFonts w:ascii="Times New Roman" w:hAnsi="Times New Roman" w:cs="Times New Roman"/>
          <w:i/>
          <w:sz w:val="24"/>
          <w:szCs w:val="24"/>
        </w:rPr>
        <w:t xml:space="preserve">CRS (Pvt) Ltd </w:t>
      </w:r>
      <w:r w:rsidR="004E0361" w:rsidRPr="006933C3">
        <w:rPr>
          <w:rFonts w:ascii="Times New Roman" w:hAnsi="Times New Roman" w:cs="Times New Roman"/>
          <w:sz w:val="24"/>
          <w:szCs w:val="24"/>
        </w:rPr>
        <w:t xml:space="preserve">v </w:t>
      </w:r>
      <w:r w:rsidR="004E0361" w:rsidRPr="00C12279">
        <w:rPr>
          <w:rFonts w:ascii="Times New Roman" w:hAnsi="Times New Roman" w:cs="Times New Roman"/>
          <w:i/>
          <w:sz w:val="24"/>
          <w:szCs w:val="24"/>
        </w:rPr>
        <w:t>Zimbabwe Revenue Authority</w:t>
      </w:r>
      <w:r w:rsidR="004E0361" w:rsidRPr="00C12279">
        <w:rPr>
          <w:rFonts w:ascii="Times New Roman" w:hAnsi="Times New Roman" w:cs="Times New Roman"/>
          <w:sz w:val="24"/>
          <w:szCs w:val="24"/>
        </w:rPr>
        <w:t xml:space="preserve"> HH 728/2017 at p13-14 of the cyclostyled judgment. </w:t>
      </w:r>
      <w:r w:rsidR="00DA3047" w:rsidRPr="00C12279">
        <w:rPr>
          <w:rFonts w:ascii="Times New Roman" w:hAnsi="Times New Roman" w:cs="Times New Roman"/>
          <w:sz w:val="24"/>
          <w:szCs w:val="24"/>
        </w:rPr>
        <w:t xml:space="preserve">For the reasons set out in that case I </w:t>
      </w:r>
      <w:r w:rsidR="00876BED" w:rsidRPr="00C12279">
        <w:rPr>
          <w:rFonts w:ascii="Times New Roman" w:hAnsi="Times New Roman" w:cs="Times New Roman"/>
          <w:sz w:val="24"/>
          <w:szCs w:val="24"/>
        </w:rPr>
        <w:t xml:space="preserve">remain of the view </w:t>
      </w:r>
      <w:r w:rsidR="00DA3047" w:rsidRPr="00C12279">
        <w:rPr>
          <w:rFonts w:ascii="Times New Roman" w:hAnsi="Times New Roman" w:cs="Times New Roman"/>
          <w:sz w:val="24"/>
          <w:szCs w:val="24"/>
        </w:rPr>
        <w:t xml:space="preserve">that the onus provisions of s 63 govern the interpretation of s 24 </w:t>
      </w:r>
      <w:r w:rsidR="00876BED" w:rsidRPr="00C12279">
        <w:rPr>
          <w:rFonts w:ascii="Times New Roman" w:hAnsi="Times New Roman" w:cs="Times New Roman"/>
          <w:sz w:val="24"/>
          <w:szCs w:val="24"/>
        </w:rPr>
        <w:t xml:space="preserve">and the aligned provisions of s 98 </w:t>
      </w:r>
      <w:r w:rsidR="00DA3047" w:rsidRPr="00C12279">
        <w:rPr>
          <w:rFonts w:ascii="Times New Roman" w:hAnsi="Times New Roman" w:cs="Times New Roman"/>
          <w:sz w:val="24"/>
          <w:szCs w:val="24"/>
        </w:rPr>
        <w:t>of the Income Tax Act to the extent that the taxpayer challenges the tax liability attributed to it by the Commissioner. In other words, I hold that the onus is on the taxpayer to show that the Commissioner was wrong in forming the opinion that the arr</w:t>
      </w:r>
      <w:r w:rsidR="00876BED" w:rsidRPr="00C12279">
        <w:rPr>
          <w:rFonts w:ascii="Times New Roman" w:hAnsi="Times New Roman" w:cs="Times New Roman"/>
          <w:sz w:val="24"/>
          <w:szCs w:val="24"/>
        </w:rPr>
        <w:t>angements concluded between the</w:t>
      </w:r>
      <w:r w:rsidR="00DA3047" w:rsidRPr="00C12279">
        <w:rPr>
          <w:rFonts w:ascii="Times New Roman" w:hAnsi="Times New Roman" w:cs="Times New Roman"/>
          <w:sz w:val="24"/>
          <w:szCs w:val="24"/>
        </w:rPr>
        <w:t xml:space="preserve"> taxpayer and a related party were not at arm’s length rather than on the Commissioner to show that his opinion was correct. </w:t>
      </w:r>
      <w:r w:rsidR="001D1004" w:rsidRPr="00C12279">
        <w:rPr>
          <w:rFonts w:ascii="Times New Roman" w:hAnsi="Times New Roman" w:cs="Times New Roman"/>
          <w:sz w:val="24"/>
          <w:szCs w:val="24"/>
        </w:rPr>
        <w:t xml:space="preserve">This finding accords with the general thrust of our common law principle that he who alleges must prove. In an appeal such as this one, it is the taxpayer who is challenging the correctness of the Commissioner’s opinion by averring that it was wrong. It is not the Commissioner who has come to court for the confirmation of the correctness of his opinion. The duty to establish the error in the opinion must surely lie on the party that impugns the correctness of such an opinion. In the present matter the party driving the challenge is the appellant and the onus must squarely fall on it. That is the further reason why I hold that the onus is on the appellant to show that the opinion of the Commissioner that the arrangements between the appellant and the intermediary were not at arm’s length. </w:t>
      </w:r>
      <w:r w:rsidR="00876BED" w:rsidRPr="00C12279">
        <w:rPr>
          <w:rFonts w:ascii="Times New Roman" w:hAnsi="Times New Roman" w:cs="Times New Roman"/>
          <w:sz w:val="24"/>
          <w:szCs w:val="24"/>
        </w:rPr>
        <w:t xml:space="preserve"> This approach appears to be</w:t>
      </w:r>
      <w:r w:rsidR="005A5B5D" w:rsidRPr="00C12279">
        <w:rPr>
          <w:rFonts w:ascii="Times New Roman" w:hAnsi="Times New Roman" w:cs="Times New Roman"/>
          <w:sz w:val="24"/>
          <w:szCs w:val="24"/>
        </w:rPr>
        <w:t xml:space="preserve"> consonant with the</w:t>
      </w:r>
      <w:r w:rsidR="000E1DCE" w:rsidRPr="00C12279">
        <w:rPr>
          <w:rFonts w:ascii="Times New Roman" w:hAnsi="Times New Roman" w:cs="Times New Roman"/>
          <w:sz w:val="24"/>
          <w:szCs w:val="24"/>
        </w:rPr>
        <w:t xml:space="preserve"> sentiments of </w:t>
      </w:r>
      <w:r w:rsidR="000E1DCE" w:rsidRPr="006933C3">
        <w:rPr>
          <w:rFonts w:ascii="Times New Roman" w:hAnsi="Times New Roman" w:cs="Times New Roman"/>
          <w:smallCaps/>
          <w:sz w:val="24"/>
          <w:szCs w:val="24"/>
        </w:rPr>
        <w:t>Morton</w:t>
      </w:r>
      <w:r w:rsidR="000E1DCE" w:rsidRPr="00C12279">
        <w:rPr>
          <w:rFonts w:ascii="Times New Roman" w:hAnsi="Times New Roman" w:cs="Times New Roman"/>
          <w:sz w:val="24"/>
          <w:szCs w:val="24"/>
        </w:rPr>
        <w:t xml:space="preserve"> ACJ in</w:t>
      </w:r>
      <w:r w:rsidR="005A5B5D" w:rsidRPr="00C12279">
        <w:rPr>
          <w:rFonts w:ascii="Times New Roman" w:hAnsi="Times New Roman" w:cs="Times New Roman"/>
          <w:sz w:val="24"/>
          <w:szCs w:val="24"/>
        </w:rPr>
        <w:t xml:space="preserve"> </w:t>
      </w:r>
      <w:r w:rsidR="005A5B5D" w:rsidRPr="00C12279">
        <w:rPr>
          <w:rFonts w:ascii="Times New Roman" w:hAnsi="Times New Roman" w:cs="Times New Roman"/>
          <w:i/>
          <w:sz w:val="24"/>
          <w:szCs w:val="24"/>
        </w:rPr>
        <w:t xml:space="preserve">Elite </w:t>
      </w:r>
      <w:r w:rsidR="00FB2E42" w:rsidRPr="00C12279">
        <w:rPr>
          <w:rFonts w:ascii="Times New Roman" w:hAnsi="Times New Roman" w:cs="Times New Roman"/>
          <w:i/>
          <w:sz w:val="24"/>
          <w:szCs w:val="24"/>
        </w:rPr>
        <w:t>W</w:t>
      </w:r>
      <w:r w:rsidR="000E1DCE" w:rsidRPr="00C12279">
        <w:rPr>
          <w:rFonts w:ascii="Times New Roman" w:hAnsi="Times New Roman" w:cs="Times New Roman"/>
          <w:i/>
          <w:sz w:val="24"/>
          <w:szCs w:val="24"/>
        </w:rPr>
        <w:t xml:space="preserve">holesale (Rhodesia) (Pvt) Ltd </w:t>
      </w:r>
      <w:r w:rsidR="000E1DCE" w:rsidRPr="006933C3">
        <w:rPr>
          <w:rFonts w:ascii="Times New Roman" w:hAnsi="Times New Roman" w:cs="Times New Roman"/>
          <w:sz w:val="24"/>
          <w:szCs w:val="24"/>
        </w:rPr>
        <w:lastRenderedPageBreak/>
        <w:t xml:space="preserve">v </w:t>
      </w:r>
      <w:r w:rsidR="000E1DCE" w:rsidRPr="00C12279">
        <w:rPr>
          <w:rFonts w:ascii="Times New Roman" w:hAnsi="Times New Roman" w:cs="Times New Roman"/>
          <w:i/>
          <w:sz w:val="24"/>
          <w:szCs w:val="24"/>
        </w:rPr>
        <w:t xml:space="preserve">Commissioner of Taxes, Southern Rhodesia </w:t>
      </w:r>
      <w:r w:rsidR="000E1DCE" w:rsidRPr="00C12279">
        <w:rPr>
          <w:rFonts w:ascii="Times New Roman" w:hAnsi="Times New Roman" w:cs="Times New Roman"/>
          <w:sz w:val="24"/>
          <w:szCs w:val="24"/>
        </w:rPr>
        <w:t xml:space="preserve">(1955) 20 SATC 33 (SR) at 35; 1955 (1) SA 350 (SR) </w:t>
      </w:r>
      <w:r w:rsidR="000E1DCE" w:rsidRPr="00C12279">
        <w:rPr>
          <w:rFonts w:ascii="Times New Roman" w:hAnsi="Times New Roman" w:cs="Times New Roman"/>
          <w:i/>
          <w:sz w:val="24"/>
          <w:szCs w:val="24"/>
        </w:rPr>
        <w:t>at</w:t>
      </w:r>
      <w:r w:rsidR="005A5B5D" w:rsidRPr="00C12279">
        <w:rPr>
          <w:rFonts w:ascii="Times New Roman" w:hAnsi="Times New Roman" w:cs="Times New Roman"/>
          <w:sz w:val="24"/>
          <w:szCs w:val="24"/>
        </w:rPr>
        <w:t xml:space="preserve"> 351C-D where he said:</w:t>
      </w:r>
    </w:p>
    <w:p w14:paraId="73B397B1" w14:textId="3CD2BF84" w:rsidR="005A5B5D" w:rsidRPr="00C12279" w:rsidRDefault="005A5B5D" w:rsidP="005A5B5D">
      <w:pPr>
        <w:ind w:left="720"/>
        <w:jc w:val="both"/>
        <w:rPr>
          <w:rFonts w:ascii="Times New Roman" w:hAnsi="Times New Roman" w:cs="Times New Roman"/>
          <w:sz w:val="24"/>
          <w:szCs w:val="24"/>
        </w:rPr>
      </w:pPr>
      <w:r w:rsidRPr="00C12279">
        <w:rPr>
          <w:rFonts w:ascii="Times New Roman" w:hAnsi="Times New Roman" w:cs="Times New Roman"/>
          <w:sz w:val="24"/>
          <w:szCs w:val="24"/>
        </w:rPr>
        <w:t>“</w:t>
      </w:r>
      <w:r w:rsidRPr="006933C3">
        <w:rPr>
          <w:rFonts w:ascii="Times New Roman" w:hAnsi="Times New Roman" w:cs="Times New Roman"/>
        </w:rPr>
        <w:t>In my view the appellant has discharged</w:t>
      </w:r>
      <w:r w:rsidR="00BD6D7C" w:rsidRPr="006933C3">
        <w:rPr>
          <w:rFonts w:ascii="Times New Roman" w:hAnsi="Times New Roman" w:cs="Times New Roman"/>
        </w:rPr>
        <w:t xml:space="preserve"> the onus upon him</w:t>
      </w:r>
      <w:r w:rsidRPr="006933C3">
        <w:rPr>
          <w:rFonts w:ascii="Times New Roman" w:hAnsi="Times New Roman" w:cs="Times New Roman"/>
        </w:rPr>
        <w:t>, for in the evidence before us I find no feature connected with any of the transactions which would justify the exercise of the Commissioner’s powers under s 28 (1).”</w:t>
      </w:r>
      <w:r w:rsidR="00FB2E42" w:rsidRPr="006933C3">
        <w:rPr>
          <w:rStyle w:val="FootnoteReference"/>
          <w:rFonts w:ascii="Times New Roman" w:hAnsi="Times New Roman" w:cs="Times New Roman"/>
        </w:rPr>
        <w:footnoteReference w:id="46"/>
      </w:r>
      <w:r w:rsidRPr="00C12279">
        <w:rPr>
          <w:rFonts w:ascii="Times New Roman" w:hAnsi="Times New Roman" w:cs="Times New Roman"/>
          <w:sz w:val="24"/>
          <w:szCs w:val="24"/>
        </w:rPr>
        <w:t xml:space="preserve"> </w:t>
      </w:r>
    </w:p>
    <w:p w14:paraId="5581AC95" w14:textId="3D843A4B" w:rsidR="00C461CA" w:rsidRPr="00C12279" w:rsidRDefault="00C461CA" w:rsidP="006933C3">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In any event what triggered the appeal</w:t>
      </w:r>
      <w:r w:rsidR="001268DC" w:rsidRPr="00C12279">
        <w:rPr>
          <w:rFonts w:ascii="Times New Roman" w:hAnsi="Times New Roman" w:cs="Times New Roman"/>
          <w:sz w:val="24"/>
          <w:szCs w:val="24"/>
        </w:rPr>
        <w:t xml:space="preserve"> in the present matter</w:t>
      </w:r>
      <w:r w:rsidRPr="00C12279">
        <w:rPr>
          <w:rFonts w:ascii="Times New Roman" w:hAnsi="Times New Roman" w:cs="Times New Roman"/>
          <w:sz w:val="24"/>
          <w:szCs w:val="24"/>
        </w:rPr>
        <w:t xml:space="preserve"> was that an amount was assessed to tax; which amount the appellant avers was not liable to tax because it was wrongly created.</w:t>
      </w:r>
      <w:r w:rsidR="00D01601" w:rsidRPr="00C12279">
        <w:rPr>
          <w:rFonts w:ascii="Times New Roman" w:hAnsi="Times New Roman" w:cs="Times New Roman"/>
          <w:sz w:val="24"/>
          <w:szCs w:val="24"/>
        </w:rPr>
        <w:t xml:space="preserve"> Whi</w:t>
      </w:r>
      <w:r w:rsidR="001268DC" w:rsidRPr="00C12279">
        <w:rPr>
          <w:rFonts w:ascii="Times New Roman" w:hAnsi="Times New Roman" w:cs="Times New Roman"/>
          <w:sz w:val="24"/>
          <w:szCs w:val="24"/>
        </w:rPr>
        <w:t xml:space="preserve">le it is correct that this Court </w:t>
      </w:r>
      <w:r w:rsidR="00D01601" w:rsidRPr="00C12279">
        <w:rPr>
          <w:rFonts w:ascii="Times New Roman" w:hAnsi="Times New Roman" w:cs="Times New Roman"/>
          <w:sz w:val="24"/>
          <w:szCs w:val="24"/>
        </w:rPr>
        <w:t xml:space="preserve">rehears the matter; the case remains an appeal lodged by the taxpayer challenging the process undertaken by the Commissioner in adjusting his tax liability. The point missed in </w:t>
      </w:r>
      <w:r w:rsidR="001268DC" w:rsidRPr="00C12279">
        <w:rPr>
          <w:rFonts w:ascii="Times New Roman" w:hAnsi="Times New Roman" w:cs="Times New Roman"/>
          <w:sz w:val="24"/>
          <w:szCs w:val="24"/>
        </w:rPr>
        <w:t xml:space="preserve">the </w:t>
      </w:r>
      <w:r w:rsidR="00D01601" w:rsidRPr="00C12279">
        <w:rPr>
          <w:rFonts w:ascii="Times New Roman" w:hAnsi="Times New Roman" w:cs="Times New Roman"/>
          <w:i/>
          <w:sz w:val="24"/>
          <w:szCs w:val="24"/>
        </w:rPr>
        <w:t>Conhage</w:t>
      </w:r>
      <w:r w:rsidR="001268DC" w:rsidRPr="00C12279">
        <w:rPr>
          <w:rFonts w:ascii="Times New Roman" w:hAnsi="Times New Roman" w:cs="Times New Roman"/>
          <w:i/>
          <w:sz w:val="24"/>
          <w:szCs w:val="24"/>
        </w:rPr>
        <w:t xml:space="preserve"> </w:t>
      </w:r>
      <w:r w:rsidR="001268DC" w:rsidRPr="00C12279">
        <w:rPr>
          <w:rFonts w:ascii="Times New Roman" w:hAnsi="Times New Roman" w:cs="Times New Roman"/>
          <w:sz w:val="24"/>
          <w:szCs w:val="24"/>
        </w:rPr>
        <w:t>case</w:t>
      </w:r>
      <w:r w:rsidR="001268DC" w:rsidRPr="00C12279">
        <w:rPr>
          <w:rFonts w:ascii="Times New Roman" w:hAnsi="Times New Roman" w:cs="Times New Roman"/>
          <w:i/>
          <w:sz w:val="24"/>
          <w:szCs w:val="24"/>
        </w:rPr>
        <w:t>, supra,</w:t>
      </w:r>
      <w:r w:rsidR="00D01601" w:rsidRPr="00C12279">
        <w:rPr>
          <w:rFonts w:ascii="Times New Roman" w:hAnsi="Times New Roman" w:cs="Times New Roman"/>
          <w:i/>
          <w:sz w:val="24"/>
          <w:szCs w:val="24"/>
        </w:rPr>
        <w:t xml:space="preserve"> </w:t>
      </w:r>
      <w:r w:rsidR="00A425BE" w:rsidRPr="00C12279">
        <w:rPr>
          <w:rFonts w:ascii="Times New Roman" w:hAnsi="Times New Roman" w:cs="Times New Roman"/>
          <w:sz w:val="24"/>
          <w:szCs w:val="24"/>
        </w:rPr>
        <w:t>so it</w:t>
      </w:r>
      <w:r w:rsidR="00A425BE" w:rsidRPr="00C12279">
        <w:rPr>
          <w:rFonts w:ascii="Times New Roman" w:hAnsi="Times New Roman" w:cs="Times New Roman"/>
          <w:i/>
          <w:sz w:val="24"/>
          <w:szCs w:val="24"/>
        </w:rPr>
        <w:t xml:space="preserve"> </w:t>
      </w:r>
      <w:r w:rsidR="001268DC" w:rsidRPr="00C12279">
        <w:rPr>
          <w:rFonts w:ascii="Times New Roman" w:hAnsi="Times New Roman" w:cs="Times New Roman"/>
          <w:sz w:val="24"/>
          <w:szCs w:val="24"/>
        </w:rPr>
        <w:t>seems to me</w:t>
      </w:r>
      <w:r w:rsidR="00A425BE" w:rsidRPr="00C12279">
        <w:rPr>
          <w:rFonts w:ascii="Times New Roman" w:hAnsi="Times New Roman" w:cs="Times New Roman"/>
          <w:sz w:val="24"/>
          <w:szCs w:val="24"/>
        </w:rPr>
        <w:t>, is</w:t>
      </w:r>
      <w:r w:rsidR="001268DC" w:rsidRPr="00C12279">
        <w:rPr>
          <w:rFonts w:ascii="Times New Roman" w:hAnsi="Times New Roman" w:cs="Times New Roman"/>
          <w:sz w:val="24"/>
          <w:szCs w:val="24"/>
        </w:rPr>
        <w:t xml:space="preserve"> that s 63 is engaged once th</w:t>
      </w:r>
      <w:r w:rsidR="00A425BE" w:rsidRPr="00C12279">
        <w:rPr>
          <w:rFonts w:ascii="Times New Roman" w:hAnsi="Times New Roman" w:cs="Times New Roman"/>
          <w:sz w:val="24"/>
          <w:szCs w:val="24"/>
        </w:rPr>
        <w:t xml:space="preserve">e challenge relates, </w:t>
      </w:r>
      <w:r w:rsidR="00A425BE" w:rsidRPr="00C12279">
        <w:rPr>
          <w:rFonts w:ascii="Times New Roman" w:hAnsi="Times New Roman" w:cs="Times New Roman"/>
          <w:i/>
          <w:sz w:val="24"/>
          <w:szCs w:val="24"/>
        </w:rPr>
        <w:t>inter alia,</w:t>
      </w:r>
      <w:r w:rsidR="00A425BE" w:rsidRPr="00C12279">
        <w:rPr>
          <w:rFonts w:ascii="Times New Roman" w:hAnsi="Times New Roman" w:cs="Times New Roman"/>
          <w:sz w:val="24"/>
          <w:szCs w:val="24"/>
        </w:rPr>
        <w:t xml:space="preserve"> to any</w:t>
      </w:r>
      <w:r w:rsidR="00D01601" w:rsidRPr="00C12279">
        <w:rPr>
          <w:rFonts w:ascii="Times New Roman" w:hAnsi="Times New Roman" w:cs="Times New Roman"/>
          <w:sz w:val="24"/>
          <w:szCs w:val="24"/>
        </w:rPr>
        <w:t xml:space="preserve"> amount</w:t>
      </w:r>
      <w:r w:rsidR="00A425BE" w:rsidRPr="00C12279">
        <w:rPr>
          <w:rFonts w:ascii="Times New Roman" w:hAnsi="Times New Roman" w:cs="Times New Roman"/>
          <w:sz w:val="24"/>
          <w:szCs w:val="24"/>
        </w:rPr>
        <w:t xml:space="preserve"> not liable to the tax”.</w:t>
      </w:r>
      <w:r w:rsidR="00D01601" w:rsidRPr="00C12279">
        <w:rPr>
          <w:rFonts w:ascii="Times New Roman" w:hAnsi="Times New Roman" w:cs="Times New Roman"/>
          <w:sz w:val="24"/>
          <w:szCs w:val="24"/>
        </w:rPr>
        <w:t xml:space="preserve"> The onus therefore lies on the taxpayer to show that the Commissioner’s opinion or satisfaction as the case may be that the appellant infringed s 24 or s 98 was wrong. In my view, the Commissioner does not bear the onus of establishing that his opinion was correct. All that is required of him is to set out in the determination to the letter of objection the basis for his opinion or satisfactio</w:t>
      </w:r>
      <w:r w:rsidR="000311EC" w:rsidRPr="00C12279">
        <w:rPr>
          <w:rFonts w:ascii="Times New Roman" w:hAnsi="Times New Roman" w:cs="Times New Roman"/>
          <w:sz w:val="24"/>
          <w:szCs w:val="24"/>
        </w:rPr>
        <w:t xml:space="preserve">n and as </w:t>
      </w:r>
      <w:r w:rsidR="000311EC" w:rsidRPr="00AD6517">
        <w:rPr>
          <w:rFonts w:ascii="Times New Roman" w:hAnsi="Times New Roman" w:cs="Times New Roman"/>
          <w:smallCaps/>
          <w:sz w:val="24"/>
          <w:szCs w:val="24"/>
        </w:rPr>
        <w:t>Ponnan</w:t>
      </w:r>
      <w:r w:rsidR="000311EC" w:rsidRPr="00C12279">
        <w:rPr>
          <w:rFonts w:ascii="Times New Roman" w:hAnsi="Times New Roman" w:cs="Times New Roman"/>
          <w:sz w:val="24"/>
          <w:szCs w:val="24"/>
        </w:rPr>
        <w:t xml:space="preserve"> JA indicated in </w:t>
      </w:r>
      <w:r w:rsidR="000311EC" w:rsidRPr="00C12279">
        <w:rPr>
          <w:rFonts w:ascii="Times New Roman" w:hAnsi="Times New Roman" w:cs="Times New Roman"/>
          <w:i/>
          <w:sz w:val="24"/>
          <w:szCs w:val="24"/>
        </w:rPr>
        <w:t xml:space="preserve">Commissioner for the South African Revenue Services </w:t>
      </w:r>
      <w:r w:rsidR="000311EC" w:rsidRPr="006933C3">
        <w:rPr>
          <w:rFonts w:ascii="Times New Roman" w:hAnsi="Times New Roman" w:cs="Times New Roman"/>
          <w:sz w:val="24"/>
          <w:szCs w:val="24"/>
        </w:rPr>
        <w:t>v</w:t>
      </w:r>
      <w:r w:rsidR="000311EC" w:rsidRPr="00C12279">
        <w:rPr>
          <w:rFonts w:ascii="Times New Roman" w:hAnsi="Times New Roman" w:cs="Times New Roman"/>
          <w:i/>
          <w:sz w:val="24"/>
          <w:szCs w:val="24"/>
        </w:rPr>
        <w:t xml:space="preserve"> Pretoria East Motors (Pty) Ltd </w:t>
      </w:r>
      <w:r w:rsidR="000311EC" w:rsidRPr="00C12279">
        <w:rPr>
          <w:rFonts w:ascii="Times New Roman" w:hAnsi="Times New Roman" w:cs="Times New Roman"/>
          <w:sz w:val="24"/>
          <w:szCs w:val="24"/>
        </w:rPr>
        <w:t>[2014] 3 All SA 266 (SCA</w:t>
      </w:r>
      <w:r w:rsidR="00CA3B5A" w:rsidRPr="00C12279">
        <w:rPr>
          <w:rFonts w:ascii="Times New Roman" w:hAnsi="Times New Roman" w:cs="Times New Roman"/>
          <w:sz w:val="24"/>
          <w:szCs w:val="24"/>
        </w:rPr>
        <w:t>) at 270 para [6]</w:t>
      </w:r>
      <w:r w:rsidR="000311EC" w:rsidRPr="00C12279">
        <w:rPr>
          <w:rFonts w:ascii="Times New Roman" w:hAnsi="Times New Roman" w:cs="Times New Roman"/>
          <w:sz w:val="24"/>
          <w:szCs w:val="24"/>
        </w:rPr>
        <w:t xml:space="preserve"> </w:t>
      </w:r>
      <w:r w:rsidR="00D01601" w:rsidRPr="00C12279">
        <w:rPr>
          <w:rFonts w:ascii="Times New Roman" w:hAnsi="Times New Roman" w:cs="Times New Roman"/>
          <w:sz w:val="24"/>
          <w:szCs w:val="24"/>
        </w:rPr>
        <w:t xml:space="preserve">this is derived from the averments made by the taxpayer during </w:t>
      </w:r>
      <w:r w:rsidR="00CA3B5A" w:rsidRPr="00C12279">
        <w:rPr>
          <w:rFonts w:ascii="Times New Roman" w:hAnsi="Times New Roman" w:cs="Times New Roman"/>
          <w:sz w:val="24"/>
          <w:szCs w:val="24"/>
        </w:rPr>
        <w:t xml:space="preserve">the </w:t>
      </w:r>
      <w:r w:rsidR="00D01601" w:rsidRPr="00C12279">
        <w:rPr>
          <w:rFonts w:ascii="Times New Roman" w:hAnsi="Times New Roman" w:cs="Times New Roman"/>
          <w:sz w:val="24"/>
          <w:szCs w:val="24"/>
        </w:rPr>
        <w:t>investigation. The Commissioner does n</w:t>
      </w:r>
      <w:r w:rsidR="000311EC" w:rsidRPr="00C12279">
        <w:rPr>
          <w:rFonts w:ascii="Times New Roman" w:hAnsi="Times New Roman" w:cs="Times New Roman"/>
          <w:sz w:val="24"/>
          <w:szCs w:val="24"/>
        </w:rPr>
        <w:t>ot create any evidence but bases</w:t>
      </w:r>
      <w:r w:rsidR="00D01601" w:rsidRPr="00C12279">
        <w:rPr>
          <w:rFonts w:ascii="Times New Roman" w:hAnsi="Times New Roman" w:cs="Times New Roman"/>
          <w:sz w:val="24"/>
          <w:szCs w:val="24"/>
        </w:rPr>
        <w:t xml:space="preserve"> his o</w:t>
      </w:r>
      <w:r w:rsidR="000311EC" w:rsidRPr="00C12279">
        <w:rPr>
          <w:rFonts w:ascii="Times New Roman" w:hAnsi="Times New Roman" w:cs="Times New Roman"/>
          <w:sz w:val="24"/>
          <w:szCs w:val="24"/>
        </w:rPr>
        <w:t>pinion or satisfaction on</w:t>
      </w:r>
      <w:r w:rsidR="00D01601" w:rsidRPr="00C12279">
        <w:rPr>
          <w:rFonts w:ascii="Times New Roman" w:hAnsi="Times New Roman" w:cs="Times New Roman"/>
          <w:sz w:val="24"/>
          <w:szCs w:val="24"/>
        </w:rPr>
        <w:t xml:space="preserve"> the information availed </w:t>
      </w:r>
      <w:r w:rsidR="006F4906" w:rsidRPr="00C12279">
        <w:rPr>
          <w:rFonts w:ascii="Times New Roman" w:hAnsi="Times New Roman" w:cs="Times New Roman"/>
          <w:sz w:val="24"/>
          <w:szCs w:val="24"/>
        </w:rPr>
        <w:t xml:space="preserve">to </w:t>
      </w:r>
      <w:r w:rsidR="00D01601" w:rsidRPr="00C12279">
        <w:rPr>
          <w:rFonts w:ascii="Times New Roman" w:hAnsi="Times New Roman" w:cs="Times New Roman"/>
          <w:sz w:val="24"/>
          <w:szCs w:val="24"/>
        </w:rPr>
        <w:t xml:space="preserve">him by the taxpayer. </w:t>
      </w:r>
      <w:r w:rsidR="00575FDB" w:rsidRPr="00C12279">
        <w:rPr>
          <w:rFonts w:ascii="Times New Roman" w:hAnsi="Times New Roman" w:cs="Times New Roman"/>
          <w:sz w:val="24"/>
          <w:szCs w:val="24"/>
        </w:rPr>
        <w:t xml:space="preserve"> </w:t>
      </w:r>
    </w:p>
    <w:p w14:paraId="4BCF5331" w14:textId="77777777" w:rsidR="0063135A" w:rsidRPr="00C12279" w:rsidRDefault="0063135A" w:rsidP="001C5B40">
      <w:pPr>
        <w:jc w:val="both"/>
        <w:rPr>
          <w:rFonts w:ascii="Times New Roman" w:hAnsi="Times New Roman" w:cs="Times New Roman"/>
          <w:b/>
          <w:sz w:val="24"/>
          <w:szCs w:val="24"/>
        </w:rPr>
      </w:pPr>
      <w:r w:rsidRPr="00C12279">
        <w:rPr>
          <w:rFonts w:ascii="Times New Roman" w:hAnsi="Times New Roman" w:cs="Times New Roman"/>
          <w:b/>
          <w:sz w:val="24"/>
          <w:szCs w:val="24"/>
        </w:rPr>
        <w:t>The essential elements of s 24</w:t>
      </w:r>
    </w:p>
    <w:p w14:paraId="6BB75C3C" w14:textId="77777777" w:rsidR="0063135A" w:rsidRPr="00C12279" w:rsidRDefault="0063135A" w:rsidP="006933C3">
      <w:pPr>
        <w:ind w:firstLine="360"/>
        <w:jc w:val="both"/>
        <w:rPr>
          <w:rFonts w:ascii="Times New Roman" w:hAnsi="Times New Roman" w:cs="Times New Roman"/>
          <w:sz w:val="24"/>
          <w:szCs w:val="24"/>
        </w:rPr>
      </w:pPr>
      <w:r w:rsidRPr="00C12279">
        <w:rPr>
          <w:rFonts w:ascii="Times New Roman" w:hAnsi="Times New Roman" w:cs="Times New Roman"/>
          <w:sz w:val="24"/>
          <w:szCs w:val="24"/>
        </w:rPr>
        <w:t>The essential requirements envisaged by s 24 are that:</w:t>
      </w:r>
    </w:p>
    <w:p w14:paraId="745A570A" w14:textId="77777777" w:rsidR="0063135A" w:rsidRPr="00C12279" w:rsidRDefault="0063135A" w:rsidP="0063135A">
      <w:pPr>
        <w:pStyle w:val="ListParagraph"/>
        <w:numPr>
          <w:ilvl w:val="0"/>
          <w:numId w:val="11"/>
        </w:numPr>
        <w:jc w:val="both"/>
        <w:rPr>
          <w:rFonts w:ascii="Times New Roman" w:hAnsi="Times New Roman" w:cs="Times New Roman"/>
          <w:sz w:val="24"/>
          <w:szCs w:val="24"/>
        </w:rPr>
      </w:pPr>
      <w:r w:rsidRPr="00C12279">
        <w:rPr>
          <w:rFonts w:ascii="Times New Roman" w:hAnsi="Times New Roman" w:cs="Times New Roman"/>
          <w:sz w:val="24"/>
          <w:szCs w:val="24"/>
        </w:rPr>
        <w:t>any person</w:t>
      </w:r>
    </w:p>
    <w:p w14:paraId="48CA148A" w14:textId="77777777" w:rsidR="00C55703" w:rsidRPr="00C12279" w:rsidRDefault="0063135A" w:rsidP="00C55703">
      <w:pPr>
        <w:pStyle w:val="ListParagraph"/>
        <w:numPr>
          <w:ilvl w:val="0"/>
          <w:numId w:val="12"/>
        </w:numPr>
        <w:jc w:val="both"/>
        <w:rPr>
          <w:rFonts w:ascii="Times New Roman" w:hAnsi="Times New Roman" w:cs="Times New Roman"/>
          <w:sz w:val="24"/>
          <w:szCs w:val="24"/>
        </w:rPr>
      </w:pPr>
      <w:r w:rsidRPr="00C12279">
        <w:rPr>
          <w:rFonts w:ascii="Times New Roman" w:hAnsi="Times New Roman" w:cs="Times New Roman"/>
          <w:sz w:val="24"/>
          <w:szCs w:val="24"/>
        </w:rPr>
        <w:t>who carries on business in Zimbabwe takes part directly or indirectly in the management, control or capital of a business of another person outside Zimbabwe, or</w:t>
      </w:r>
    </w:p>
    <w:p w14:paraId="0B82E05B" w14:textId="77777777" w:rsidR="0063135A" w:rsidRPr="00C12279" w:rsidRDefault="0063135A" w:rsidP="00C55703">
      <w:pPr>
        <w:pStyle w:val="ListParagraph"/>
        <w:numPr>
          <w:ilvl w:val="0"/>
          <w:numId w:val="12"/>
        </w:numPr>
        <w:jc w:val="both"/>
        <w:rPr>
          <w:rFonts w:ascii="Times New Roman" w:hAnsi="Times New Roman" w:cs="Times New Roman"/>
          <w:sz w:val="24"/>
          <w:szCs w:val="24"/>
        </w:rPr>
      </w:pPr>
      <w:r w:rsidRPr="00C12279">
        <w:rPr>
          <w:rFonts w:ascii="Times New Roman" w:hAnsi="Times New Roman" w:cs="Times New Roman"/>
          <w:sz w:val="24"/>
          <w:szCs w:val="24"/>
        </w:rPr>
        <w:t xml:space="preserve"> </w:t>
      </w:r>
      <w:r w:rsidR="00C55703" w:rsidRPr="00C12279">
        <w:rPr>
          <w:rFonts w:ascii="Times New Roman" w:hAnsi="Times New Roman" w:cs="Times New Roman"/>
          <w:sz w:val="24"/>
          <w:szCs w:val="24"/>
        </w:rPr>
        <w:t>who carries on business outside Zimbabwe takes part directly or indirectly in the management, control or capital of a business of another in Zimbabwe; or</w:t>
      </w:r>
    </w:p>
    <w:p w14:paraId="36E5BDF4" w14:textId="77777777" w:rsidR="00C55703" w:rsidRPr="00C12279" w:rsidRDefault="00C55703" w:rsidP="00C55703">
      <w:pPr>
        <w:pStyle w:val="ListParagraph"/>
        <w:numPr>
          <w:ilvl w:val="0"/>
          <w:numId w:val="12"/>
        </w:numPr>
        <w:jc w:val="both"/>
        <w:rPr>
          <w:rFonts w:ascii="Times New Roman" w:hAnsi="Times New Roman" w:cs="Times New Roman"/>
          <w:sz w:val="24"/>
          <w:szCs w:val="24"/>
        </w:rPr>
      </w:pPr>
      <w:r w:rsidRPr="00C12279">
        <w:rPr>
          <w:rFonts w:ascii="Times New Roman" w:hAnsi="Times New Roman" w:cs="Times New Roman"/>
          <w:sz w:val="24"/>
          <w:szCs w:val="24"/>
        </w:rPr>
        <w:t>Takes part directly or indirectly in the management, control or capital of both a business operating in Zimbabwe by another person and a business operating outside Zimbabwe by another person</w:t>
      </w:r>
    </w:p>
    <w:p w14:paraId="26B50AA4" w14:textId="77777777" w:rsidR="00C55703" w:rsidRPr="00C12279" w:rsidRDefault="00C55703" w:rsidP="00C55703">
      <w:pPr>
        <w:ind w:left="720"/>
        <w:jc w:val="both"/>
        <w:rPr>
          <w:rFonts w:ascii="Times New Roman" w:hAnsi="Times New Roman" w:cs="Times New Roman"/>
          <w:sz w:val="24"/>
          <w:szCs w:val="24"/>
        </w:rPr>
      </w:pPr>
      <w:r w:rsidRPr="00C12279">
        <w:rPr>
          <w:rFonts w:ascii="Times New Roman" w:hAnsi="Times New Roman" w:cs="Times New Roman"/>
          <w:sz w:val="24"/>
          <w:szCs w:val="24"/>
        </w:rPr>
        <w:lastRenderedPageBreak/>
        <w:t>and</w:t>
      </w:r>
    </w:p>
    <w:p w14:paraId="0A65F69F" w14:textId="77777777" w:rsidR="00D86B0C" w:rsidRPr="00C12279" w:rsidRDefault="00C55703" w:rsidP="007E5DFD">
      <w:pPr>
        <w:pStyle w:val="ListParagraph"/>
        <w:numPr>
          <w:ilvl w:val="0"/>
          <w:numId w:val="11"/>
        </w:numPr>
        <w:jc w:val="both"/>
        <w:rPr>
          <w:rFonts w:ascii="Times New Roman" w:hAnsi="Times New Roman" w:cs="Times New Roman"/>
          <w:sz w:val="24"/>
          <w:szCs w:val="24"/>
        </w:rPr>
      </w:pPr>
      <w:r w:rsidRPr="00C12279">
        <w:rPr>
          <w:rFonts w:ascii="Times New Roman" w:hAnsi="Times New Roman" w:cs="Times New Roman"/>
          <w:sz w:val="24"/>
          <w:szCs w:val="24"/>
        </w:rPr>
        <w:t>the business or financial conditions governing their interactions are in the opinion of the Commissioner inimical to those of two persons dealing with each other at arm’s length</w:t>
      </w:r>
      <w:r w:rsidR="00D86B0C" w:rsidRPr="00C12279">
        <w:rPr>
          <w:rFonts w:ascii="Times New Roman" w:hAnsi="Times New Roman" w:cs="Times New Roman"/>
          <w:sz w:val="24"/>
          <w:szCs w:val="24"/>
        </w:rPr>
        <w:t xml:space="preserve"> </w:t>
      </w:r>
    </w:p>
    <w:p w14:paraId="04B2D85B" w14:textId="77777777" w:rsidR="00D86B0C" w:rsidRPr="00C12279" w:rsidRDefault="00D86B0C" w:rsidP="00D86B0C">
      <w:pPr>
        <w:pStyle w:val="ListParagraph"/>
        <w:numPr>
          <w:ilvl w:val="0"/>
          <w:numId w:val="11"/>
        </w:numPr>
        <w:jc w:val="both"/>
        <w:rPr>
          <w:rFonts w:ascii="Times New Roman" w:hAnsi="Times New Roman" w:cs="Times New Roman"/>
          <w:sz w:val="24"/>
          <w:szCs w:val="24"/>
        </w:rPr>
      </w:pPr>
      <w:r w:rsidRPr="00C12279">
        <w:rPr>
          <w:rFonts w:ascii="Times New Roman" w:hAnsi="Times New Roman" w:cs="Times New Roman"/>
          <w:sz w:val="24"/>
          <w:szCs w:val="24"/>
        </w:rPr>
        <w:t xml:space="preserve">then the Commissioner shall determine the taxable income of the person carrying on business in Zimbabwe by ignoring the conditions concluded by the parties and invoking the conditions which in his opinion would have been concluded by two parties acting at arm’s length. </w:t>
      </w:r>
    </w:p>
    <w:p w14:paraId="5C22BD13" w14:textId="4E84552E" w:rsidR="00286D57" w:rsidRPr="00C12279" w:rsidRDefault="00D86B0C" w:rsidP="006933C3">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In accordance with the concluding words of s</w:t>
      </w:r>
      <w:r w:rsidR="000C004E">
        <w:rPr>
          <w:rFonts w:ascii="Times New Roman" w:hAnsi="Times New Roman" w:cs="Times New Roman"/>
          <w:sz w:val="24"/>
          <w:szCs w:val="24"/>
        </w:rPr>
        <w:t xml:space="preserve"> </w:t>
      </w:r>
      <w:r w:rsidRPr="00C12279">
        <w:rPr>
          <w:rFonts w:ascii="Times New Roman" w:hAnsi="Times New Roman" w:cs="Times New Roman"/>
          <w:sz w:val="24"/>
          <w:szCs w:val="24"/>
        </w:rPr>
        <w:t>24, these requirements are invoked against the person who carries on business in Zimbabwe.</w:t>
      </w:r>
      <w:r w:rsidR="00CF49C7" w:rsidRPr="00C12279">
        <w:rPr>
          <w:rFonts w:ascii="Times New Roman" w:hAnsi="Times New Roman" w:cs="Times New Roman"/>
          <w:sz w:val="24"/>
          <w:szCs w:val="24"/>
        </w:rPr>
        <w:t xml:space="preserve"> The section was designed to deal effectively with business transactions between a taxpayer and another person that fail the arm’s length test. The transactions must fall within the ambit of the provisions of s 24 before the Commissioner can determine the income tax liability of the taxpayer by ignoring the terms and conditions </w:t>
      </w:r>
      <w:r w:rsidR="008B099B" w:rsidRPr="00C12279">
        <w:rPr>
          <w:rFonts w:ascii="Times New Roman" w:hAnsi="Times New Roman" w:cs="Times New Roman"/>
          <w:sz w:val="24"/>
          <w:szCs w:val="24"/>
        </w:rPr>
        <w:t>agreed to by the parties that are not at arm’s length</w:t>
      </w:r>
      <w:r w:rsidR="00CF49C7" w:rsidRPr="00C12279">
        <w:rPr>
          <w:rFonts w:ascii="Times New Roman" w:hAnsi="Times New Roman" w:cs="Times New Roman"/>
          <w:sz w:val="24"/>
          <w:szCs w:val="24"/>
        </w:rPr>
        <w:t xml:space="preserve"> and supplanting them with </w:t>
      </w:r>
      <w:r w:rsidR="008B099B" w:rsidRPr="00C12279">
        <w:rPr>
          <w:rFonts w:ascii="Times New Roman" w:hAnsi="Times New Roman" w:cs="Times New Roman"/>
          <w:sz w:val="24"/>
          <w:szCs w:val="24"/>
        </w:rPr>
        <w:t xml:space="preserve">the conditions the Commissioner believes would reasonably have been imposed between persons transacting with each other at arm’s length. </w:t>
      </w:r>
      <w:r w:rsidR="002D5A73" w:rsidRPr="00C12279">
        <w:rPr>
          <w:rFonts w:ascii="Times New Roman" w:hAnsi="Times New Roman" w:cs="Times New Roman"/>
          <w:sz w:val="24"/>
          <w:szCs w:val="24"/>
        </w:rPr>
        <w:t xml:space="preserve"> </w:t>
      </w:r>
      <w:r w:rsidR="0022305F" w:rsidRPr="00C12279">
        <w:rPr>
          <w:rFonts w:ascii="Times New Roman" w:hAnsi="Times New Roman" w:cs="Times New Roman"/>
          <w:sz w:val="24"/>
          <w:szCs w:val="24"/>
        </w:rPr>
        <w:t xml:space="preserve"> In the language Morton ACJ in </w:t>
      </w:r>
      <w:r w:rsidR="0022305F" w:rsidRPr="00C12279">
        <w:rPr>
          <w:rFonts w:ascii="Times New Roman" w:hAnsi="Times New Roman" w:cs="Times New Roman"/>
          <w:i/>
          <w:sz w:val="24"/>
          <w:szCs w:val="24"/>
        </w:rPr>
        <w:t xml:space="preserve">Elite Wholesale (Rhodesia) (Pvt) Ltd </w:t>
      </w:r>
      <w:r w:rsidR="0022305F" w:rsidRPr="006933C3">
        <w:rPr>
          <w:rFonts w:ascii="Times New Roman" w:hAnsi="Times New Roman" w:cs="Times New Roman"/>
          <w:sz w:val="24"/>
          <w:szCs w:val="24"/>
        </w:rPr>
        <w:t>v</w:t>
      </w:r>
      <w:r w:rsidR="0022305F" w:rsidRPr="00C12279">
        <w:rPr>
          <w:rFonts w:ascii="Times New Roman" w:hAnsi="Times New Roman" w:cs="Times New Roman"/>
          <w:i/>
          <w:sz w:val="24"/>
          <w:szCs w:val="24"/>
        </w:rPr>
        <w:t xml:space="preserve"> Commissioner of Taxes</w:t>
      </w:r>
      <w:r w:rsidR="0022305F" w:rsidRPr="00C12279">
        <w:rPr>
          <w:rFonts w:ascii="Times New Roman" w:hAnsi="Times New Roman" w:cs="Times New Roman"/>
          <w:sz w:val="24"/>
          <w:szCs w:val="24"/>
        </w:rPr>
        <w:t xml:space="preserve">, </w:t>
      </w:r>
      <w:r w:rsidR="0022305F" w:rsidRPr="00C12279">
        <w:rPr>
          <w:rFonts w:ascii="Times New Roman" w:hAnsi="Times New Roman" w:cs="Times New Roman"/>
          <w:i/>
          <w:sz w:val="24"/>
          <w:szCs w:val="24"/>
        </w:rPr>
        <w:t>Southern Rhodesia</w:t>
      </w:r>
      <w:r w:rsidR="00BD25DE" w:rsidRPr="00C12279">
        <w:rPr>
          <w:rFonts w:ascii="Times New Roman" w:hAnsi="Times New Roman" w:cs="Times New Roman"/>
          <w:i/>
          <w:sz w:val="24"/>
          <w:szCs w:val="24"/>
        </w:rPr>
        <w:t>, supra</w:t>
      </w:r>
      <w:r w:rsidR="00BD25DE" w:rsidRPr="00C12279">
        <w:rPr>
          <w:rFonts w:ascii="Times New Roman" w:hAnsi="Times New Roman" w:cs="Times New Roman"/>
          <w:sz w:val="24"/>
          <w:szCs w:val="24"/>
        </w:rPr>
        <w:t xml:space="preserve"> at 351 </w:t>
      </w:r>
      <w:r w:rsidR="0022305F" w:rsidRPr="00C12279">
        <w:rPr>
          <w:rFonts w:ascii="Times New Roman" w:hAnsi="Times New Roman" w:cs="Times New Roman"/>
          <w:sz w:val="24"/>
          <w:szCs w:val="24"/>
        </w:rPr>
        <w:t xml:space="preserve">the Commissioner takes the </w:t>
      </w:r>
      <w:r w:rsidR="00BD25DE" w:rsidRPr="00C12279">
        <w:rPr>
          <w:rFonts w:ascii="Times New Roman" w:hAnsi="Times New Roman" w:cs="Times New Roman"/>
          <w:sz w:val="24"/>
          <w:szCs w:val="24"/>
        </w:rPr>
        <w:t>“</w:t>
      </w:r>
      <w:r w:rsidR="0022305F" w:rsidRPr="00C12279">
        <w:rPr>
          <w:rFonts w:ascii="Times New Roman" w:hAnsi="Times New Roman" w:cs="Times New Roman"/>
          <w:sz w:val="24"/>
          <w:szCs w:val="24"/>
        </w:rPr>
        <w:t>sale into the taxpayer’s accounts</w:t>
      </w:r>
      <w:r w:rsidR="00BD25DE" w:rsidRPr="00C12279">
        <w:rPr>
          <w:rFonts w:ascii="Times New Roman" w:hAnsi="Times New Roman" w:cs="Times New Roman"/>
          <w:sz w:val="24"/>
          <w:szCs w:val="24"/>
        </w:rPr>
        <w:t>”</w:t>
      </w:r>
      <w:r w:rsidR="00427245" w:rsidRPr="00C12279">
        <w:rPr>
          <w:rFonts w:ascii="Times New Roman" w:hAnsi="Times New Roman" w:cs="Times New Roman"/>
          <w:sz w:val="24"/>
          <w:szCs w:val="24"/>
        </w:rPr>
        <w:t xml:space="preserve">. </w:t>
      </w:r>
      <w:r w:rsidR="0022305F" w:rsidRPr="00C12279">
        <w:rPr>
          <w:rFonts w:ascii="Times New Roman" w:hAnsi="Times New Roman" w:cs="Times New Roman"/>
          <w:sz w:val="24"/>
          <w:szCs w:val="24"/>
        </w:rPr>
        <w:t xml:space="preserve"> </w:t>
      </w:r>
    </w:p>
    <w:p w14:paraId="46C47AEA" w14:textId="77777777" w:rsidR="00286D57" w:rsidRPr="00C12279" w:rsidRDefault="00286D57" w:rsidP="00D86B0C">
      <w:pPr>
        <w:jc w:val="both"/>
        <w:rPr>
          <w:rFonts w:ascii="Times New Roman" w:hAnsi="Times New Roman" w:cs="Times New Roman"/>
          <w:i/>
          <w:sz w:val="24"/>
          <w:szCs w:val="24"/>
        </w:rPr>
      </w:pPr>
      <w:r w:rsidRPr="00C12279">
        <w:rPr>
          <w:rFonts w:ascii="Times New Roman" w:hAnsi="Times New Roman" w:cs="Times New Roman"/>
          <w:i/>
          <w:sz w:val="24"/>
          <w:szCs w:val="24"/>
        </w:rPr>
        <w:t>Any person</w:t>
      </w:r>
    </w:p>
    <w:p w14:paraId="7AAC4D07" w14:textId="2342479F" w:rsidR="00286D57" w:rsidRPr="00C12279" w:rsidRDefault="00D86B0C" w:rsidP="006933C3">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was common ground that the appellant </w:t>
      </w:r>
      <w:r w:rsidR="00286D57" w:rsidRPr="00C12279">
        <w:rPr>
          <w:rFonts w:ascii="Times New Roman" w:hAnsi="Times New Roman" w:cs="Times New Roman"/>
          <w:sz w:val="24"/>
          <w:szCs w:val="24"/>
        </w:rPr>
        <w:t xml:space="preserve">was a person who </w:t>
      </w:r>
      <w:r w:rsidRPr="00C12279">
        <w:rPr>
          <w:rFonts w:ascii="Times New Roman" w:hAnsi="Times New Roman" w:cs="Times New Roman"/>
          <w:sz w:val="24"/>
          <w:szCs w:val="24"/>
        </w:rPr>
        <w:t>carried on business in Zimbabwe in each of the four tax years in question</w:t>
      </w:r>
      <w:r w:rsidR="00286D57" w:rsidRPr="00C12279">
        <w:rPr>
          <w:rFonts w:ascii="Times New Roman" w:hAnsi="Times New Roman" w:cs="Times New Roman"/>
          <w:sz w:val="24"/>
          <w:szCs w:val="24"/>
        </w:rPr>
        <w:t xml:space="preserve">. </w:t>
      </w:r>
      <w:r w:rsidR="00234027" w:rsidRPr="00C12279">
        <w:rPr>
          <w:rFonts w:ascii="Times New Roman" w:hAnsi="Times New Roman" w:cs="Times New Roman"/>
          <w:sz w:val="24"/>
          <w:szCs w:val="24"/>
        </w:rPr>
        <w:t xml:space="preserve"> It was also agreed that</w:t>
      </w:r>
      <w:r w:rsidR="00687E51" w:rsidRPr="00C12279">
        <w:rPr>
          <w:rFonts w:ascii="Times New Roman" w:hAnsi="Times New Roman" w:cs="Times New Roman"/>
          <w:sz w:val="24"/>
          <w:szCs w:val="24"/>
        </w:rPr>
        <w:t xml:space="preserve"> the intermediary carried on business outside Zimbabwe </w:t>
      </w:r>
      <w:r w:rsidR="00234027" w:rsidRPr="00C12279">
        <w:rPr>
          <w:rFonts w:ascii="Times New Roman" w:hAnsi="Times New Roman" w:cs="Times New Roman"/>
          <w:sz w:val="24"/>
          <w:szCs w:val="24"/>
        </w:rPr>
        <w:t xml:space="preserve">but it was in dispute whether or not it carried on business </w:t>
      </w:r>
      <w:r w:rsidR="00687E51" w:rsidRPr="00C12279">
        <w:rPr>
          <w:rFonts w:ascii="Times New Roman" w:hAnsi="Times New Roman" w:cs="Times New Roman"/>
          <w:sz w:val="24"/>
          <w:szCs w:val="24"/>
        </w:rPr>
        <w:t xml:space="preserve">in Zimbabwe. </w:t>
      </w:r>
      <w:r w:rsidR="0014600F" w:rsidRPr="00C12279">
        <w:rPr>
          <w:rFonts w:ascii="Times New Roman" w:hAnsi="Times New Roman" w:cs="Times New Roman"/>
          <w:sz w:val="24"/>
          <w:szCs w:val="24"/>
        </w:rPr>
        <w:t xml:space="preserve">It was also agreed that the French holding </w:t>
      </w:r>
      <w:r w:rsidR="009C5095" w:rsidRPr="00C12279">
        <w:rPr>
          <w:rFonts w:ascii="Times New Roman" w:hAnsi="Times New Roman" w:cs="Times New Roman"/>
          <w:sz w:val="24"/>
          <w:szCs w:val="24"/>
        </w:rPr>
        <w:t xml:space="preserve">company </w:t>
      </w:r>
      <w:r w:rsidR="0014600F" w:rsidRPr="00C12279">
        <w:rPr>
          <w:rFonts w:ascii="Times New Roman" w:hAnsi="Times New Roman" w:cs="Times New Roman"/>
          <w:sz w:val="24"/>
          <w:szCs w:val="24"/>
        </w:rPr>
        <w:t>partook directly or indirectly in the management, control and capital of both the appellant and the intermediary.</w:t>
      </w:r>
      <w:r w:rsidR="00F66C0C" w:rsidRPr="00C12279">
        <w:rPr>
          <w:rFonts w:ascii="Times New Roman" w:hAnsi="Times New Roman" w:cs="Times New Roman"/>
          <w:sz w:val="24"/>
          <w:szCs w:val="24"/>
        </w:rPr>
        <w:t xml:space="preserve"> There was no evidence adduced to show that any of these three</w:t>
      </w:r>
      <w:r w:rsidR="009C5095" w:rsidRPr="00C12279">
        <w:rPr>
          <w:rFonts w:ascii="Times New Roman" w:hAnsi="Times New Roman" w:cs="Times New Roman"/>
          <w:sz w:val="24"/>
          <w:szCs w:val="24"/>
        </w:rPr>
        <w:t xml:space="preserve"> related parties participated</w:t>
      </w:r>
      <w:r w:rsidR="00F66C0C" w:rsidRPr="00C12279">
        <w:rPr>
          <w:rFonts w:ascii="Times New Roman" w:hAnsi="Times New Roman" w:cs="Times New Roman"/>
          <w:sz w:val="24"/>
          <w:szCs w:val="24"/>
        </w:rPr>
        <w:t xml:space="preserve"> directly or indirectly in the management, control or capital of the conglomerate which manufactured and supplied the vehicles to the intermediary</w:t>
      </w:r>
      <w:r w:rsidR="009C5095" w:rsidRPr="00C12279">
        <w:rPr>
          <w:rFonts w:ascii="Times New Roman" w:hAnsi="Times New Roman" w:cs="Times New Roman"/>
          <w:sz w:val="24"/>
          <w:szCs w:val="24"/>
        </w:rPr>
        <w:t xml:space="preserve"> for the account of the appellant</w:t>
      </w:r>
      <w:r w:rsidR="00F66C0C" w:rsidRPr="00C12279">
        <w:rPr>
          <w:rFonts w:ascii="Times New Roman" w:hAnsi="Times New Roman" w:cs="Times New Roman"/>
          <w:sz w:val="24"/>
          <w:szCs w:val="24"/>
        </w:rPr>
        <w:t xml:space="preserve">. However the distribution agreement permitted the conglomerate to participate in the management of the appellant. </w:t>
      </w:r>
    </w:p>
    <w:p w14:paraId="3F140692" w14:textId="459E2318" w:rsidR="00286D57" w:rsidRPr="00C12279" w:rsidRDefault="00AD38F5" w:rsidP="00D86B0C">
      <w:pPr>
        <w:jc w:val="both"/>
        <w:rPr>
          <w:rFonts w:ascii="Times New Roman" w:hAnsi="Times New Roman" w:cs="Times New Roman"/>
          <w:i/>
          <w:sz w:val="24"/>
          <w:szCs w:val="24"/>
        </w:rPr>
      </w:pPr>
      <w:r w:rsidRPr="00C12279">
        <w:rPr>
          <w:rFonts w:ascii="Times New Roman" w:hAnsi="Times New Roman" w:cs="Times New Roman"/>
          <w:i/>
          <w:sz w:val="24"/>
          <w:szCs w:val="24"/>
        </w:rPr>
        <w:t>Partakes</w:t>
      </w:r>
      <w:r w:rsidR="00286D57" w:rsidRPr="00C12279">
        <w:rPr>
          <w:rFonts w:ascii="Times New Roman" w:hAnsi="Times New Roman" w:cs="Times New Roman"/>
          <w:i/>
          <w:sz w:val="24"/>
          <w:szCs w:val="24"/>
        </w:rPr>
        <w:t xml:space="preserve"> directly or indirectly in the management, control </w:t>
      </w:r>
      <w:r w:rsidR="003E4838" w:rsidRPr="00C12279">
        <w:rPr>
          <w:rFonts w:ascii="Times New Roman" w:hAnsi="Times New Roman" w:cs="Times New Roman"/>
          <w:i/>
          <w:sz w:val="24"/>
          <w:szCs w:val="24"/>
        </w:rPr>
        <w:t xml:space="preserve">or capital </w:t>
      </w:r>
      <w:r w:rsidR="00286D57" w:rsidRPr="00C12279">
        <w:rPr>
          <w:rFonts w:ascii="Times New Roman" w:hAnsi="Times New Roman" w:cs="Times New Roman"/>
          <w:i/>
          <w:sz w:val="24"/>
          <w:szCs w:val="24"/>
        </w:rPr>
        <w:t>of a business of another outside Zimbabwe</w:t>
      </w:r>
    </w:p>
    <w:p w14:paraId="36A07A9F" w14:textId="77777777" w:rsidR="00F70BFD" w:rsidRPr="00C12279" w:rsidRDefault="003E4838" w:rsidP="009B4E96">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meaning of the phrase “business of another outside Zimbabwe”</w:t>
      </w:r>
      <w:r w:rsidR="00B819F0" w:rsidRPr="00C12279">
        <w:rPr>
          <w:rFonts w:ascii="Times New Roman" w:hAnsi="Times New Roman" w:cs="Times New Roman"/>
          <w:sz w:val="24"/>
          <w:szCs w:val="24"/>
        </w:rPr>
        <w:t xml:space="preserve"> was the subject considerable dispute between counsel. </w:t>
      </w:r>
      <w:r w:rsidRPr="00C12279">
        <w:rPr>
          <w:rFonts w:ascii="Times New Roman" w:hAnsi="Times New Roman" w:cs="Times New Roman"/>
          <w:sz w:val="24"/>
          <w:szCs w:val="24"/>
        </w:rPr>
        <w:t xml:space="preserve">Mr </w:t>
      </w:r>
      <w:r w:rsidRPr="00C12279">
        <w:rPr>
          <w:rFonts w:ascii="Times New Roman" w:hAnsi="Times New Roman" w:cs="Times New Roman"/>
          <w:i/>
          <w:sz w:val="24"/>
          <w:szCs w:val="24"/>
        </w:rPr>
        <w:t>de Bourbon</w:t>
      </w:r>
      <w:r w:rsidRPr="00C12279">
        <w:rPr>
          <w:rFonts w:ascii="Times New Roman" w:hAnsi="Times New Roman" w:cs="Times New Roman"/>
          <w:sz w:val="24"/>
          <w:szCs w:val="24"/>
        </w:rPr>
        <w:t xml:space="preserve"> contended that the words referred to a </w:t>
      </w:r>
      <w:r w:rsidRPr="00C12279">
        <w:rPr>
          <w:rFonts w:ascii="Times New Roman" w:hAnsi="Times New Roman" w:cs="Times New Roman"/>
          <w:sz w:val="24"/>
          <w:szCs w:val="24"/>
        </w:rPr>
        <w:lastRenderedPageBreak/>
        <w:t xml:space="preserve">business that was located outside Zimbabwe. </w:t>
      </w:r>
      <w:r w:rsidR="008E095F" w:rsidRPr="00C12279">
        <w:rPr>
          <w:rFonts w:ascii="Times New Roman" w:hAnsi="Times New Roman" w:cs="Times New Roman"/>
          <w:sz w:val="24"/>
          <w:szCs w:val="24"/>
        </w:rPr>
        <w:t>He</w:t>
      </w:r>
      <w:r w:rsidRPr="00C12279">
        <w:rPr>
          <w:rFonts w:ascii="Times New Roman" w:hAnsi="Times New Roman" w:cs="Times New Roman"/>
          <w:sz w:val="24"/>
          <w:szCs w:val="24"/>
        </w:rPr>
        <w:t xml:space="preserve"> argued that the intermediary’s business was located outside Zimbabwe and the appellant who was located in Zimbabwe </w:t>
      </w:r>
      <w:r w:rsidR="008E095F" w:rsidRPr="00C12279">
        <w:rPr>
          <w:rFonts w:ascii="Times New Roman" w:hAnsi="Times New Roman" w:cs="Times New Roman"/>
          <w:sz w:val="24"/>
          <w:szCs w:val="24"/>
        </w:rPr>
        <w:t xml:space="preserve">therefore </w:t>
      </w:r>
      <w:r w:rsidRPr="00C12279">
        <w:rPr>
          <w:rFonts w:ascii="Times New Roman" w:hAnsi="Times New Roman" w:cs="Times New Roman"/>
          <w:sz w:val="24"/>
          <w:szCs w:val="24"/>
        </w:rPr>
        <w:t xml:space="preserve">did not </w:t>
      </w:r>
      <w:r w:rsidR="008E095F" w:rsidRPr="00C12279">
        <w:rPr>
          <w:rFonts w:ascii="Times New Roman" w:hAnsi="Times New Roman" w:cs="Times New Roman"/>
          <w:sz w:val="24"/>
          <w:szCs w:val="24"/>
        </w:rPr>
        <w:t xml:space="preserve">take part in the management, control or capital of the intermediary. Mr </w:t>
      </w:r>
      <w:r w:rsidR="008E095F" w:rsidRPr="00C12279">
        <w:rPr>
          <w:rFonts w:ascii="Times New Roman" w:hAnsi="Times New Roman" w:cs="Times New Roman"/>
          <w:i/>
          <w:sz w:val="24"/>
          <w:szCs w:val="24"/>
        </w:rPr>
        <w:t>Magwaliba</w:t>
      </w:r>
      <w:r w:rsidR="008E095F" w:rsidRPr="00C12279">
        <w:rPr>
          <w:rFonts w:ascii="Times New Roman" w:hAnsi="Times New Roman" w:cs="Times New Roman"/>
          <w:sz w:val="24"/>
          <w:szCs w:val="24"/>
        </w:rPr>
        <w:t xml:space="preserve"> contended that the words equally </w:t>
      </w:r>
      <w:r w:rsidR="005956C0" w:rsidRPr="00C12279">
        <w:rPr>
          <w:rFonts w:ascii="Times New Roman" w:hAnsi="Times New Roman" w:cs="Times New Roman"/>
          <w:sz w:val="24"/>
          <w:szCs w:val="24"/>
        </w:rPr>
        <w:t xml:space="preserve">applied to </w:t>
      </w:r>
      <w:r w:rsidR="008E095F" w:rsidRPr="00C12279">
        <w:rPr>
          <w:rFonts w:ascii="Times New Roman" w:hAnsi="Times New Roman" w:cs="Times New Roman"/>
          <w:sz w:val="24"/>
          <w:szCs w:val="24"/>
        </w:rPr>
        <w:t xml:space="preserve">a </w:t>
      </w:r>
      <w:r w:rsidR="005956C0" w:rsidRPr="00C12279">
        <w:rPr>
          <w:rFonts w:ascii="Times New Roman" w:hAnsi="Times New Roman" w:cs="Times New Roman"/>
          <w:sz w:val="24"/>
          <w:szCs w:val="24"/>
        </w:rPr>
        <w:t xml:space="preserve">business </w:t>
      </w:r>
      <w:r w:rsidR="008E095F" w:rsidRPr="00C12279">
        <w:rPr>
          <w:rFonts w:ascii="Times New Roman" w:hAnsi="Times New Roman" w:cs="Times New Roman"/>
          <w:sz w:val="24"/>
          <w:szCs w:val="24"/>
        </w:rPr>
        <w:t>person located outside Zimbabwe but whose business was located either in Zimbabwe or outside Zimbabwe.  He contended that the intermediary operated a business in Zimbabwe that was managed by the appellant. He therefore argued that the relationship between the appellant and the intermediary</w:t>
      </w:r>
      <w:r w:rsidR="005956C0" w:rsidRPr="00C12279">
        <w:rPr>
          <w:rFonts w:ascii="Times New Roman" w:hAnsi="Times New Roman" w:cs="Times New Roman"/>
          <w:sz w:val="24"/>
          <w:szCs w:val="24"/>
        </w:rPr>
        <w:t xml:space="preserve"> fell into the ambit of this requirement. </w:t>
      </w:r>
      <w:r w:rsidR="008E095F" w:rsidRPr="00C12279">
        <w:rPr>
          <w:rFonts w:ascii="Times New Roman" w:hAnsi="Times New Roman" w:cs="Times New Roman"/>
          <w:sz w:val="24"/>
          <w:szCs w:val="24"/>
        </w:rPr>
        <w:t xml:space="preserve"> </w:t>
      </w:r>
    </w:p>
    <w:p w14:paraId="4FB1550D" w14:textId="1E931A86" w:rsidR="00C94A3E" w:rsidRPr="00C12279" w:rsidRDefault="00286D57" w:rsidP="009B4E96">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pleadings, the documentary exhibits and the oral evidence of the appellant’s</w:t>
      </w:r>
      <w:r w:rsidR="00910BAD" w:rsidRPr="00C12279">
        <w:rPr>
          <w:rFonts w:ascii="Times New Roman" w:hAnsi="Times New Roman" w:cs="Times New Roman"/>
          <w:sz w:val="24"/>
          <w:szCs w:val="24"/>
        </w:rPr>
        <w:t xml:space="preserve"> managing director, which were not contradicted by any evidence led on behalf of the respondent </w:t>
      </w:r>
      <w:r w:rsidRPr="00C12279">
        <w:rPr>
          <w:rFonts w:ascii="Times New Roman" w:hAnsi="Times New Roman" w:cs="Times New Roman"/>
          <w:sz w:val="24"/>
          <w:szCs w:val="24"/>
        </w:rPr>
        <w:t>established that the appellant was not involve</w:t>
      </w:r>
      <w:r w:rsidR="00F70BFD" w:rsidRPr="00C12279">
        <w:rPr>
          <w:rFonts w:ascii="Times New Roman" w:hAnsi="Times New Roman" w:cs="Times New Roman"/>
          <w:sz w:val="24"/>
          <w:szCs w:val="24"/>
        </w:rPr>
        <w:t>d in the management, control or</w:t>
      </w:r>
      <w:r w:rsidRPr="00C12279">
        <w:rPr>
          <w:rFonts w:ascii="Times New Roman" w:hAnsi="Times New Roman" w:cs="Times New Roman"/>
          <w:sz w:val="24"/>
          <w:szCs w:val="24"/>
        </w:rPr>
        <w:t xml:space="preserve"> capital of any </w:t>
      </w:r>
      <w:r w:rsidR="00F70BFD" w:rsidRPr="00C12279">
        <w:rPr>
          <w:rFonts w:ascii="Times New Roman" w:hAnsi="Times New Roman" w:cs="Times New Roman"/>
          <w:sz w:val="24"/>
          <w:szCs w:val="24"/>
        </w:rPr>
        <w:t>business located in a foreign country</w:t>
      </w:r>
      <w:r w:rsidRPr="00C12279">
        <w:rPr>
          <w:rFonts w:ascii="Times New Roman" w:hAnsi="Times New Roman" w:cs="Times New Roman"/>
          <w:sz w:val="24"/>
          <w:szCs w:val="24"/>
        </w:rPr>
        <w:t xml:space="preserve">. It was not a shareholder </w:t>
      </w:r>
      <w:r w:rsidR="00910BAD" w:rsidRPr="00C12279">
        <w:rPr>
          <w:rFonts w:ascii="Times New Roman" w:hAnsi="Times New Roman" w:cs="Times New Roman"/>
          <w:sz w:val="24"/>
          <w:szCs w:val="24"/>
        </w:rPr>
        <w:t xml:space="preserve">in such a company </w:t>
      </w:r>
      <w:r w:rsidRPr="00C12279">
        <w:rPr>
          <w:rFonts w:ascii="Times New Roman" w:hAnsi="Times New Roman" w:cs="Times New Roman"/>
          <w:sz w:val="24"/>
          <w:szCs w:val="24"/>
        </w:rPr>
        <w:t xml:space="preserve">nor did </w:t>
      </w:r>
      <w:r w:rsidR="00910BAD" w:rsidRPr="00C12279">
        <w:rPr>
          <w:rFonts w:ascii="Times New Roman" w:hAnsi="Times New Roman" w:cs="Times New Roman"/>
          <w:sz w:val="24"/>
          <w:szCs w:val="24"/>
        </w:rPr>
        <w:t>it manage or control by itself or by proxy any such company. While it was a related company to the intermediary, it did not take part in the management, control and capital of the intermediary.</w:t>
      </w:r>
      <w:r w:rsidR="006D3A8C" w:rsidRPr="00C12279">
        <w:rPr>
          <w:rFonts w:ascii="Times New Roman" w:hAnsi="Times New Roman" w:cs="Times New Roman"/>
          <w:sz w:val="24"/>
          <w:szCs w:val="24"/>
        </w:rPr>
        <w:t xml:space="preserve"> </w:t>
      </w:r>
      <w:r w:rsidR="00786B41" w:rsidRPr="00C12279">
        <w:rPr>
          <w:rFonts w:ascii="Times New Roman" w:hAnsi="Times New Roman" w:cs="Times New Roman"/>
          <w:sz w:val="24"/>
          <w:szCs w:val="24"/>
        </w:rPr>
        <w:t>The appellant did not participate in the management, control or capital of the French holding company or the conglomerate</w:t>
      </w:r>
      <w:r w:rsidR="002C6961" w:rsidRPr="00C12279">
        <w:rPr>
          <w:rFonts w:ascii="Times New Roman" w:hAnsi="Times New Roman" w:cs="Times New Roman"/>
          <w:sz w:val="24"/>
          <w:szCs w:val="24"/>
        </w:rPr>
        <w:t xml:space="preserve">. </w:t>
      </w:r>
      <w:r w:rsidR="00C94A3E" w:rsidRPr="00C12279">
        <w:rPr>
          <w:rFonts w:ascii="Times New Roman" w:hAnsi="Times New Roman" w:cs="Times New Roman"/>
          <w:sz w:val="24"/>
          <w:szCs w:val="24"/>
        </w:rPr>
        <w:t>The question of whether the appellant managed the bonded warehouse on behalf of the intermediary is determined by the answer to the question of who the importer of the consignment stock was. The appellant maintained that it managed the bonded warehouse as the importer of the consignment stock</w:t>
      </w:r>
      <w:r w:rsidR="009A1D38">
        <w:rPr>
          <w:rFonts w:ascii="Times New Roman" w:hAnsi="Times New Roman" w:cs="Times New Roman"/>
          <w:sz w:val="24"/>
          <w:szCs w:val="24"/>
        </w:rPr>
        <w:t>, for its own account</w:t>
      </w:r>
      <w:r w:rsidR="009E7693" w:rsidRPr="00C12279">
        <w:rPr>
          <w:rFonts w:ascii="Times New Roman" w:hAnsi="Times New Roman" w:cs="Times New Roman"/>
          <w:sz w:val="24"/>
          <w:szCs w:val="24"/>
        </w:rPr>
        <w:t xml:space="preserve">. </w:t>
      </w:r>
    </w:p>
    <w:p w14:paraId="7719D22B" w14:textId="4701356D" w:rsidR="00412DAB" w:rsidRPr="00C12279" w:rsidRDefault="00C07C67" w:rsidP="009B4E96">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There was argument between counsel on whether the appellant was the importer of the consignment stock or not. Mr </w:t>
      </w:r>
      <w:r w:rsidRPr="00C12279">
        <w:rPr>
          <w:rFonts w:ascii="Times New Roman" w:hAnsi="Times New Roman" w:cs="Times New Roman"/>
          <w:i/>
          <w:sz w:val="24"/>
          <w:szCs w:val="24"/>
        </w:rPr>
        <w:t>de Bourbon</w:t>
      </w:r>
      <w:r w:rsidRPr="00C12279">
        <w:rPr>
          <w:rFonts w:ascii="Times New Roman" w:hAnsi="Times New Roman" w:cs="Times New Roman"/>
          <w:sz w:val="24"/>
          <w:szCs w:val="24"/>
        </w:rPr>
        <w:t xml:space="preserve"> relied on the bills of entry for the contention that the appellant was the importer while Mr </w:t>
      </w:r>
      <w:r w:rsidRPr="00C12279">
        <w:rPr>
          <w:rFonts w:ascii="Times New Roman" w:hAnsi="Times New Roman" w:cs="Times New Roman"/>
          <w:i/>
          <w:sz w:val="24"/>
          <w:szCs w:val="24"/>
        </w:rPr>
        <w:t>Magwaliba</w:t>
      </w:r>
      <w:r w:rsidR="00035F94">
        <w:rPr>
          <w:rFonts w:ascii="Times New Roman" w:hAnsi="Times New Roman" w:cs="Times New Roman"/>
          <w:sz w:val="24"/>
          <w:szCs w:val="24"/>
        </w:rPr>
        <w:t xml:space="preserve"> argued that it was the</w:t>
      </w:r>
      <w:r w:rsidRPr="00C12279">
        <w:rPr>
          <w:rFonts w:ascii="Times New Roman" w:hAnsi="Times New Roman" w:cs="Times New Roman"/>
          <w:sz w:val="24"/>
          <w:szCs w:val="24"/>
        </w:rPr>
        <w:t xml:space="preserve"> consignee. The chief investigations officer testified on the existence of three types of bills of entry in our law. The first was the bill of entry into Zimbabwe, the second was the bill of entry into a bonded warehouse and the third was a bill of entry for removal from bond for consumption</w:t>
      </w:r>
      <w:r w:rsidR="00D20AF5" w:rsidRPr="00C12279">
        <w:rPr>
          <w:rFonts w:ascii="Times New Roman" w:hAnsi="Times New Roman" w:cs="Times New Roman"/>
          <w:sz w:val="24"/>
          <w:szCs w:val="24"/>
        </w:rPr>
        <w:t xml:space="preserve"> in</w:t>
      </w:r>
      <w:r w:rsidRPr="00C12279">
        <w:rPr>
          <w:rFonts w:ascii="Times New Roman" w:hAnsi="Times New Roman" w:cs="Times New Roman"/>
          <w:sz w:val="24"/>
          <w:szCs w:val="24"/>
        </w:rPr>
        <w:t xml:space="preserve"> or for export out of Zimbabwe. His testimony was confirmed by the definition of both bill of entry and entry in s 2 of the Customs and Excise Act.  A bill of entry is defined </w:t>
      </w:r>
      <w:r w:rsidR="00412DAB" w:rsidRPr="00C12279">
        <w:rPr>
          <w:rFonts w:ascii="Times New Roman" w:hAnsi="Times New Roman" w:cs="Times New Roman"/>
          <w:sz w:val="24"/>
          <w:szCs w:val="24"/>
        </w:rPr>
        <w:t>“</w:t>
      </w:r>
      <w:r w:rsidRPr="00C12279">
        <w:rPr>
          <w:rFonts w:ascii="Times New Roman" w:hAnsi="Times New Roman" w:cs="Times New Roman"/>
          <w:sz w:val="24"/>
          <w:szCs w:val="24"/>
        </w:rPr>
        <w:t>as</w:t>
      </w:r>
      <w:r w:rsidR="00412DAB" w:rsidRPr="00C12279">
        <w:rPr>
          <w:rFonts w:ascii="Times New Roman" w:hAnsi="Times New Roman" w:cs="Times New Roman"/>
          <w:sz w:val="24"/>
          <w:szCs w:val="24"/>
        </w:rPr>
        <w:t xml:space="preserve"> a prescribed form on which an entry is made”.  Entry is defined thus:</w:t>
      </w:r>
    </w:p>
    <w:p w14:paraId="0E348B8A" w14:textId="77777777" w:rsidR="00412DAB" w:rsidRPr="00C12279" w:rsidRDefault="00412DAB" w:rsidP="00372814">
      <w:pPr>
        <w:autoSpaceDE w:val="0"/>
        <w:autoSpaceDN w:val="0"/>
        <w:adjustRightInd w:val="0"/>
        <w:spacing w:after="0" w:line="240" w:lineRule="auto"/>
        <w:ind w:left="720"/>
        <w:jc w:val="both"/>
        <w:rPr>
          <w:rFonts w:ascii="Times New Roman" w:hAnsi="Times New Roman" w:cs="Times New Roman"/>
          <w:sz w:val="24"/>
          <w:szCs w:val="24"/>
        </w:rPr>
      </w:pPr>
      <w:r w:rsidRPr="009B4E96">
        <w:rPr>
          <w:rFonts w:ascii="Times New Roman" w:hAnsi="Times New Roman" w:cs="Times New Roman"/>
        </w:rPr>
        <w:t xml:space="preserve">“ “entry” in relation to clearance of goods for importation, warehousing, removal from a warehouse or exportation, means the presentation in accordance with this Act of a correctly completed and signed declaration on a bill of entry in writing and, where direct trader input facilities exist, includes the recording of the required information on the Customs computer system, using procedures approved by the Commissioner, or using a computerised procedure approved by the Commissioner, together with such bills of lading, invoices, price lists and </w:t>
      </w:r>
      <w:r w:rsidRPr="009B4E96">
        <w:rPr>
          <w:rFonts w:ascii="Times New Roman" w:hAnsi="Times New Roman" w:cs="Times New Roman"/>
        </w:rPr>
        <w:lastRenderedPageBreak/>
        <w:t>other documents showing the purchase value of the goods together with the freight, insurance and other charges on the goods required to be declared by any provision of this Act</w:t>
      </w:r>
      <w:r w:rsidRPr="00C12279">
        <w:rPr>
          <w:rFonts w:ascii="Times New Roman" w:hAnsi="Times New Roman" w:cs="Times New Roman"/>
          <w:sz w:val="24"/>
          <w:szCs w:val="24"/>
        </w:rPr>
        <w:t>;”</w:t>
      </w:r>
    </w:p>
    <w:p w14:paraId="30CEF25C" w14:textId="77777777" w:rsidR="00412DAB" w:rsidRPr="00C12279" w:rsidRDefault="00412DAB" w:rsidP="00372814">
      <w:pPr>
        <w:autoSpaceDE w:val="0"/>
        <w:autoSpaceDN w:val="0"/>
        <w:adjustRightInd w:val="0"/>
        <w:spacing w:after="0" w:line="240" w:lineRule="auto"/>
        <w:jc w:val="both"/>
        <w:rPr>
          <w:rFonts w:ascii="Times New Roman" w:hAnsi="Times New Roman" w:cs="Times New Roman"/>
          <w:sz w:val="24"/>
          <w:szCs w:val="24"/>
        </w:rPr>
      </w:pPr>
    </w:p>
    <w:p w14:paraId="11CA1E64" w14:textId="77777777" w:rsidR="00412DAB" w:rsidRDefault="00412DAB" w:rsidP="00EA49A3">
      <w:pPr>
        <w:autoSpaceDE w:val="0"/>
        <w:autoSpaceDN w:val="0"/>
        <w:adjustRightInd w:val="0"/>
        <w:spacing w:after="0" w:line="240" w:lineRule="auto"/>
        <w:jc w:val="both"/>
        <w:rPr>
          <w:rFonts w:ascii="Times New Roman" w:hAnsi="Times New Roman" w:cs="Times New Roman"/>
          <w:sz w:val="24"/>
          <w:szCs w:val="24"/>
        </w:rPr>
      </w:pPr>
      <w:r w:rsidRPr="00C12279">
        <w:rPr>
          <w:rFonts w:ascii="Times New Roman" w:hAnsi="Times New Roman" w:cs="Times New Roman"/>
          <w:sz w:val="24"/>
          <w:szCs w:val="24"/>
        </w:rPr>
        <w:t xml:space="preserve">In regards to import and importer, the Act states that: </w:t>
      </w:r>
    </w:p>
    <w:p w14:paraId="0BB36BA7" w14:textId="77777777" w:rsidR="009B4E96" w:rsidRPr="00C12279" w:rsidRDefault="009B4E96" w:rsidP="009B4E96">
      <w:pPr>
        <w:autoSpaceDE w:val="0"/>
        <w:autoSpaceDN w:val="0"/>
        <w:adjustRightInd w:val="0"/>
        <w:spacing w:after="0" w:line="240" w:lineRule="auto"/>
        <w:ind w:firstLine="720"/>
        <w:jc w:val="both"/>
        <w:rPr>
          <w:rFonts w:ascii="Times New Roman" w:hAnsi="Times New Roman" w:cs="Times New Roman"/>
          <w:sz w:val="24"/>
          <w:szCs w:val="24"/>
        </w:rPr>
      </w:pPr>
    </w:p>
    <w:p w14:paraId="3C607D05" w14:textId="77777777" w:rsidR="0072223A" w:rsidRPr="009B4E96" w:rsidRDefault="00412DAB" w:rsidP="00372814">
      <w:pPr>
        <w:autoSpaceDE w:val="0"/>
        <w:autoSpaceDN w:val="0"/>
        <w:adjustRightInd w:val="0"/>
        <w:spacing w:after="0" w:line="240" w:lineRule="auto"/>
        <w:ind w:left="720"/>
        <w:jc w:val="both"/>
        <w:rPr>
          <w:rFonts w:ascii="Times New Roman" w:hAnsi="Times New Roman" w:cs="Times New Roman"/>
        </w:rPr>
      </w:pPr>
      <w:r w:rsidRPr="00C12279">
        <w:rPr>
          <w:rFonts w:ascii="Times New Roman" w:hAnsi="Times New Roman" w:cs="Times New Roman"/>
          <w:sz w:val="24"/>
          <w:szCs w:val="24"/>
        </w:rPr>
        <w:t>“</w:t>
      </w:r>
      <w:r w:rsidRPr="009B4E96">
        <w:rPr>
          <w:rFonts w:ascii="Times New Roman" w:hAnsi="Times New Roman" w:cs="Times New Roman"/>
        </w:rPr>
        <w:t xml:space="preserve">import” means to bring goods or cause goods to be brought into Zimbabwe; </w:t>
      </w:r>
    </w:p>
    <w:p w14:paraId="76AA065C" w14:textId="5CA90653" w:rsidR="00412DAB" w:rsidRPr="00C12279" w:rsidRDefault="00412DAB" w:rsidP="00372814">
      <w:pPr>
        <w:autoSpaceDE w:val="0"/>
        <w:autoSpaceDN w:val="0"/>
        <w:adjustRightInd w:val="0"/>
        <w:spacing w:after="0" w:line="240" w:lineRule="auto"/>
        <w:ind w:left="720"/>
        <w:jc w:val="both"/>
        <w:rPr>
          <w:rFonts w:ascii="Times New Roman" w:hAnsi="Times New Roman" w:cs="Times New Roman"/>
          <w:sz w:val="24"/>
          <w:szCs w:val="24"/>
        </w:rPr>
      </w:pPr>
      <w:r w:rsidRPr="009B4E96">
        <w:rPr>
          <w:rFonts w:ascii="Times New Roman" w:hAnsi="Times New Roman" w:cs="Times New Roman"/>
        </w:rPr>
        <w:t>“importer”, in relation to goods, includes any owner of or other person possessed of or beneficially interested in any goods at any time before entry of the same has been made and the requirements of this Act fulfilled</w:t>
      </w:r>
      <w:r w:rsidRPr="00C12279">
        <w:rPr>
          <w:rFonts w:ascii="Times New Roman" w:hAnsi="Times New Roman" w:cs="Times New Roman"/>
          <w:sz w:val="24"/>
          <w:szCs w:val="24"/>
        </w:rPr>
        <w:t>;”</w:t>
      </w:r>
    </w:p>
    <w:p w14:paraId="3C4FEF6C" w14:textId="77777777" w:rsidR="0072223A" w:rsidRPr="00C12279" w:rsidRDefault="0072223A" w:rsidP="00372814">
      <w:pPr>
        <w:autoSpaceDE w:val="0"/>
        <w:autoSpaceDN w:val="0"/>
        <w:adjustRightInd w:val="0"/>
        <w:spacing w:after="0" w:line="240" w:lineRule="auto"/>
        <w:jc w:val="both"/>
        <w:rPr>
          <w:rFonts w:ascii="Times New Roman" w:hAnsi="Times New Roman" w:cs="Times New Roman"/>
          <w:sz w:val="24"/>
          <w:szCs w:val="24"/>
        </w:rPr>
      </w:pPr>
    </w:p>
    <w:p w14:paraId="57877AE7" w14:textId="3688C42A" w:rsidR="00EC0730" w:rsidRPr="00C12279" w:rsidRDefault="0072223A" w:rsidP="009B4E96">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w:t>
      </w:r>
      <w:r w:rsidR="00783605" w:rsidRPr="00C12279">
        <w:rPr>
          <w:rFonts w:ascii="Times New Roman" w:hAnsi="Times New Roman" w:cs="Times New Roman"/>
          <w:sz w:val="24"/>
          <w:szCs w:val="24"/>
        </w:rPr>
        <w:t>n</w:t>
      </w:r>
      <w:r w:rsidR="00892397" w:rsidRPr="00C12279">
        <w:rPr>
          <w:rFonts w:ascii="Times New Roman" w:hAnsi="Times New Roman" w:cs="Times New Roman"/>
          <w:sz w:val="24"/>
          <w:szCs w:val="24"/>
        </w:rPr>
        <w:t xml:space="preserve"> </w:t>
      </w:r>
      <w:r w:rsidRPr="00C12279">
        <w:rPr>
          <w:rFonts w:ascii="Times New Roman" w:hAnsi="Times New Roman" w:cs="Times New Roman"/>
          <w:sz w:val="24"/>
          <w:szCs w:val="24"/>
        </w:rPr>
        <w:t xml:space="preserve">an almost analogous case of </w:t>
      </w:r>
      <w:r w:rsidR="00892397" w:rsidRPr="00C12279">
        <w:rPr>
          <w:rFonts w:ascii="Times New Roman" w:hAnsi="Times New Roman" w:cs="Times New Roman"/>
          <w:i/>
          <w:sz w:val="24"/>
          <w:szCs w:val="24"/>
        </w:rPr>
        <w:t xml:space="preserve">AT International Ltd </w:t>
      </w:r>
      <w:r w:rsidR="008A7E84" w:rsidRPr="009B4E96">
        <w:rPr>
          <w:rFonts w:ascii="Times New Roman" w:hAnsi="Times New Roman" w:cs="Times New Roman"/>
          <w:sz w:val="24"/>
          <w:szCs w:val="24"/>
        </w:rPr>
        <w:t>v</w:t>
      </w:r>
      <w:r w:rsidR="008A7E84" w:rsidRPr="00C12279">
        <w:rPr>
          <w:rFonts w:ascii="Times New Roman" w:hAnsi="Times New Roman" w:cs="Times New Roman"/>
          <w:i/>
          <w:sz w:val="24"/>
          <w:szCs w:val="24"/>
        </w:rPr>
        <w:t xml:space="preserve"> Zimra</w:t>
      </w:r>
      <w:r w:rsidR="008A7E84" w:rsidRPr="00C12279">
        <w:rPr>
          <w:rFonts w:ascii="Times New Roman" w:hAnsi="Times New Roman" w:cs="Times New Roman"/>
          <w:sz w:val="24"/>
          <w:szCs w:val="24"/>
        </w:rPr>
        <w:t xml:space="preserve"> </w:t>
      </w:r>
      <w:r w:rsidR="00A036D0" w:rsidRPr="00C12279">
        <w:rPr>
          <w:rFonts w:ascii="Times New Roman" w:hAnsi="Times New Roman" w:cs="Times New Roman"/>
          <w:sz w:val="24"/>
          <w:szCs w:val="24"/>
        </w:rPr>
        <w:t>2015 (2) ZLR 143 (H) a</w:t>
      </w:r>
      <w:r w:rsidR="004379CC" w:rsidRPr="00C12279">
        <w:rPr>
          <w:rFonts w:ascii="Times New Roman" w:hAnsi="Times New Roman" w:cs="Times New Roman"/>
          <w:sz w:val="24"/>
          <w:szCs w:val="24"/>
        </w:rPr>
        <w:t>t 154D-155A</w:t>
      </w:r>
      <w:r w:rsidR="00074708" w:rsidRPr="00C12279">
        <w:rPr>
          <w:rFonts w:ascii="Times New Roman" w:hAnsi="Times New Roman" w:cs="Times New Roman"/>
          <w:sz w:val="24"/>
          <w:szCs w:val="24"/>
        </w:rPr>
        <w:t xml:space="preserve"> by </w:t>
      </w:r>
      <w:r w:rsidR="00034378" w:rsidRPr="00C12279">
        <w:rPr>
          <w:rFonts w:ascii="Times New Roman" w:hAnsi="Times New Roman" w:cs="Times New Roman"/>
          <w:sz w:val="24"/>
          <w:szCs w:val="24"/>
        </w:rPr>
        <w:t xml:space="preserve">reference to the definition </w:t>
      </w:r>
      <w:r w:rsidR="00453847" w:rsidRPr="00C12279">
        <w:rPr>
          <w:rFonts w:ascii="Times New Roman" w:hAnsi="Times New Roman" w:cs="Times New Roman"/>
          <w:sz w:val="24"/>
          <w:szCs w:val="24"/>
        </w:rPr>
        <w:t>of “</w:t>
      </w:r>
      <w:r w:rsidR="00034378" w:rsidRPr="00C12279">
        <w:rPr>
          <w:rFonts w:ascii="Times New Roman" w:hAnsi="Times New Roman" w:cs="Times New Roman"/>
          <w:sz w:val="24"/>
          <w:szCs w:val="24"/>
        </w:rPr>
        <w:t>import”, “importer” and “entry” of</w:t>
      </w:r>
      <w:r w:rsidR="004379CC" w:rsidRPr="00C12279">
        <w:rPr>
          <w:rFonts w:ascii="Times New Roman" w:hAnsi="Times New Roman" w:cs="Times New Roman"/>
          <w:sz w:val="24"/>
          <w:szCs w:val="24"/>
        </w:rPr>
        <w:t xml:space="preserve"> </w:t>
      </w:r>
      <w:r w:rsidR="00A036D0" w:rsidRPr="00C12279">
        <w:rPr>
          <w:rFonts w:ascii="Times New Roman" w:hAnsi="Times New Roman" w:cs="Times New Roman"/>
          <w:sz w:val="24"/>
          <w:szCs w:val="24"/>
        </w:rPr>
        <w:t xml:space="preserve">s 2 of the Customs and Excise Act </w:t>
      </w:r>
      <w:r w:rsidR="00034378" w:rsidRPr="00C12279">
        <w:rPr>
          <w:rFonts w:ascii="Times New Roman" w:hAnsi="Times New Roman" w:cs="Times New Roman"/>
          <w:sz w:val="24"/>
          <w:szCs w:val="24"/>
        </w:rPr>
        <w:t>I held that a foreign registered company was the importer of goods that had been purchased in South Africa</w:t>
      </w:r>
      <w:r w:rsidR="00074708" w:rsidRPr="00C12279">
        <w:rPr>
          <w:rFonts w:ascii="Times New Roman" w:hAnsi="Times New Roman" w:cs="Times New Roman"/>
          <w:sz w:val="24"/>
          <w:szCs w:val="24"/>
        </w:rPr>
        <w:t xml:space="preserve"> and consigned to a local company</w:t>
      </w:r>
      <w:r w:rsidRPr="00C12279">
        <w:rPr>
          <w:rFonts w:ascii="Times New Roman" w:hAnsi="Times New Roman" w:cs="Times New Roman"/>
          <w:sz w:val="24"/>
          <w:szCs w:val="24"/>
        </w:rPr>
        <w:t xml:space="preserve"> in Zimbabwe</w:t>
      </w:r>
      <w:r w:rsidR="00074708" w:rsidRPr="00C12279">
        <w:rPr>
          <w:rFonts w:ascii="Times New Roman" w:hAnsi="Times New Roman" w:cs="Times New Roman"/>
          <w:sz w:val="24"/>
          <w:szCs w:val="24"/>
        </w:rPr>
        <w:t xml:space="preserve">. </w:t>
      </w:r>
      <w:r w:rsidR="00034378" w:rsidRPr="00C12279">
        <w:rPr>
          <w:rFonts w:ascii="Times New Roman" w:hAnsi="Times New Roman" w:cs="Times New Roman"/>
          <w:sz w:val="24"/>
          <w:szCs w:val="24"/>
        </w:rPr>
        <w:t xml:space="preserve"> </w:t>
      </w:r>
      <w:r w:rsidRPr="00C12279">
        <w:rPr>
          <w:rFonts w:ascii="Times New Roman" w:hAnsi="Times New Roman" w:cs="Times New Roman"/>
          <w:sz w:val="24"/>
          <w:szCs w:val="24"/>
        </w:rPr>
        <w:t>In the present case, the intermediary met the definition of importer.  Whether the appellant was “any other person possessed of or beneficially interested in the goods at any time before their entry had been made and the requirements of the Act fulfilled</w:t>
      </w:r>
      <w:r w:rsidR="001307E4" w:rsidRPr="00C12279">
        <w:rPr>
          <w:rFonts w:ascii="Times New Roman" w:hAnsi="Times New Roman" w:cs="Times New Roman"/>
          <w:sz w:val="24"/>
          <w:szCs w:val="24"/>
        </w:rPr>
        <w:t>”</w:t>
      </w:r>
      <w:r w:rsidRPr="00C12279">
        <w:rPr>
          <w:rFonts w:ascii="Times New Roman" w:hAnsi="Times New Roman" w:cs="Times New Roman"/>
          <w:sz w:val="24"/>
          <w:szCs w:val="24"/>
        </w:rPr>
        <w:t xml:space="preserve"> is a question of fact </w:t>
      </w:r>
      <w:r w:rsidR="00453847" w:rsidRPr="00C12279">
        <w:rPr>
          <w:rFonts w:ascii="Times New Roman" w:hAnsi="Times New Roman" w:cs="Times New Roman"/>
          <w:sz w:val="24"/>
          <w:szCs w:val="24"/>
        </w:rPr>
        <w:t>to be decided on the basis of the available evidence</w:t>
      </w:r>
      <w:r w:rsidR="00056DB6" w:rsidRPr="00C12279">
        <w:rPr>
          <w:rFonts w:ascii="Times New Roman" w:hAnsi="Times New Roman" w:cs="Times New Roman"/>
          <w:sz w:val="24"/>
          <w:szCs w:val="24"/>
        </w:rPr>
        <w:t xml:space="preserve"> and the relevant provisions found in Part III of the Customs and Excise Act. </w:t>
      </w:r>
      <w:r w:rsidR="00F65EFE" w:rsidRPr="00C12279">
        <w:rPr>
          <w:rFonts w:ascii="Times New Roman" w:hAnsi="Times New Roman" w:cs="Times New Roman"/>
          <w:sz w:val="24"/>
          <w:szCs w:val="24"/>
        </w:rPr>
        <w:t xml:space="preserve">The appellant did not possess but was </w:t>
      </w:r>
      <w:r w:rsidR="00827DFD" w:rsidRPr="00C12279">
        <w:rPr>
          <w:rFonts w:ascii="Times New Roman" w:hAnsi="Times New Roman" w:cs="Times New Roman"/>
          <w:sz w:val="24"/>
          <w:szCs w:val="24"/>
        </w:rPr>
        <w:t xml:space="preserve">in terms of the distribution agreement and the tripartite agreement </w:t>
      </w:r>
      <w:r w:rsidR="00F65EFE" w:rsidRPr="00C12279">
        <w:rPr>
          <w:rFonts w:ascii="Times New Roman" w:hAnsi="Times New Roman" w:cs="Times New Roman"/>
          <w:sz w:val="24"/>
          <w:szCs w:val="24"/>
        </w:rPr>
        <w:t xml:space="preserve">beneficially interested in the goods before their entry into Zimbabwe. </w:t>
      </w:r>
      <w:r w:rsidR="00827DFD" w:rsidRPr="00C12279">
        <w:rPr>
          <w:rFonts w:ascii="Times New Roman" w:hAnsi="Times New Roman" w:cs="Times New Roman"/>
          <w:sz w:val="24"/>
          <w:szCs w:val="24"/>
        </w:rPr>
        <w:t xml:space="preserve">These vehicles were coming to Zimbabwe </w:t>
      </w:r>
      <w:r w:rsidR="00542190">
        <w:rPr>
          <w:rFonts w:ascii="Times New Roman" w:hAnsi="Times New Roman" w:cs="Times New Roman"/>
          <w:sz w:val="24"/>
          <w:szCs w:val="24"/>
        </w:rPr>
        <w:t xml:space="preserve">in terms of the distribution agreement </w:t>
      </w:r>
      <w:r w:rsidR="00827DFD" w:rsidRPr="00C12279">
        <w:rPr>
          <w:rFonts w:ascii="Times New Roman" w:hAnsi="Times New Roman" w:cs="Times New Roman"/>
          <w:sz w:val="24"/>
          <w:szCs w:val="24"/>
        </w:rPr>
        <w:t>at the instance of the appellant and for the business of the appellant.  A</w:t>
      </w:r>
      <w:r w:rsidR="00F65EFE" w:rsidRPr="00C12279">
        <w:rPr>
          <w:rFonts w:ascii="Times New Roman" w:hAnsi="Times New Roman" w:cs="Times New Roman"/>
          <w:sz w:val="24"/>
          <w:szCs w:val="24"/>
        </w:rPr>
        <w:t>ccordingly</w:t>
      </w:r>
      <w:r w:rsidR="00827DFD" w:rsidRPr="00C12279">
        <w:rPr>
          <w:rFonts w:ascii="Times New Roman" w:hAnsi="Times New Roman" w:cs="Times New Roman"/>
          <w:sz w:val="24"/>
          <w:szCs w:val="24"/>
        </w:rPr>
        <w:t>, I agree</w:t>
      </w:r>
      <w:r w:rsidR="00F65EFE" w:rsidRPr="00C12279">
        <w:rPr>
          <w:rFonts w:ascii="Times New Roman" w:hAnsi="Times New Roman" w:cs="Times New Roman"/>
          <w:sz w:val="24"/>
          <w:szCs w:val="24"/>
        </w:rPr>
        <w:t xml:space="preserve"> with Mr </w:t>
      </w:r>
      <w:r w:rsidR="00F65EFE" w:rsidRPr="00C12279">
        <w:rPr>
          <w:rFonts w:ascii="Times New Roman" w:hAnsi="Times New Roman" w:cs="Times New Roman"/>
          <w:i/>
          <w:sz w:val="24"/>
          <w:szCs w:val="24"/>
        </w:rPr>
        <w:t>de Bourbon</w:t>
      </w:r>
      <w:r w:rsidR="00F65EFE" w:rsidRPr="00C12279">
        <w:rPr>
          <w:rFonts w:ascii="Times New Roman" w:hAnsi="Times New Roman" w:cs="Times New Roman"/>
          <w:sz w:val="24"/>
          <w:szCs w:val="24"/>
        </w:rPr>
        <w:t xml:space="preserve"> that the appellant was the importer. </w:t>
      </w:r>
    </w:p>
    <w:p w14:paraId="08F32FE1" w14:textId="1066EB42" w:rsidR="00C66EA4" w:rsidRPr="00C12279" w:rsidRDefault="00827DFD" w:rsidP="009B4E96">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A</w:t>
      </w:r>
      <w:r w:rsidR="005A260E" w:rsidRPr="00C12279">
        <w:rPr>
          <w:rFonts w:ascii="Times New Roman" w:hAnsi="Times New Roman" w:cs="Times New Roman"/>
          <w:sz w:val="24"/>
          <w:szCs w:val="24"/>
        </w:rPr>
        <w:t xml:space="preserve">s the importer, the appellant carried the obligation to warehouse the vehicles.  It was in the business of selling vehicles. The appellant was contractually bound by the distribution agreement </w:t>
      </w:r>
      <w:r w:rsidR="00E11999" w:rsidRPr="00C12279">
        <w:rPr>
          <w:rFonts w:ascii="Times New Roman" w:hAnsi="Times New Roman" w:cs="Times New Roman"/>
          <w:sz w:val="24"/>
          <w:szCs w:val="24"/>
        </w:rPr>
        <w:t xml:space="preserve">not only to purchase and sell a prescribed minimum number of vehicles but also </w:t>
      </w:r>
      <w:r w:rsidR="005A260E" w:rsidRPr="00C12279">
        <w:rPr>
          <w:rFonts w:ascii="Times New Roman" w:hAnsi="Times New Roman" w:cs="Times New Roman"/>
          <w:sz w:val="24"/>
          <w:szCs w:val="24"/>
        </w:rPr>
        <w:t xml:space="preserve">to grow </w:t>
      </w:r>
      <w:r w:rsidR="00E11999" w:rsidRPr="00C12279">
        <w:rPr>
          <w:rFonts w:ascii="Times New Roman" w:hAnsi="Times New Roman" w:cs="Times New Roman"/>
          <w:sz w:val="24"/>
          <w:szCs w:val="24"/>
        </w:rPr>
        <w:t xml:space="preserve">the business and enhance its market share. These objectives could only be achieved among other ways by promoting and advertising the brand. </w:t>
      </w:r>
      <w:r w:rsidR="00C66EA4" w:rsidRPr="00C12279">
        <w:rPr>
          <w:rFonts w:ascii="Times New Roman" w:hAnsi="Times New Roman" w:cs="Times New Roman"/>
          <w:sz w:val="24"/>
          <w:szCs w:val="24"/>
        </w:rPr>
        <w:t>Both our common law and statutory law recognise the reservation of ownership. I</w:t>
      </w:r>
      <w:r w:rsidR="00E11999" w:rsidRPr="00C12279">
        <w:rPr>
          <w:rFonts w:ascii="Times New Roman" w:hAnsi="Times New Roman" w:cs="Times New Roman"/>
          <w:sz w:val="24"/>
          <w:szCs w:val="24"/>
        </w:rPr>
        <w:t xml:space="preserve">n </w:t>
      </w:r>
      <w:r w:rsidR="00C66EA4" w:rsidRPr="00C12279">
        <w:rPr>
          <w:rFonts w:ascii="Times New Roman" w:hAnsi="Times New Roman" w:cs="Times New Roman"/>
          <w:sz w:val="24"/>
          <w:szCs w:val="24"/>
        </w:rPr>
        <w:t xml:space="preserve">in </w:t>
      </w:r>
      <w:r w:rsidR="00C66EA4" w:rsidRPr="00C12279">
        <w:rPr>
          <w:rFonts w:ascii="Times New Roman" w:hAnsi="Times New Roman" w:cs="Times New Roman"/>
          <w:i/>
          <w:sz w:val="24"/>
          <w:szCs w:val="24"/>
        </w:rPr>
        <w:t xml:space="preserve">Rennie Grinaker Holdings (Pvt) Ltd </w:t>
      </w:r>
      <w:r w:rsidR="00C66EA4" w:rsidRPr="00883AA4">
        <w:rPr>
          <w:rFonts w:ascii="Times New Roman" w:hAnsi="Times New Roman" w:cs="Times New Roman"/>
          <w:sz w:val="24"/>
          <w:szCs w:val="24"/>
        </w:rPr>
        <w:t>v</w:t>
      </w:r>
      <w:r w:rsidR="00C66EA4" w:rsidRPr="00C12279">
        <w:rPr>
          <w:rFonts w:ascii="Times New Roman" w:hAnsi="Times New Roman" w:cs="Times New Roman"/>
          <w:i/>
          <w:sz w:val="24"/>
          <w:szCs w:val="24"/>
        </w:rPr>
        <w:t xml:space="preserve"> Sociedade Intercontinental de Compressors Hermeticos Sicom Ltda </w:t>
      </w:r>
      <w:r w:rsidR="00C66EA4" w:rsidRPr="00C12279">
        <w:rPr>
          <w:rFonts w:ascii="Times New Roman" w:hAnsi="Times New Roman" w:cs="Times New Roman"/>
          <w:sz w:val="24"/>
          <w:szCs w:val="24"/>
        </w:rPr>
        <w:t xml:space="preserve"> 1997 (1) ZLR 173  (SC) at 182-183 </w:t>
      </w:r>
      <w:r w:rsidR="00C66EA4" w:rsidRPr="00883AA4">
        <w:rPr>
          <w:rFonts w:ascii="Times New Roman" w:hAnsi="Times New Roman" w:cs="Times New Roman"/>
          <w:smallCaps/>
          <w:sz w:val="24"/>
          <w:szCs w:val="24"/>
        </w:rPr>
        <w:t>K</w:t>
      </w:r>
      <w:r w:rsidR="00883AA4" w:rsidRPr="00883AA4">
        <w:rPr>
          <w:rFonts w:ascii="Times New Roman" w:hAnsi="Times New Roman" w:cs="Times New Roman"/>
          <w:smallCaps/>
          <w:sz w:val="24"/>
          <w:szCs w:val="24"/>
        </w:rPr>
        <w:t>orsah</w:t>
      </w:r>
      <w:r w:rsidR="00C66EA4" w:rsidRPr="00C12279">
        <w:rPr>
          <w:rFonts w:ascii="Times New Roman" w:hAnsi="Times New Roman" w:cs="Times New Roman"/>
          <w:sz w:val="24"/>
          <w:szCs w:val="24"/>
        </w:rPr>
        <w:t xml:space="preserve"> JA approved and applied the </w:t>
      </w:r>
      <w:r w:rsidR="00C66EA4" w:rsidRPr="00C12279">
        <w:rPr>
          <w:rFonts w:ascii="Times New Roman" w:hAnsi="Times New Roman" w:cs="Times New Roman"/>
          <w:i/>
          <w:sz w:val="24"/>
          <w:szCs w:val="24"/>
        </w:rPr>
        <w:t>dictum</w:t>
      </w:r>
      <w:r w:rsidR="00C66EA4" w:rsidRPr="00C12279">
        <w:rPr>
          <w:rFonts w:ascii="Times New Roman" w:hAnsi="Times New Roman" w:cs="Times New Roman"/>
          <w:sz w:val="24"/>
          <w:szCs w:val="24"/>
        </w:rPr>
        <w:t xml:space="preserve"> in</w:t>
      </w:r>
      <w:r w:rsidR="00D20AF5" w:rsidRPr="00C12279">
        <w:rPr>
          <w:rFonts w:ascii="Times New Roman" w:hAnsi="Times New Roman" w:cs="Times New Roman"/>
          <w:sz w:val="24"/>
          <w:szCs w:val="24"/>
        </w:rPr>
        <w:t xml:space="preserve"> </w:t>
      </w:r>
      <w:r w:rsidR="00C66EA4" w:rsidRPr="00C12279">
        <w:rPr>
          <w:rFonts w:ascii="Times New Roman" w:hAnsi="Times New Roman" w:cs="Times New Roman"/>
          <w:i/>
          <w:sz w:val="24"/>
          <w:szCs w:val="24"/>
        </w:rPr>
        <w:t xml:space="preserve">Lendalease Finance (Pty) Ltd </w:t>
      </w:r>
      <w:r w:rsidR="00C66EA4" w:rsidRPr="00AD6517">
        <w:rPr>
          <w:rFonts w:ascii="Times New Roman" w:hAnsi="Times New Roman" w:cs="Times New Roman"/>
          <w:sz w:val="24"/>
          <w:szCs w:val="24"/>
        </w:rPr>
        <w:t>v</w:t>
      </w:r>
      <w:r w:rsidR="00C66EA4" w:rsidRPr="00C12279">
        <w:rPr>
          <w:rFonts w:ascii="Times New Roman" w:hAnsi="Times New Roman" w:cs="Times New Roman"/>
          <w:i/>
          <w:sz w:val="24"/>
          <w:szCs w:val="24"/>
        </w:rPr>
        <w:t xml:space="preserve"> Corporacion de Mercadeo Agricola &amp; Ors </w:t>
      </w:r>
      <w:r w:rsidR="00C66EA4" w:rsidRPr="00C12279">
        <w:rPr>
          <w:rFonts w:ascii="Times New Roman" w:hAnsi="Times New Roman" w:cs="Times New Roman"/>
          <w:sz w:val="24"/>
          <w:szCs w:val="24"/>
        </w:rPr>
        <w:t xml:space="preserve"> 1976 (4) SA 464 (A) at 498-490 where </w:t>
      </w:r>
      <w:r w:rsidR="00C66EA4" w:rsidRPr="00883AA4">
        <w:rPr>
          <w:rFonts w:ascii="Times New Roman" w:hAnsi="Times New Roman" w:cs="Times New Roman"/>
          <w:smallCaps/>
          <w:sz w:val="24"/>
          <w:szCs w:val="24"/>
        </w:rPr>
        <w:t>Corbett</w:t>
      </w:r>
      <w:r w:rsidR="00C66EA4" w:rsidRPr="00C12279">
        <w:rPr>
          <w:rFonts w:ascii="Times New Roman" w:hAnsi="Times New Roman" w:cs="Times New Roman"/>
          <w:sz w:val="24"/>
          <w:szCs w:val="24"/>
        </w:rPr>
        <w:t xml:space="preserve"> JA said:</w:t>
      </w:r>
    </w:p>
    <w:p w14:paraId="74808148" w14:textId="77777777" w:rsidR="00C66EA4" w:rsidRPr="00C12279" w:rsidRDefault="00C66EA4" w:rsidP="00C66EA4">
      <w:pPr>
        <w:ind w:left="720"/>
        <w:jc w:val="both"/>
        <w:rPr>
          <w:rFonts w:ascii="Times New Roman" w:hAnsi="Times New Roman" w:cs="Times New Roman"/>
          <w:sz w:val="24"/>
          <w:szCs w:val="24"/>
        </w:rPr>
      </w:pPr>
      <w:r w:rsidRPr="00C12279">
        <w:rPr>
          <w:rFonts w:ascii="Times New Roman" w:hAnsi="Times New Roman" w:cs="Times New Roman"/>
          <w:sz w:val="24"/>
          <w:szCs w:val="24"/>
        </w:rPr>
        <w:t>“</w:t>
      </w:r>
      <w:r w:rsidRPr="00883AA4">
        <w:rPr>
          <w:rFonts w:ascii="Times New Roman" w:hAnsi="Times New Roman" w:cs="Times New Roman"/>
        </w:rPr>
        <w:t xml:space="preserve">According to our law, unlike certain other legal systems ownership cannot pass by virtue of the contract of sale alone:, there must in addition, be at least a proper delivery to the purchaser of the contract goods……Whether delivery alone will suffice depends in general upon the intention of the parties…..; and in this connection important considerations are (a) whether </w:t>
      </w:r>
      <w:r w:rsidRPr="00883AA4">
        <w:rPr>
          <w:rFonts w:ascii="Times New Roman" w:hAnsi="Times New Roman" w:cs="Times New Roman"/>
        </w:rPr>
        <w:lastRenderedPageBreak/>
        <w:t>the contract contains conditions affecting the passing of ownership….and (b) whether the sale is for cash or credit</w:t>
      </w:r>
      <w:r w:rsidRPr="00C12279">
        <w:rPr>
          <w:rFonts w:ascii="Times New Roman" w:hAnsi="Times New Roman" w:cs="Times New Roman"/>
          <w:sz w:val="24"/>
          <w:szCs w:val="24"/>
        </w:rPr>
        <w:t xml:space="preserve">.” </w:t>
      </w:r>
    </w:p>
    <w:p w14:paraId="00ECB05B" w14:textId="0DEE3DE2" w:rsidR="00C66EA4" w:rsidRDefault="00A61292" w:rsidP="007370F3">
      <w:pPr>
        <w:autoSpaceDE w:val="0"/>
        <w:autoSpaceDN w:val="0"/>
        <w:adjustRightInd w:val="0"/>
        <w:spacing w:after="0" w:line="240" w:lineRule="auto"/>
        <w:jc w:val="both"/>
        <w:rPr>
          <w:rFonts w:ascii="Times New Roman" w:hAnsi="Times New Roman" w:cs="Times New Roman"/>
          <w:b/>
          <w:bCs/>
          <w:sz w:val="24"/>
          <w:szCs w:val="24"/>
        </w:rPr>
      </w:pPr>
      <w:r w:rsidRPr="00C12279">
        <w:rPr>
          <w:rFonts w:ascii="Times New Roman" w:hAnsi="Times New Roman" w:cs="Times New Roman"/>
          <w:sz w:val="24"/>
          <w:szCs w:val="24"/>
        </w:rPr>
        <w:t xml:space="preserve">Again, </w:t>
      </w:r>
      <w:r w:rsidR="00C66EA4" w:rsidRPr="00C12279">
        <w:rPr>
          <w:rFonts w:ascii="Times New Roman" w:hAnsi="Times New Roman" w:cs="Times New Roman"/>
          <w:sz w:val="24"/>
          <w:szCs w:val="24"/>
        </w:rPr>
        <w:t>s 17 of the Income Tax Act reads:</w:t>
      </w:r>
      <w:r w:rsidR="00C66EA4" w:rsidRPr="00C12279">
        <w:rPr>
          <w:rFonts w:ascii="Times New Roman" w:hAnsi="Times New Roman" w:cs="Times New Roman"/>
          <w:b/>
          <w:bCs/>
          <w:sz w:val="24"/>
          <w:szCs w:val="24"/>
        </w:rPr>
        <w:t xml:space="preserve"> </w:t>
      </w:r>
    </w:p>
    <w:p w14:paraId="2ABDA43F" w14:textId="77777777" w:rsidR="00883AA4" w:rsidRPr="00C12279" w:rsidRDefault="00883AA4" w:rsidP="007370F3">
      <w:pPr>
        <w:autoSpaceDE w:val="0"/>
        <w:autoSpaceDN w:val="0"/>
        <w:adjustRightInd w:val="0"/>
        <w:spacing w:after="0" w:line="240" w:lineRule="auto"/>
        <w:jc w:val="both"/>
        <w:rPr>
          <w:rFonts w:ascii="Times New Roman" w:hAnsi="Times New Roman" w:cs="Times New Roman"/>
          <w:b/>
          <w:bCs/>
          <w:sz w:val="24"/>
          <w:szCs w:val="24"/>
        </w:rPr>
      </w:pPr>
    </w:p>
    <w:p w14:paraId="133636A7" w14:textId="77777777" w:rsidR="00C66EA4" w:rsidRPr="00883AA4" w:rsidRDefault="00C66EA4" w:rsidP="007370F3">
      <w:pPr>
        <w:autoSpaceDE w:val="0"/>
        <w:autoSpaceDN w:val="0"/>
        <w:adjustRightInd w:val="0"/>
        <w:spacing w:after="0" w:line="240" w:lineRule="auto"/>
        <w:ind w:left="720"/>
        <w:jc w:val="both"/>
        <w:rPr>
          <w:rFonts w:ascii="Times New Roman" w:hAnsi="Times New Roman" w:cs="Times New Roman"/>
          <w:b/>
          <w:bCs/>
        </w:rPr>
      </w:pPr>
      <w:r w:rsidRPr="00C12279">
        <w:rPr>
          <w:rFonts w:ascii="Times New Roman" w:hAnsi="Times New Roman" w:cs="Times New Roman"/>
          <w:b/>
          <w:bCs/>
          <w:sz w:val="24"/>
          <w:szCs w:val="24"/>
        </w:rPr>
        <w:t>“</w:t>
      </w:r>
      <w:r w:rsidRPr="00883AA4">
        <w:rPr>
          <w:rFonts w:ascii="Times New Roman" w:hAnsi="Times New Roman" w:cs="Times New Roman"/>
          <w:b/>
          <w:bCs/>
        </w:rPr>
        <w:t>17 Special provisions relating to hire-purchase or other agreements providing for postponement of passing of ownership of property</w:t>
      </w:r>
    </w:p>
    <w:p w14:paraId="21DB62DD" w14:textId="77777777" w:rsidR="00C66EA4" w:rsidRPr="00C12279" w:rsidRDefault="00C66EA4" w:rsidP="007370F3">
      <w:pPr>
        <w:autoSpaceDE w:val="0"/>
        <w:autoSpaceDN w:val="0"/>
        <w:adjustRightInd w:val="0"/>
        <w:spacing w:after="0" w:line="240" w:lineRule="auto"/>
        <w:ind w:left="720"/>
        <w:jc w:val="both"/>
        <w:rPr>
          <w:rFonts w:ascii="Times New Roman" w:hAnsi="Times New Roman" w:cs="Times New Roman"/>
          <w:sz w:val="24"/>
          <w:szCs w:val="24"/>
        </w:rPr>
      </w:pPr>
      <w:r w:rsidRPr="00883AA4">
        <w:rPr>
          <w:rFonts w:ascii="Times New Roman" w:hAnsi="Times New Roman" w:cs="Times New Roman"/>
        </w:rPr>
        <w:t>If any taxpayer has entered into any agreement with any other person in respect of any property the effect of which is that, in the case of movable property, the ownership shall pass or, in the case of immovable property, transfer shall be effected from the taxpayer to that other person upon or after receipt by the taxpayer of the whole or a certain portion of the amount payable to the taxpayer under the agreement, the whole of that amount shall, for the purposes of this Act, be deemed to have accrued to the taxpayer on the date on which the agreement was entered into</w:t>
      </w:r>
      <w:r w:rsidRPr="00C12279">
        <w:rPr>
          <w:rFonts w:ascii="Times New Roman" w:hAnsi="Times New Roman" w:cs="Times New Roman"/>
          <w:sz w:val="24"/>
          <w:szCs w:val="24"/>
        </w:rPr>
        <w:t>:”</w:t>
      </w:r>
    </w:p>
    <w:p w14:paraId="29D22223" w14:textId="77777777" w:rsidR="00EC40DF" w:rsidRPr="00C12279" w:rsidRDefault="00EC40DF" w:rsidP="00E21A33">
      <w:pPr>
        <w:autoSpaceDE w:val="0"/>
        <w:autoSpaceDN w:val="0"/>
        <w:adjustRightInd w:val="0"/>
        <w:spacing w:after="0" w:line="240" w:lineRule="auto"/>
        <w:jc w:val="both"/>
        <w:rPr>
          <w:rFonts w:ascii="Times New Roman" w:hAnsi="Times New Roman" w:cs="Times New Roman"/>
          <w:sz w:val="24"/>
          <w:szCs w:val="24"/>
        </w:rPr>
      </w:pPr>
    </w:p>
    <w:p w14:paraId="55603881" w14:textId="717FDD64" w:rsidR="00CF1229" w:rsidRPr="00C12279" w:rsidRDefault="003B0C86" w:rsidP="00883AA4">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In any even</w:t>
      </w:r>
      <w:r w:rsidR="008502BE" w:rsidRPr="00C12279">
        <w:rPr>
          <w:rFonts w:ascii="Times New Roman" w:hAnsi="Times New Roman" w:cs="Times New Roman"/>
          <w:sz w:val="24"/>
          <w:szCs w:val="24"/>
        </w:rPr>
        <w:t>t</w:t>
      </w:r>
      <w:r w:rsidRPr="00C12279">
        <w:rPr>
          <w:rFonts w:ascii="Times New Roman" w:hAnsi="Times New Roman" w:cs="Times New Roman"/>
          <w:sz w:val="24"/>
          <w:szCs w:val="24"/>
        </w:rPr>
        <w:t xml:space="preserve"> as was clearly pronounced in </w:t>
      </w:r>
      <w:r w:rsidRPr="00C12279">
        <w:rPr>
          <w:rFonts w:ascii="Times New Roman" w:hAnsi="Times New Roman" w:cs="Times New Roman"/>
          <w:i/>
          <w:sz w:val="24"/>
          <w:szCs w:val="24"/>
        </w:rPr>
        <w:t>Conhage</w:t>
      </w:r>
      <w:r w:rsidR="007370F3" w:rsidRPr="00C12279">
        <w:rPr>
          <w:rFonts w:ascii="Times New Roman" w:hAnsi="Times New Roman" w:cs="Times New Roman"/>
          <w:i/>
          <w:sz w:val="24"/>
          <w:szCs w:val="24"/>
        </w:rPr>
        <w:t>, supra</w:t>
      </w:r>
      <w:r w:rsidRPr="00C12279">
        <w:rPr>
          <w:rFonts w:ascii="Times New Roman" w:hAnsi="Times New Roman" w:cs="Times New Roman"/>
          <w:i/>
          <w:sz w:val="24"/>
          <w:szCs w:val="24"/>
        </w:rPr>
        <w:t xml:space="preserve"> </w:t>
      </w:r>
      <w:r w:rsidRPr="00C12279">
        <w:rPr>
          <w:rFonts w:ascii="Times New Roman" w:hAnsi="Times New Roman" w:cs="Times New Roman"/>
          <w:sz w:val="24"/>
          <w:szCs w:val="24"/>
        </w:rPr>
        <w:t xml:space="preserve">at 115F para [3] the passing of ownership is not an essential element to </w:t>
      </w:r>
      <w:r w:rsidR="0023614B" w:rsidRPr="00C12279">
        <w:rPr>
          <w:rFonts w:ascii="Times New Roman" w:hAnsi="Times New Roman" w:cs="Times New Roman"/>
          <w:sz w:val="24"/>
          <w:szCs w:val="24"/>
        </w:rPr>
        <w:t>a sale</w:t>
      </w:r>
      <w:r w:rsidRPr="00C12279">
        <w:rPr>
          <w:rFonts w:ascii="Times New Roman" w:hAnsi="Times New Roman" w:cs="Times New Roman"/>
          <w:sz w:val="24"/>
          <w:szCs w:val="24"/>
        </w:rPr>
        <w:t xml:space="preserve">. </w:t>
      </w:r>
      <w:r w:rsidR="00A61292" w:rsidRPr="00C12279">
        <w:rPr>
          <w:rFonts w:ascii="Times New Roman" w:hAnsi="Times New Roman" w:cs="Times New Roman"/>
          <w:sz w:val="24"/>
          <w:szCs w:val="24"/>
        </w:rPr>
        <w:t xml:space="preserve">It does not seem to me that the reservation ownership is synonymous with the operation by the appellant in the management, control or capital of the business carried on by the intermediary outside Zimbabwe. </w:t>
      </w:r>
      <w:r w:rsidR="00EC40DF" w:rsidRPr="00C12279">
        <w:rPr>
          <w:rFonts w:ascii="Times New Roman" w:hAnsi="Times New Roman" w:cs="Times New Roman"/>
          <w:sz w:val="24"/>
          <w:szCs w:val="24"/>
        </w:rPr>
        <w:t>I accordingly find that the appellant did not manage any business of the intermediary in Zimbabwe. However, in</w:t>
      </w:r>
      <w:r w:rsidR="00A61292" w:rsidRPr="00C12279">
        <w:rPr>
          <w:rFonts w:ascii="Times New Roman" w:hAnsi="Times New Roman" w:cs="Times New Roman"/>
          <w:sz w:val="24"/>
          <w:szCs w:val="24"/>
        </w:rPr>
        <w:t xml:space="preserve"> my view </w:t>
      </w:r>
      <w:r w:rsidR="00EC40DF" w:rsidRPr="00C12279">
        <w:rPr>
          <w:rFonts w:ascii="Times New Roman" w:hAnsi="Times New Roman" w:cs="Times New Roman"/>
          <w:sz w:val="24"/>
          <w:szCs w:val="24"/>
        </w:rPr>
        <w:t xml:space="preserve">s 24 (a) (i) </w:t>
      </w:r>
      <w:r w:rsidR="00A61292" w:rsidRPr="00C12279">
        <w:rPr>
          <w:rFonts w:ascii="Times New Roman" w:hAnsi="Times New Roman" w:cs="Times New Roman"/>
          <w:sz w:val="24"/>
          <w:szCs w:val="24"/>
        </w:rPr>
        <w:t>locate</w:t>
      </w:r>
      <w:r w:rsidR="00EC40DF" w:rsidRPr="00C12279">
        <w:rPr>
          <w:rFonts w:ascii="Times New Roman" w:hAnsi="Times New Roman" w:cs="Times New Roman"/>
          <w:sz w:val="24"/>
          <w:szCs w:val="24"/>
        </w:rPr>
        <w:t xml:space="preserve">s the business outside </w:t>
      </w:r>
      <w:r w:rsidR="00A61292" w:rsidRPr="00C12279">
        <w:rPr>
          <w:rFonts w:ascii="Times New Roman" w:hAnsi="Times New Roman" w:cs="Times New Roman"/>
          <w:sz w:val="24"/>
          <w:szCs w:val="24"/>
        </w:rPr>
        <w:t>and not inside Zimbabwe</w:t>
      </w:r>
      <w:r w:rsidR="00E47901" w:rsidRPr="00C12279">
        <w:rPr>
          <w:rFonts w:ascii="Times New Roman" w:hAnsi="Times New Roman" w:cs="Times New Roman"/>
          <w:sz w:val="24"/>
          <w:szCs w:val="24"/>
        </w:rPr>
        <w:t xml:space="preserve">. </w:t>
      </w:r>
      <w:r w:rsidR="00EC40DF" w:rsidRPr="00C12279">
        <w:rPr>
          <w:rFonts w:ascii="Times New Roman" w:hAnsi="Times New Roman" w:cs="Times New Roman"/>
          <w:sz w:val="24"/>
          <w:szCs w:val="24"/>
        </w:rPr>
        <w:t xml:space="preserve">I therefore agree with Mr </w:t>
      </w:r>
      <w:r w:rsidR="00EC40DF" w:rsidRPr="00883AA4">
        <w:rPr>
          <w:rFonts w:ascii="Times New Roman" w:hAnsi="Times New Roman" w:cs="Times New Roman"/>
          <w:i/>
          <w:sz w:val="24"/>
          <w:szCs w:val="24"/>
        </w:rPr>
        <w:t>de Bourbon</w:t>
      </w:r>
      <w:r w:rsidR="00EC40DF" w:rsidRPr="00C12279">
        <w:rPr>
          <w:rFonts w:ascii="Times New Roman" w:hAnsi="Times New Roman" w:cs="Times New Roman"/>
          <w:sz w:val="24"/>
          <w:szCs w:val="24"/>
        </w:rPr>
        <w:t xml:space="preserve"> that the appellant did not participate directly or indirectly in the business of the intermediary outside Zimbabwe. </w:t>
      </w:r>
    </w:p>
    <w:p w14:paraId="3E82E8BF" w14:textId="77777777" w:rsidR="00A47A51" w:rsidRPr="00C12279" w:rsidRDefault="00A47A51" w:rsidP="0045387A">
      <w:pPr>
        <w:autoSpaceDE w:val="0"/>
        <w:autoSpaceDN w:val="0"/>
        <w:adjustRightInd w:val="0"/>
        <w:spacing w:after="0" w:line="240" w:lineRule="auto"/>
        <w:jc w:val="both"/>
        <w:rPr>
          <w:rFonts w:ascii="Times New Roman" w:hAnsi="Times New Roman" w:cs="Times New Roman"/>
          <w:i/>
          <w:sz w:val="24"/>
          <w:szCs w:val="24"/>
        </w:rPr>
      </w:pPr>
    </w:p>
    <w:p w14:paraId="674632B5" w14:textId="77777777" w:rsidR="000D2576" w:rsidRPr="00C12279" w:rsidRDefault="00F34FFB" w:rsidP="0045387A">
      <w:pPr>
        <w:autoSpaceDE w:val="0"/>
        <w:autoSpaceDN w:val="0"/>
        <w:adjustRightInd w:val="0"/>
        <w:spacing w:after="0" w:line="240" w:lineRule="auto"/>
        <w:jc w:val="both"/>
        <w:rPr>
          <w:rFonts w:ascii="Times New Roman" w:hAnsi="Times New Roman" w:cs="Times New Roman"/>
          <w:i/>
          <w:sz w:val="24"/>
          <w:szCs w:val="24"/>
        </w:rPr>
      </w:pPr>
      <w:r w:rsidRPr="00C12279">
        <w:rPr>
          <w:rFonts w:ascii="Times New Roman" w:hAnsi="Times New Roman" w:cs="Times New Roman"/>
          <w:i/>
          <w:sz w:val="24"/>
          <w:szCs w:val="24"/>
        </w:rPr>
        <w:t>Operates a business outside Zimbabwe and partakes directly or indirectly</w:t>
      </w:r>
      <w:r w:rsidR="000F02C8" w:rsidRPr="00C12279">
        <w:rPr>
          <w:rFonts w:ascii="Times New Roman" w:hAnsi="Times New Roman" w:cs="Times New Roman"/>
          <w:i/>
          <w:sz w:val="24"/>
          <w:szCs w:val="24"/>
        </w:rPr>
        <w:t xml:space="preserve"> </w:t>
      </w:r>
      <w:r w:rsidRPr="00C12279">
        <w:rPr>
          <w:rFonts w:ascii="Times New Roman" w:hAnsi="Times New Roman" w:cs="Times New Roman"/>
          <w:i/>
          <w:sz w:val="24"/>
          <w:szCs w:val="24"/>
        </w:rPr>
        <w:t xml:space="preserve">in the management, control or capital of a business in Zimbabwe </w:t>
      </w:r>
    </w:p>
    <w:p w14:paraId="21B9EC75" w14:textId="77777777" w:rsidR="000D2576" w:rsidRPr="00C12279" w:rsidRDefault="000D2576" w:rsidP="0045387A">
      <w:pPr>
        <w:autoSpaceDE w:val="0"/>
        <w:autoSpaceDN w:val="0"/>
        <w:adjustRightInd w:val="0"/>
        <w:spacing w:after="0" w:line="240" w:lineRule="auto"/>
        <w:jc w:val="both"/>
        <w:rPr>
          <w:rFonts w:ascii="Times New Roman" w:hAnsi="Times New Roman" w:cs="Times New Roman"/>
          <w:sz w:val="24"/>
          <w:szCs w:val="24"/>
        </w:rPr>
      </w:pPr>
    </w:p>
    <w:p w14:paraId="6422ED51" w14:textId="26FA7BC3" w:rsidR="00F34FFB" w:rsidRPr="00883AA4" w:rsidRDefault="000D2576" w:rsidP="00883AA4">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In r</w:t>
      </w:r>
      <w:r w:rsidR="00A47A51" w:rsidRPr="00C12279">
        <w:rPr>
          <w:rFonts w:ascii="Times New Roman" w:hAnsi="Times New Roman" w:cs="Times New Roman"/>
          <w:sz w:val="24"/>
          <w:szCs w:val="24"/>
        </w:rPr>
        <w:t xml:space="preserve">egards to this requirement, the </w:t>
      </w:r>
      <w:r w:rsidRPr="00C12279">
        <w:rPr>
          <w:rFonts w:ascii="Times New Roman" w:hAnsi="Times New Roman" w:cs="Times New Roman"/>
          <w:sz w:val="24"/>
          <w:szCs w:val="24"/>
        </w:rPr>
        <w:t>person who operated a business outside Zimbabwe was t</w:t>
      </w:r>
      <w:r w:rsidR="009F3BF3">
        <w:rPr>
          <w:rFonts w:ascii="Times New Roman" w:hAnsi="Times New Roman" w:cs="Times New Roman"/>
          <w:sz w:val="24"/>
          <w:szCs w:val="24"/>
        </w:rPr>
        <w:t>he intermediary. The person who</w:t>
      </w:r>
      <w:r w:rsidRPr="00C12279">
        <w:rPr>
          <w:rFonts w:ascii="Times New Roman" w:hAnsi="Times New Roman" w:cs="Times New Roman"/>
          <w:sz w:val="24"/>
          <w:szCs w:val="24"/>
        </w:rPr>
        <w:t xml:space="preserve"> operated a business in Zimbabwe was the appellant. </w:t>
      </w:r>
      <w:r w:rsidR="00D442AC" w:rsidRPr="00C12279">
        <w:rPr>
          <w:rFonts w:ascii="Times New Roman" w:hAnsi="Times New Roman" w:cs="Times New Roman"/>
          <w:sz w:val="24"/>
          <w:szCs w:val="24"/>
        </w:rPr>
        <w:t>The financial statements of the appellant showed that it paid management fees to the intermediary in respect of administrative, stock control and management in the sum of US$130 000 in 2009, US$ 140 000 in 2010, US$ 256 629 in 2011 US$ 140 000 in 2012</w:t>
      </w:r>
      <w:r w:rsidR="00D442AC" w:rsidRPr="00C12279">
        <w:rPr>
          <w:rStyle w:val="FootnoteReference"/>
          <w:rFonts w:ascii="Times New Roman" w:hAnsi="Times New Roman" w:cs="Times New Roman"/>
          <w:sz w:val="24"/>
          <w:szCs w:val="24"/>
        </w:rPr>
        <w:footnoteReference w:id="47"/>
      </w:r>
      <w:r w:rsidR="00D442AC" w:rsidRPr="00C12279">
        <w:rPr>
          <w:rFonts w:ascii="Times New Roman" w:hAnsi="Times New Roman" w:cs="Times New Roman"/>
          <w:sz w:val="24"/>
          <w:szCs w:val="24"/>
        </w:rPr>
        <w:t>. The scope of such management fees was covered in the agreement of 2 March 2009</w:t>
      </w:r>
      <w:r w:rsidR="00BD7C22">
        <w:rPr>
          <w:rFonts w:ascii="Times New Roman" w:hAnsi="Times New Roman" w:cs="Times New Roman"/>
          <w:sz w:val="24"/>
          <w:szCs w:val="24"/>
        </w:rPr>
        <w:t>.</w:t>
      </w:r>
      <w:r w:rsidR="00D442AC" w:rsidRPr="00C12279">
        <w:rPr>
          <w:rFonts w:ascii="Times New Roman" w:hAnsi="Times New Roman" w:cs="Times New Roman"/>
          <w:sz w:val="24"/>
          <w:szCs w:val="24"/>
        </w:rPr>
        <w:t xml:space="preserve"> The appellant failed to establish the activities conducted on its behalf by the intermediary. It strenuously asserted in correspondence of 19 May 2013 and even in the objection of 25 July 2014 that it received bona fide management services from the intermediary. </w:t>
      </w:r>
      <w:r w:rsidR="00E426AB" w:rsidRPr="00C12279">
        <w:rPr>
          <w:rFonts w:ascii="Times New Roman" w:hAnsi="Times New Roman" w:cs="Times New Roman"/>
          <w:sz w:val="24"/>
          <w:szCs w:val="24"/>
        </w:rPr>
        <w:t xml:space="preserve">However on 14 November 2014 the appellant made a half-hearted concession that it had erroneously paid management fees to the intermediary. </w:t>
      </w:r>
      <w:r w:rsidR="000B1DFB" w:rsidRPr="00C12279">
        <w:rPr>
          <w:rFonts w:ascii="Times New Roman" w:hAnsi="Times New Roman" w:cs="Times New Roman"/>
          <w:sz w:val="24"/>
          <w:szCs w:val="24"/>
        </w:rPr>
        <w:t xml:space="preserve"> At the commencement of hearing Mr </w:t>
      </w:r>
      <w:r w:rsidR="000B1DFB" w:rsidRPr="00C12279">
        <w:rPr>
          <w:rFonts w:ascii="Times New Roman" w:hAnsi="Times New Roman" w:cs="Times New Roman"/>
          <w:i/>
          <w:sz w:val="24"/>
          <w:szCs w:val="24"/>
        </w:rPr>
        <w:t>de Bourbon</w:t>
      </w:r>
      <w:r w:rsidR="000B1DFB" w:rsidRPr="00C12279">
        <w:rPr>
          <w:rFonts w:ascii="Times New Roman" w:hAnsi="Times New Roman" w:cs="Times New Roman"/>
          <w:sz w:val="24"/>
          <w:szCs w:val="24"/>
        </w:rPr>
        <w:t xml:space="preserve"> </w:t>
      </w:r>
      <w:r w:rsidR="00C93161" w:rsidRPr="00C12279">
        <w:rPr>
          <w:rFonts w:ascii="Times New Roman" w:hAnsi="Times New Roman" w:cs="Times New Roman"/>
          <w:sz w:val="24"/>
          <w:szCs w:val="24"/>
        </w:rPr>
        <w:lastRenderedPageBreak/>
        <w:t>abandoned the appeal in respect of management fees.</w:t>
      </w:r>
      <w:r w:rsidR="00D442AC" w:rsidRPr="00C12279">
        <w:rPr>
          <w:rFonts w:ascii="Times New Roman" w:hAnsi="Times New Roman" w:cs="Times New Roman"/>
          <w:sz w:val="24"/>
          <w:szCs w:val="24"/>
        </w:rPr>
        <w:t xml:space="preserve"> </w:t>
      </w:r>
      <w:r w:rsidR="00925320" w:rsidRPr="00C12279">
        <w:rPr>
          <w:rFonts w:ascii="Times New Roman" w:hAnsi="Times New Roman" w:cs="Times New Roman"/>
          <w:sz w:val="24"/>
          <w:szCs w:val="24"/>
        </w:rPr>
        <w:t xml:space="preserve">I do not find on the facts that the intermediary participated in the management or control or capital of the appellant. I find that when the intermediary received orders from the appellant and placed them with the conglomerate it was managing its own business under the directing mind of its board of directors. The appellant did not play any role in this process. </w:t>
      </w:r>
      <w:r w:rsidR="00BF5FB3" w:rsidRPr="00C12279">
        <w:rPr>
          <w:rFonts w:ascii="Times New Roman" w:hAnsi="Times New Roman" w:cs="Times New Roman"/>
          <w:sz w:val="24"/>
          <w:szCs w:val="24"/>
        </w:rPr>
        <w:t xml:space="preserve">Accordingly, </w:t>
      </w:r>
      <w:r w:rsidR="00AC3310" w:rsidRPr="00C12279">
        <w:rPr>
          <w:rFonts w:ascii="Times New Roman" w:hAnsi="Times New Roman" w:cs="Times New Roman"/>
          <w:sz w:val="24"/>
          <w:szCs w:val="24"/>
        </w:rPr>
        <w:t>the provisions of sub</w:t>
      </w:r>
      <w:r w:rsidR="00BF5FB3" w:rsidRPr="00C12279">
        <w:rPr>
          <w:rFonts w:ascii="Times New Roman" w:hAnsi="Times New Roman" w:cs="Times New Roman"/>
          <w:sz w:val="24"/>
          <w:szCs w:val="24"/>
        </w:rPr>
        <w:t xml:space="preserve">para (ii) of para (a) of s 24 was not </w:t>
      </w:r>
      <w:r w:rsidR="00AC3310" w:rsidRPr="00C12279">
        <w:rPr>
          <w:rFonts w:ascii="Times New Roman" w:hAnsi="Times New Roman" w:cs="Times New Roman"/>
          <w:sz w:val="24"/>
          <w:szCs w:val="24"/>
        </w:rPr>
        <w:t xml:space="preserve">met. </w:t>
      </w:r>
      <w:r w:rsidR="00BF5FB3" w:rsidRPr="00C12279">
        <w:rPr>
          <w:rFonts w:ascii="Times New Roman" w:hAnsi="Times New Roman" w:cs="Times New Roman"/>
          <w:sz w:val="24"/>
          <w:szCs w:val="24"/>
        </w:rPr>
        <w:t xml:space="preserve"> </w:t>
      </w:r>
    </w:p>
    <w:p w14:paraId="67F51425" w14:textId="77777777" w:rsidR="00021511" w:rsidRPr="00C12279" w:rsidRDefault="00021511" w:rsidP="007370F3">
      <w:pPr>
        <w:jc w:val="both"/>
        <w:rPr>
          <w:rFonts w:ascii="Times New Roman" w:hAnsi="Times New Roman" w:cs="Times New Roman"/>
          <w:sz w:val="24"/>
          <w:szCs w:val="24"/>
        </w:rPr>
      </w:pPr>
      <w:r w:rsidRPr="00C12279">
        <w:rPr>
          <w:rFonts w:ascii="Times New Roman" w:hAnsi="Times New Roman" w:cs="Times New Roman"/>
          <w:i/>
          <w:sz w:val="24"/>
          <w:szCs w:val="24"/>
        </w:rPr>
        <w:t>Partakes directly or indirectly in the management, control or capital in some other business operating both in and outside Zimbabwe</w:t>
      </w:r>
      <w:r w:rsidRPr="00C12279">
        <w:rPr>
          <w:rFonts w:ascii="Times New Roman" w:hAnsi="Times New Roman" w:cs="Times New Roman"/>
          <w:sz w:val="24"/>
          <w:szCs w:val="24"/>
        </w:rPr>
        <w:t xml:space="preserve">  </w:t>
      </w:r>
    </w:p>
    <w:p w14:paraId="2864F047" w14:textId="6DFA6FE0" w:rsidR="006C4060" w:rsidRPr="00C12279" w:rsidRDefault="00832962"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French holding company and not the appellant or the intermediary participated directly or indirectly in the management, control or capital of the appellant who operated in Zimbabwe and the intermediary who operated outside Zimbabwe.</w:t>
      </w:r>
      <w:r w:rsidR="00753335" w:rsidRPr="00C12279">
        <w:rPr>
          <w:rFonts w:ascii="Times New Roman" w:hAnsi="Times New Roman" w:cs="Times New Roman"/>
          <w:sz w:val="24"/>
          <w:szCs w:val="24"/>
        </w:rPr>
        <w:t xml:space="preserve">  Accordingly, I </w:t>
      </w:r>
      <w:r w:rsidR="00AC3310" w:rsidRPr="00C12279">
        <w:rPr>
          <w:rFonts w:ascii="Times New Roman" w:hAnsi="Times New Roman" w:cs="Times New Roman"/>
          <w:sz w:val="24"/>
          <w:szCs w:val="24"/>
        </w:rPr>
        <w:t>also</w:t>
      </w:r>
      <w:r w:rsidR="00753335" w:rsidRPr="00C12279">
        <w:rPr>
          <w:rFonts w:ascii="Times New Roman" w:hAnsi="Times New Roman" w:cs="Times New Roman"/>
          <w:sz w:val="24"/>
          <w:szCs w:val="24"/>
        </w:rPr>
        <w:t xml:space="preserve"> find that the provisions of that sub-paragraph were not met. </w:t>
      </w:r>
    </w:p>
    <w:p w14:paraId="61BF8F45" w14:textId="5B09BBBB" w:rsidR="00B459B9" w:rsidRPr="00C12279" w:rsidRDefault="00B459B9"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is not necessary for me to consider the requirements of para (b) of s 24 as these are conjunctive with either of the subparas in para (a) of s 24 of the Income Tax Act.  I do it for the sake of completeness. </w:t>
      </w:r>
    </w:p>
    <w:p w14:paraId="43629069" w14:textId="77777777" w:rsidR="00E377B8" w:rsidRPr="00C12279" w:rsidRDefault="00E377B8" w:rsidP="00883AA4">
      <w:pPr>
        <w:spacing w:after="0" w:line="360" w:lineRule="auto"/>
        <w:jc w:val="both"/>
        <w:rPr>
          <w:rFonts w:ascii="Times New Roman" w:hAnsi="Times New Roman" w:cs="Times New Roman"/>
          <w:i/>
          <w:sz w:val="24"/>
          <w:szCs w:val="24"/>
        </w:rPr>
      </w:pPr>
      <w:r w:rsidRPr="00C12279">
        <w:rPr>
          <w:rFonts w:ascii="Times New Roman" w:hAnsi="Times New Roman" w:cs="Times New Roman"/>
          <w:i/>
          <w:sz w:val="24"/>
          <w:szCs w:val="24"/>
        </w:rPr>
        <w:t>The business or financial conditions governing the relationship</w:t>
      </w:r>
      <w:r w:rsidR="003762B8" w:rsidRPr="00C12279">
        <w:rPr>
          <w:rFonts w:ascii="Times New Roman" w:hAnsi="Times New Roman" w:cs="Times New Roman"/>
          <w:i/>
          <w:sz w:val="24"/>
          <w:szCs w:val="24"/>
        </w:rPr>
        <w:t xml:space="preserve"> in the opinion of the Commissioner that differ to those of two people dealing at arm’s length</w:t>
      </w:r>
    </w:p>
    <w:p w14:paraId="51096944" w14:textId="77777777" w:rsidR="004E2BAA" w:rsidRDefault="007438A9"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w:t>
      </w:r>
      <w:r w:rsidR="0016137E" w:rsidRPr="00C12279">
        <w:rPr>
          <w:rFonts w:ascii="Times New Roman" w:hAnsi="Times New Roman" w:cs="Times New Roman"/>
          <w:sz w:val="24"/>
          <w:szCs w:val="24"/>
        </w:rPr>
        <w:t>he persons identified as “any of the persons</w:t>
      </w:r>
      <w:r w:rsidR="00460CD6" w:rsidRPr="00C12279">
        <w:rPr>
          <w:rFonts w:ascii="Times New Roman" w:hAnsi="Times New Roman" w:cs="Times New Roman"/>
          <w:sz w:val="24"/>
          <w:szCs w:val="24"/>
        </w:rPr>
        <w:t>”</w:t>
      </w:r>
      <w:r w:rsidR="0016137E" w:rsidRPr="00C12279">
        <w:rPr>
          <w:rFonts w:ascii="Times New Roman" w:hAnsi="Times New Roman" w:cs="Times New Roman"/>
          <w:sz w:val="24"/>
          <w:szCs w:val="24"/>
        </w:rPr>
        <w:t xml:space="preserve"> mentioned in para (a)</w:t>
      </w:r>
      <w:r w:rsidRPr="00C12279">
        <w:rPr>
          <w:rFonts w:ascii="Times New Roman" w:hAnsi="Times New Roman" w:cs="Times New Roman"/>
          <w:sz w:val="24"/>
          <w:szCs w:val="24"/>
        </w:rPr>
        <w:t xml:space="preserve"> to which para (b) applies were the app</w:t>
      </w:r>
      <w:r w:rsidR="00B459B9" w:rsidRPr="00C12279">
        <w:rPr>
          <w:rFonts w:ascii="Times New Roman" w:hAnsi="Times New Roman" w:cs="Times New Roman"/>
          <w:sz w:val="24"/>
          <w:szCs w:val="24"/>
        </w:rPr>
        <w:t>ellant and the intermediary.</w:t>
      </w:r>
      <w:r w:rsidR="0016137E" w:rsidRPr="00C12279">
        <w:rPr>
          <w:rFonts w:ascii="Times New Roman" w:hAnsi="Times New Roman" w:cs="Times New Roman"/>
          <w:sz w:val="24"/>
          <w:szCs w:val="24"/>
        </w:rPr>
        <w:t xml:space="preserve"> </w:t>
      </w:r>
      <w:r w:rsidRPr="00C12279">
        <w:rPr>
          <w:rFonts w:ascii="Times New Roman" w:hAnsi="Times New Roman" w:cs="Times New Roman"/>
          <w:sz w:val="24"/>
          <w:szCs w:val="24"/>
        </w:rPr>
        <w:t>In regards to t</w:t>
      </w:r>
      <w:r w:rsidR="00EE1084" w:rsidRPr="00C12279">
        <w:rPr>
          <w:rFonts w:ascii="Times New Roman" w:hAnsi="Times New Roman" w:cs="Times New Roman"/>
          <w:sz w:val="24"/>
          <w:szCs w:val="24"/>
        </w:rPr>
        <w:t xml:space="preserve">he conditions </w:t>
      </w:r>
      <w:r w:rsidRPr="00C12279">
        <w:rPr>
          <w:rFonts w:ascii="Times New Roman" w:hAnsi="Times New Roman" w:cs="Times New Roman"/>
          <w:sz w:val="24"/>
          <w:szCs w:val="24"/>
        </w:rPr>
        <w:t xml:space="preserve">that </w:t>
      </w:r>
      <w:r w:rsidR="00EE1084" w:rsidRPr="00C12279">
        <w:rPr>
          <w:rFonts w:ascii="Times New Roman" w:hAnsi="Times New Roman" w:cs="Times New Roman"/>
          <w:sz w:val="24"/>
          <w:szCs w:val="24"/>
        </w:rPr>
        <w:t>were made or imposed between the intermediary and</w:t>
      </w:r>
      <w:r w:rsidRPr="00C12279">
        <w:rPr>
          <w:rFonts w:ascii="Times New Roman" w:hAnsi="Times New Roman" w:cs="Times New Roman"/>
          <w:sz w:val="24"/>
          <w:szCs w:val="24"/>
        </w:rPr>
        <w:t xml:space="preserve"> the appellant, </w:t>
      </w:r>
      <w:r w:rsidR="00EE1084" w:rsidRPr="00C12279">
        <w:rPr>
          <w:rFonts w:ascii="Times New Roman" w:hAnsi="Times New Roman" w:cs="Times New Roman"/>
          <w:sz w:val="24"/>
          <w:szCs w:val="24"/>
        </w:rPr>
        <w:t>b</w:t>
      </w:r>
      <w:r w:rsidR="00E377B8" w:rsidRPr="00C12279">
        <w:rPr>
          <w:rFonts w:ascii="Times New Roman" w:hAnsi="Times New Roman" w:cs="Times New Roman"/>
          <w:sz w:val="24"/>
          <w:szCs w:val="24"/>
        </w:rPr>
        <w:t xml:space="preserve">oth Mr </w:t>
      </w:r>
      <w:r w:rsidR="00E377B8" w:rsidRPr="00C12279">
        <w:rPr>
          <w:rFonts w:ascii="Times New Roman" w:hAnsi="Times New Roman" w:cs="Times New Roman"/>
          <w:i/>
          <w:sz w:val="24"/>
          <w:szCs w:val="24"/>
        </w:rPr>
        <w:t>M</w:t>
      </w:r>
      <w:r w:rsidRPr="00C12279">
        <w:rPr>
          <w:rFonts w:ascii="Times New Roman" w:hAnsi="Times New Roman" w:cs="Times New Roman"/>
          <w:i/>
          <w:sz w:val="24"/>
          <w:szCs w:val="24"/>
        </w:rPr>
        <w:t>agwaliba</w:t>
      </w:r>
      <w:r w:rsidRPr="00C12279">
        <w:rPr>
          <w:rFonts w:ascii="Times New Roman" w:hAnsi="Times New Roman" w:cs="Times New Roman"/>
          <w:sz w:val="24"/>
          <w:szCs w:val="24"/>
        </w:rPr>
        <w:t xml:space="preserve"> in para 10.4 and 10.5 </w:t>
      </w:r>
      <w:r w:rsidR="00E377B8" w:rsidRPr="00C12279">
        <w:rPr>
          <w:rFonts w:ascii="Times New Roman" w:hAnsi="Times New Roman" w:cs="Times New Roman"/>
          <w:sz w:val="24"/>
          <w:szCs w:val="24"/>
        </w:rPr>
        <w:t xml:space="preserve">and Mr </w:t>
      </w:r>
      <w:r w:rsidR="00E377B8" w:rsidRPr="00C12279">
        <w:rPr>
          <w:rFonts w:ascii="Times New Roman" w:hAnsi="Times New Roman" w:cs="Times New Roman"/>
          <w:i/>
          <w:sz w:val="24"/>
          <w:szCs w:val="24"/>
        </w:rPr>
        <w:t>de Bourbon</w:t>
      </w:r>
      <w:r w:rsidR="00E377B8" w:rsidRPr="00C12279">
        <w:rPr>
          <w:rFonts w:ascii="Times New Roman" w:hAnsi="Times New Roman" w:cs="Times New Roman"/>
          <w:sz w:val="24"/>
          <w:szCs w:val="24"/>
        </w:rPr>
        <w:t xml:space="preserve"> in para 31 of their respective written heads agreed that the business or financial conditions related to </w:t>
      </w:r>
      <w:r w:rsidR="00ED571C" w:rsidRPr="00C12279">
        <w:rPr>
          <w:rFonts w:ascii="Times New Roman" w:hAnsi="Times New Roman" w:cs="Times New Roman"/>
          <w:sz w:val="24"/>
          <w:szCs w:val="24"/>
        </w:rPr>
        <w:t xml:space="preserve">the reservation of ownership and its consequential </w:t>
      </w:r>
      <w:r w:rsidR="00E377B8" w:rsidRPr="00C12279">
        <w:rPr>
          <w:rFonts w:ascii="Times New Roman" w:hAnsi="Times New Roman" w:cs="Times New Roman"/>
          <w:sz w:val="24"/>
          <w:szCs w:val="24"/>
        </w:rPr>
        <w:t xml:space="preserve">costs of advertising and promotion, rent, clearing charges and management fees. </w:t>
      </w:r>
      <w:r w:rsidR="00A4642C" w:rsidRPr="00C12279">
        <w:rPr>
          <w:rFonts w:ascii="Times New Roman" w:hAnsi="Times New Roman" w:cs="Times New Roman"/>
          <w:sz w:val="24"/>
          <w:szCs w:val="24"/>
        </w:rPr>
        <w:t xml:space="preserve"> These were exclusively met by the appellant. </w:t>
      </w:r>
      <w:r w:rsidR="003A3FD9" w:rsidRPr="00C12279">
        <w:rPr>
          <w:rFonts w:ascii="Times New Roman" w:hAnsi="Times New Roman" w:cs="Times New Roman"/>
          <w:sz w:val="24"/>
          <w:szCs w:val="24"/>
        </w:rPr>
        <w:t xml:space="preserve">Mr </w:t>
      </w:r>
      <w:r w:rsidR="003A3FD9" w:rsidRPr="00C12279">
        <w:rPr>
          <w:rFonts w:ascii="Times New Roman" w:hAnsi="Times New Roman" w:cs="Times New Roman"/>
          <w:i/>
          <w:sz w:val="24"/>
          <w:szCs w:val="24"/>
        </w:rPr>
        <w:t>Magwaliba</w:t>
      </w:r>
      <w:r w:rsidR="003A3FD9" w:rsidRPr="00C12279">
        <w:rPr>
          <w:rFonts w:ascii="Times New Roman" w:hAnsi="Times New Roman" w:cs="Times New Roman"/>
          <w:sz w:val="24"/>
          <w:szCs w:val="24"/>
        </w:rPr>
        <w:t xml:space="preserve"> submitted that it was the duty of the intermediary as owner and importer to meet the warehouse, marketing, promotion and advertising costs on the one hand and the clearing costs</w:t>
      </w:r>
      <w:r w:rsidR="00410BB4" w:rsidRPr="00C12279">
        <w:rPr>
          <w:rFonts w:ascii="Times New Roman" w:hAnsi="Times New Roman" w:cs="Times New Roman"/>
          <w:sz w:val="24"/>
          <w:szCs w:val="24"/>
        </w:rPr>
        <w:t>, as required by the definition of importer in s 2 of the Customs and Excise Act, on</w:t>
      </w:r>
      <w:r w:rsidR="003A3FD9" w:rsidRPr="00C12279">
        <w:rPr>
          <w:rFonts w:ascii="Times New Roman" w:hAnsi="Times New Roman" w:cs="Times New Roman"/>
          <w:sz w:val="24"/>
          <w:szCs w:val="24"/>
        </w:rPr>
        <w:t xml:space="preserve"> the other. </w:t>
      </w:r>
      <w:r w:rsidR="00410BB4" w:rsidRPr="00C12279">
        <w:rPr>
          <w:rFonts w:ascii="Times New Roman" w:hAnsi="Times New Roman" w:cs="Times New Roman"/>
          <w:sz w:val="24"/>
          <w:szCs w:val="24"/>
        </w:rPr>
        <w:t xml:space="preserve">His submission collapses in the face of my finding that the same definition of importer also covered the appellant. It would appear to me that the legal duty to pay these charges and imposts fell on the appellant.  </w:t>
      </w:r>
    </w:p>
    <w:p w14:paraId="374AE3F6" w14:textId="7EF18857" w:rsidR="00D845D3" w:rsidRPr="00C12279" w:rsidRDefault="00BF53D7"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Mr </w:t>
      </w:r>
      <w:r w:rsidRPr="00C12279">
        <w:rPr>
          <w:rFonts w:ascii="Times New Roman" w:hAnsi="Times New Roman" w:cs="Times New Roman"/>
          <w:i/>
          <w:sz w:val="24"/>
          <w:szCs w:val="24"/>
        </w:rPr>
        <w:t>Magwaliba</w:t>
      </w:r>
      <w:r w:rsidRPr="00C12279">
        <w:rPr>
          <w:rFonts w:ascii="Times New Roman" w:hAnsi="Times New Roman" w:cs="Times New Roman"/>
          <w:sz w:val="24"/>
          <w:szCs w:val="24"/>
        </w:rPr>
        <w:t xml:space="preserve"> </w:t>
      </w:r>
      <w:r w:rsidR="00410BB4" w:rsidRPr="00C12279">
        <w:rPr>
          <w:rFonts w:ascii="Times New Roman" w:hAnsi="Times New Roman" w:cs="Times New Roman"/>
          <w:sz w:val="24"/>
          <w:szCs w:val="24"/>
        </w:rPr>
        <w:t xml:space="preserve">further </w:t>
      </w:r>
      <w:r w:rsidRPr="00C12279">
        <w:rPr>
          <w:rFonts w:ascii="Times New Roman" w:hAnsi="Times New Roman" w:cs="Times New Roman"/>
          <w:sz w:val="24"/>
          <w:szCs w:val="24"/>
        </w:rPr>
        <w:t>contended in para 10.1 of his written heads that there was no real need for interposing the intermediary in place of the parent company in the purchase of the motor vehicles.</w:t>
      </w:r>
      <w:r w:rsidR="00650A38" w:rsidRPr="00C12279">
        <w:rPr>
          <w:rFonts w:ascii="Times New Roman" w:hAnsi="Times New Roman" w:cs="Times New Roman"/>
          <w:sz w:val="24"/>
          <w:szCs w:val="24"/>
        </w:rPr>
        <w:t xml:space="preserve"> It does not seem to me that it was within the power of the Commissioner to dictate to taxpayers who their co</w:t>
      </w:r>
      <w:r w:rsidR="00410BB4" w:rsidRPr="00C12279">
        <w:rPr>
          <w:rFonts w:ascii="Times New Roman" w:hAnsi="Times New Roman" w:cs="Times New Roman"/>
          <w:sz w:val="24"/>
          <w:szCs w:val="24"/>
        </w:rPr>
        <w:t>ntracting parties should be. In any event the</w:t>
      </w:r>
      <w:r w:rsidR="00650A38" w:rsidRPr="00C12279">
        <w:rPr>
          <w:rFonts w:ascii="Times New Roman" w:hAnsi="Times New Roman" w:cs="Times New Roman"/>
          <w:sz w:val="24"/>
          <w:szCs w:val="24"/>
        </w:rPr>
        <w:t xml:space="preserve"> reasons stated </w:t>
      </w:r>
      <w:r w:rsidR="00650A38" w:rsidRPr="00C12279">
        <w:rPr>
          <w:rFonts w:ascii="Times New Roman" w:hAnsi="Times New Roman" w:cs="Times New Roman"/>
          <w:sz w:val="24"/>
          <w:szCs w:val="24"/>
        </w:rPr>
        <w:lastRenderedPageBreak/>
        <w:t>by the appellant for interposing the intermediary spelt out in its letter of 26 October 2007 in</w:t>
      </w:r>
      <w:r w:rsidR="00410BB4" w:rsidRPr="00C12279">
        <w:rPr>
          <w:rFonts w:ascii="Times New Roman" w:hAnsi="Times New Roman" w:cs="Times New Roman"/>
          <w:sz w:val="24"/>
          <w:szCs w:val="24"/>
        </w:rPr>
        <w:t xml:space="preserve"> support of the value ruling were</w:t>
      </w:r>
      <w:r w:rsidR="00650A38" w:rsidRPr="00C12279">
        <w:rPr>
          <w:rFonts w:ascii="Times New Roman" w:hAnsi="Times New Roman" w:cs="Times New Roman"/>
          <w:sz w:val="24"/>
          <w:szCs w:val="24"/>
        </w:rPr>
        <w:t xml:space="preserve"> not impeached.  The intermediary had the foreign currency required to meet the minimum purchase orders required of the appellant in the Distribution Agreement with the conglomerate.  </w:t>
      </w:r>
      <w:r w:rsidR="00B459B9" w:rsidRPr="00C12279">
        <w:rPr>
          <w:rFonts w:ascii="Times New Roman" w:hAnsi="Times New Roman" w:cs="Times New Roman"/>
          <w:sz w:val="24"/>
          <w:szCs w:val="24"/>
        </w:rPr>
        <w:t>In addition,</w:t>
      </w:r>
      <w:r w:rsidR="00410BB4" w:rsidRPr="00C12279">
        <w:rPr>
          <w:rFonts w:ascii="Times New Roman" w:hAnsi="Times New Roman" w:cs="Times New Roman"/>
          <w:sz w:val="24"/>
          <w:szCs w:val="24"/>
        </w:rPr>
        <w:t xml:space="preserve"> o</w:t>
      </w:r>
      <w:r w:rsidR="00650A38" w:rsidRPr="00C12279">
        <w:rPr>
          <w:rFonts w:ascii="Times New Roman" w:hAnsi="Times New Roman" w:cs="Times New Roman"/>
          <w:sz w:val="24"/>
          <w:szCs w:val="24"/>
        </w:rPr>
        <w:t xml:space="preserve">ur law does not discourage </w:t>
      </w:r>
      <w:r w:rsidR="00B459B9" w:rsidRPr="00C12279">
        <w:rPr>
          <w:rFonts w:ascii="Times New Roman" w:hAnsi="Times New Roman" w:cs="Times New Roman"/>
          <w:sz w:val="24"/>
          <w:szCs w:val="24"/>
        </w:rPr>
        <w:t>middleman from interposing</w:t>
      </w:r>
      <w:r w:rsidR="007F6A47" w:rsidRPr="00C12279">
        <w:rPr>
          <w:rFonts w:ascii="Times New Roman" w:hAnsi="Times New Roman" w:cs="Times New Roman"/>
          <w:sz w:val="24"/>
          <w:szCs w:val="24"/>
        </w:rPr>
        <w:t xml:space="preserve"> </w:t>
      </w:r>
      <w:r w:rsidR="00410BB4" w:rsidRPr="00C12279">
        <w:rPr>
          <w:rFonts w:ascii="Times New Roman" w:hAnsi="Times New Roman" w:cs="Times New Roman"/>
          <w:sz w:val="24"/>
          <w:szCs w:val="24"/>
        </w:rPr>
        <w:t xml:space="preserve">for profit </w:t>
      </w:r>
      <w:r w:rsidR="007F6A47" w:rsidRPr="00C12279">
        <w:rPr>
          <w:rFonts w:ascii="Times New Roman" w:hAnsi="Times New Roman" w:cs="Times New Roman"/>
          <w:sz w:val="24"/>
          <w:szCs w:val="24"/>
        </w:rPr>
        <w:t xml:space="preserve">in </w:t>
      </w:r>
      <w:r w:rsidR="00B459B9" w:rsidRPr="00C12279">
        <w:rPr>
          <w:rFonts w:ascii="Times New Roman" w:hAnsi="Times New Roman" w:cs="Times New Roman"/>
          <w:sz w:val="24"/>
          <w:szCs w:val="24"/>
        </w:rPr>
        <w:t>any lawful commercial activity</w:t>
      </w:r>
      <w:r w:rsidR="007F6A47" w:rsidRPr="00C12279">
        <w:rPr>
          <w:rFonts w:ascii="Times New Roman" w:hAnsi="Times New Roman" w:cs="Times New Roman"/>
          <w:sz w:val="24"/>
          <w:szCs w:val="24"/>
        </w:rPr>
        <w:t xml:space="preserve"> of their choice</w:t>
      </w:r>
      <w:r w:rsidR="003901BC" w:rsidRPr="00C12279">
        <w:rPr>
          <w:rFonts w:ascii="Times New Roman" w:hAnsi="Times New Roman" w:cs="Times New Roman"/>
          <w:sz w:val="24"/>
          <w:szCs w:val="24"/>
        </w:rPr>
        <w:t xml:space="preserve"> as did the intermediary. </w:t>
      </w:r>
      <w:r w:rsidR="00410BB4" w:rsidRPr="00C12279">
        <w:rPr>
          <w:rFonts w:ascii="Times New Roman" w:hAnsi="Times New Roman" w:cs="Times New Roman"/>
          <w:sz w:val="24"/>
          <w:szCs w:val="24"/>
        </w:rPr>
        <w:t xml:space="preserve">This the intermediary proceeded to do by </w:t>
      </w:r>
      <w:r w:rsidR="006A6D0E" w:rsidRPr="00C12279">
        <w:rPr>
          <w:rFonts w:ascii="Times New Roman" w:hAnsi="Times New Roman" w:cs="Times New Roman"/>
          <w:sz w:val="24"/>
          <w:szCs w:val="24"/>
        </w:rPr>
        <w:t>imposing a mark-up for its services as the intermediary and financier, which mark-up</w:t>
      </w:r>
      <w:r w:rsidR="00921578">
        <w:rPr>
          <w:rFonts w:ascii="Times New Roman" w:hAnsi="Times New Roman" w:cs="Times New Roman"/>
          <w:sz w:val="24"/>
          <w:szCs w:val="24"/>
        </w:rPr>
        <w:t xml:space="preserve"> was incorporated in</w:t>
      </w:r>
      <w:r w:rsidR="003901BC" w:rsidRPr="00C12279">
        <w:rPr>
          <w:rFonts w:ascii="Times New Roman" w:hAnsi="Times New Roman" w:cs="Times New Roman"/>
          <w:sz w:val="24"/>
          <w:szCs w:val="24"/>
        </w:rPr>
        <w:t xml:space="preserve"> the transaction value</w:t>
      </w:r>
      <w:r w:rsidR="00921578">
        <w:rPr>
          <w:rFonts w:ascii="Times New Roman" w:hAnsi="Times New Roman" w:cs="Times New Roman"/>
          <w:sz w:val="24"/>
          <w:szCs w:val="24"/>
        </w:rPr>
        <w:t>, which in turn</w:t>
      </w:r>
      <w:r w:rsidR="003901BC" w:rsidRPr="00C12279">
        <w:rPr>
          <w:rFonts w:ascii="Times New Roman" w:hAnsi="Times New Roman" w:cs="Times New Roman"/>
          <w:sz w:val="24"/>
          <w:szCs w:val="24"/>
        </w:rPr>
        <w:t xml:space="preserve"> was equivalent to the purchase price paid by the appellant</w:t>
      </w:r>
      <w:r w:rsidR="006A6D0E" w:rsidRPr="00C12279">
        <w:rPr>
          <w:rFonts w:ascii="Times New Roman" w:hAnsi="Times New Roman" w:cs="Times New Roman"/>
          <w:sz w:val="24"/>
          <w:szCs w:val="24"/>
        </w:rPr>
        <w:t>. I do not find that the intermediary imposed these conditions on the appellant. I also do not find that the appellant wrongly increased its deductible expenses and correspondingly transferred profits to the intermediary</w:t>
      </w:r>
      <w:r w:rsidR="00AA73D1" w:rsidRPr="00C12279">
        <w:rPr>
          <w:rFonts w:ascii="Times New Roman" w:hAnsi="Times New Roman" w:cs="Times New Roman"/>
          <w:sz w:val="24"/>
          <w:szCs w:val="24"/>
        </w:rPr>
        <w:t>.</w:t>
      </w:r>
      <w:r w:rsidR="006A6D0E" w:rsidRPr="00C12279">
        <w:rPr>
          <w:rFonts w:ascii="Times New Roman" w:hAnsi="Times New Roman" w:cs="Times New Roman"/>
          <w:sz w:val="24"/>
          <w:szCs w:val="24"/>
        </w:rPr>
        <w:t xml:space="preserve"> </w:t>
      </w:r>
    </w:p>
    <w:p w14:paraId="0C49CCCE" w14:textId="77777777" w:rsidR="00304417" w:rsidRPr="00C12279" w:rsidRDefault="00D845D3" w:rsidP="007370F3">
      <w:pPr>
        <w:jc w:val="both"/>
        <w:rPr>
          <w:rFonts w:ascii="Times New Roman" w:hAnsi="Times New Roman" w:cs="Times New Roman"/>
          <w:i/>
          <w:sz w:val="24"/>
          <w:szCs w:val="24"/>
        </w:rPr>
      </w:pPr>
      <w:r w:rsidRPr="00C12279">
        <w:rPr>
          <w:rFonts w:ascii="Times New Roman" w:hAnsi="Times New Roman" w:cs="Times New Roman"/>
          <w:i/>
          <w:sz w:val="24"/>
          <w:szCs w:val="24"/>
        </w:rPr>
        <w:t>Opinion that they were not at arm’s length and normal conditions</w:t>
      </w:r>
    </w:p>
    <w:p w14:paraId="2998BCB3" w14:textId="03CB169B" w:rsidR="003804E2" w:rsidRPr="00C12279" w:rsidRDefault="00D845D3"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reservation of ownership </w:t>
      </w:r>
      <w:r w:rsidR="0036118A" w:rsidRPr="00C12279">
        <w:rPr>
          <w:rFonts w:ascii="Times New Roman" w:hAnsi="Times New Roman" w:cs="Times New Roman"/>
          <w:sz w:val="24"/>
          <w:szCs w:val="24"/>
        </w:rPr>
        <w:t xml:space="preserve">is </w:t>
      </w:r>
      <w:r w:rsidRPr="00C12279">
        <w:rPr>
          <w:rFonts w:ascii="Times New Roman" w:hAnsi="Times New Roman" w:cs="Times New Roman"/>
          <w:sz w:val="24"/>
          <w:szCs w:val="24"/>
        </w:rPr>
        <w:t xml:space="preserve">an arm’s length condition </w:t>
      </w:r>
      <w:r w:rsidR="006E0A3D" w:rsidRPr="00C12279">
        <w:rPr>
          <w:rFonts w:ascii="Times New Roman" w:hAnsi="Times New Roman" w:cs="Times New Roman"/>
          <w:sz w:val="24"/>
          <w:szCs w:val="24"/>
        </w:rPr>
        <w:t xml:space="preserve">recognised both in </w:t>
      </w:r>
      <w:r w:rsidR="008A5DB5" w:rsidRPr="00C12279">
        <w:rPr>
          <w:rFonts w:ascii="Times New Roman" w:hAnsi="Times New Roman" w:cs="Times New Roman"/>
          <w:sz w:val="24"/>
          <w:szCs w:val="24"/>
        </w:rPr>
        <w:t>our</w:t>
      </w:r>
      <w:r w:rsidR="0036118A" w:rsidRPr="00C12279">
        <w:rPr>
          <w:rFonts w:ascii="Times New Roman" w:hAnsi="Times New Roman" w:cs="Times New Roman"/>
          <w:sz w:val="24"/>
          <w:szCs w:val="24"/>
        </w:rPr>
        <w:t xml:space="preserve"> common law an</w:t>
      </w:r>
      <w:r w:rsidR="00C42A62" w:rsidRPr="00C12279">
        <w:rPr>
          <w:rFonts w:ascii="Times New Roman" w:hAnsi="Times New Roman" w:cs="Times New Roman"/>
          <w:sz w:val="24"/>
          <w:szCs w:val="24"/>
        </w:rPr>
        <w:t xml:space="preserve">d </w:t>
      </w:r>
      <w:r w:rsidR="006E0A3D" w:rsidRPr="00C12279">
        <w:rPr>
          <w:rFonts w:ascii="Times New Roman" w:hAnsi="Times New Roman" w:cs="Times New Roman"/>
          <w:sz w:val="24"/>
          <w:szCs w:val="24"/>
        </w:rPr>
        <w:t xml:space="preserve">by </w:t>
      </w:r>
      <w:r w:rsidR="00C42A62" w:rsidRPr="00C12279">
        <w:rPr>
          <w:rFonts w:ascii="Times New Roman" w:hAnsi="Times New Roman" w:cs="Times New Roman"/>
          <w:sz w:val="24"/>
          <w:szCs w:val="24"/>
        </w:rPr>
        <w:t xml:space="preserve">statute. </w:t>
      </w:r>
      <w:r w:rsidR="006E0A3D" w:rsidRPr="00C12279">
        <w:rPr>
          <w:rFonts w:ascii="Times New Roman" w:hAnsi="Times New Roman" w:cs="Times New Roman"/>
          <w:sz w:val="24"/>
          <w:szCs w:val="24"/>
        </w:rPr>
        <w:t xml:space="preserve">The </w:t>
      </w:r>
      <w:r w:rsidR="006E0A3D" w:rsidRPr="00C12279">
        <w:rPr>
          <w:rFonts w:ascii="Times New Roman" w:hAnsi="Times New Roman" w:cs="Times New Roman"/>
          <w:i/>
          <w:sz w:val="24"/>
          <w:szCs w:val="24"/>
        </w:rPr>
        <w:t xml:space="preserve">Rennie Grinaker Holdings </w:t>
      </w:r>
      <w:r w:rsidR="006E0A3D" w:rsidRPr="00C12279">
        <w:rPr>
          <w:rFonts w:ascii="Times New Roman" w:hAnsi="Times New Roman" w:cs="Times New Roman"/>
          <w:sz w:val="24"/>
          <w:szCs w:val="24"/>
        </w:rPr>
        <w:t xml:space="preserve">and </w:t>
      </w:r>
      <w:r w:rsidR="006E0A3D" w:rsidRPr="00C12279">
        <w:rPr>
          <w:rFonts w:ascii="Times New Roman" w:hAnsi="Times New Roman" w:cs="Times New Roman"/>
          <w:i/>
          <w:sz w:val="24"/>
          <w:szCs w:val="24"/>
        </w:rPr>
        <w:t>Lendalease Finance cases, supra</w:t>
      </w:r>
      <w:r w:rsidR="008A5DB5" w:rsidRPr="00C12279">
        <w:rPr>
          <w:rFonts w:ascii="Times New Roman" w:hAnsi="Times New Roman" w:cs="Times New Roman"/>
          <w:i/>
          <w:sz w:val="24"/>
          <w:szCs w:val="24"/>
        </w:rPr>
        <w:t xml:space="preserve"> </w:t>
      </w:r>
      <w:r w:rsidR="008A5DB5" w:rsidRPr="00C12279">
        <w:rPr>
          <w:rFonts w:ascii="Times New Roman" w:hAnsi="Times New Roman" w:cs="Times New Roman"/>
          <w:sz w:val="24"/>
          <w:szCs w:val="24"/>
        </w:rPr>
        <w:t>demonstrated</w:t>
      </w:r>
      <w:r w:rsidR="00B067F3" w:rsidRPr="00C12279">
        <w:rPr>
          <w:rFonts w:ascii="Times New Roman" w:hAnsi="Times New Roman" w:cs="Times New Roman"/>
          <w:sz w:val="24"/>
          <w:szCs w:val="24"/>
        </w:rPr>
        <w:t xml:space="preserve"> that the reservation of ownership is a standard condition in contracts of sale governing international trade. </w:t>
      </w:r>
      <w:r w:rsidR="007E32B8" w:rsidRPr="00C12279">
        <w:rPr>
          <w:rFonts w:ascii="Times New Roman" w:hAnsi="Times New Roman" w:cs="Times New Roman"/>
          <w:sz w:val="24"/>
          <w:szCs w:val="24"/>
        </w:rPr>
        <w:t xml:space="preserve">The use of bonded warehouses was also a common </w:t>
      </w:r>
      <w:r w:rsidR="006E0A3D" w:rsidRPr="00C12279">
        <w:rPr>
          <w:rFonts w:ascii="Times New Roman" w:hAnsi="Times New Roman" w:cs="Times New Roman"/>
          <w:sz w:val="24"/>
          <w:szCs w:val="24"/>
        </w:rPr>
        <w:t xml:space="preserve">and </w:t>
      </w:r>
      <w:r w:rsidR="00B96B6D" w:rsidRPr="00C12279">
        <w:rPr>
          <w:rFonts w:ascii="Times New Roman" w:hAnsi="Times New Roman" w:cs="Times New Roman"/>
          <w:sz w:val="24"/>
          <w:szCs w:val="24"/>
        </w:rPr>
        <w:t>normal in</w:t>
      </w:r>
      <w:r w:rsidR="000D0362" w:rsidRPr="00C12279">
        <w:rPr>
          <w:rFonts w:ascii="Times New Roman" w:hAnsi="Times New Roman" w:cs="Times New Roman"/>
          <w:sz w:val="24"/>
          <w:szCs w:val="24"/>
        </w:rPr>
        <w:t xml:space="preserve">ternationally accepted standard </w:t>
      </w:r>
      <w:r w:rsidR="008A5DB5" w:rsidRPr="00C12279">
        <w:rPr>
          <w:rFonts w:ascii="Times New Roman" w:hAnsi="Times New Roman" w:cs="Times New Roman"/>
          <w:sz w:val="24"/>
          <w:szCs w:val="24"/>
        </w:rPr>
        <w:t xml:space="preserve">in the motor industry designed to promote the free and easy flow of global </w:t>
      </w:r>
      <w:r w:rsidR="000D0362" w:rsidRPr="00C12279">
        <w:rPr>
          <w:rFonts w:ascii="Times New Roman" w:hAnsi="Times New Roman" w:cs="Times New Roman"/>
          <w:sz w:val="24"/>
          <w:szCs w:val="24"/>
        </w:rPr>
        <w:t xml:space="preserve">trade </w:t>
      </w:r>
      <w:r w:rsidR="008A5DB5" w:rsidRPr="00C12279">
        <w:rPr>
          <w:rFonts w:ascii="Times New Roman" w:hAnsi="Times New Roman" w:cs="Times New Roman"/>
          <w:sz w:val="24"/>
          <w:szCs w:val="24"/>
        </w:rPr>
        <w:t>and accessibility of the vehicles in the importing country. It seemed to me that the cost structure</w:t>
      </w:r>
      <w:r w:rsidR="00020419" w:rsidRPr="00C12279">
        <w:rPr>
          <w:rFonts w:ascii="Times New Roman" w:hAnsi="Times New Roman" w:cs="Times New Roman"/>
          <w:sz w:val="24"/>
          <w:szCs w:val="24"/>
        </w:rPr>
        <w:t xml:space="preserve"> of the</w:t>
      </w:r>
      <w:r w:rsidR="008A5DB5" w:rsidRPr="00C12279">
        <w:rPr>
          <w:rFonts w:ascii="Times New Roman" w:hAnsi="Times New Roman" w:cs="Times New Roman"/>
          <w:sz w:val="24"/>
          <w:szCs w:val="24"/>
        </w:rPr>
        <w:t xml:space="preserve"> </w:t>
      </w:r>
      <w:r w:rsidR="00020419" w:rsidRPr="00C12279">
        <w:rPr>
          <w:rFonts w:ascii="Times New Roman" w:hAnsi="Times New Roman" w:cs="Times New Roman"/>
          <w:sz w:val="24"/>
          <w:szCs w:val="24"/>
        </w:rPr>
        <w:t xml:space="preserve">intermediary </w:t>
      </w:r>
      <w:r w:rsidR="008A5DB5" w:rsidRPr="00C12279">
        <w:rPr>
          <w:rFonts w:ascii="Times New Roman" w:hAnsi="Times New Roman" w:cs="Times New Roman"/>
          <w:sz w:val="24"/>
          <w:szCs w:val="24"/>
        </w:rPr>
        <w:t>incorpor</w:t>
      </w:r>
      <w:r w:rsidR="00020419" w:rsidRPr="00C12279">
        <w:rPr>
          <w:rFonts w:ascii="Times New Roman" w:hAnsi="Times New Roman" w:cs="Times New Roman"/>
          <w:sz w:val="24"/>
          <w:szCs w:val="24"/>
        </w:rPr>
        <w:t>ated all the ingredients that went</w:t>
      </w:r>
      <w:r w:rsidR="008A5DB5" w:rsidRPr="00C12279">
        <w:rPr>
          <w:rFonts w:ascii="Times New Roman" w:hAnsi="Times New Roman" w:cs="Times New Roman"/>
          <w:sz w:val="24"/>
          <w:szCs w:val="24"/>
        </w:rPr>
        <w:t xml:space="preserve"> into the landed price of the vehicles. </w:t>
      </w:r>
      <w:r w:rsidR="005E75BE" w:rsidRPr="00C12279">
        <w:rPr>
          <w:rFonts w:ascii="Times New Roman" w:hAnsi="Times New Roman" w:cs="Times New Roman"/>
          <w:sz w:val="24"/>
          <w:szCs w:val="24"/>
        </w:rPr>
        <w:t>The evidence of the appellant that the carriage insurance paid price comprised the free on board selling price of the manufacturer, the cost of freight to the bonded warehouse, insurance of the vehicles in transit to and in the bonded warehouse and the mark-up of the intermediary was not impugned</w:t>
      </w:r>
      <w:r w:rsidR="003804E2" w:rsidRPr="00C12279">
        <w:rPr>
          <w:rFonts w:ascii="Times New Roman" w:hAnsi="Times New Roman" w:cs="Times New Roman"/>
          <w:sz w:val="24"/>
          <w:szCs w:val="24"/>
        </w:rPr>
        <w:t xml:space="preserve">. The respondent did not find the amounts charged to have been outside the normal open commercial terms charged in similar transactions by the appellant’s competitors. It seems to me that the appellant discharged the onus on it to show that the opinion of the Commissioner was wrong. </w:t>
      </w:r>
    </w:p>
    <w:p w14:paraId="29FE1E49" w14:textId="0E6D7C04" w:rsidR="00386362" w:rsidRPr="00C12279" w:rsidRDefault="00AC7BA4"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Mr </w:t>
      </w:r>
      <w:r w:rsidRPr="00C12279">
        <w:rPr>
          <w:rFonts w:ascii="Times New Roman" w:hAnsi="Times New Roman" w:cs="Times New Roman"/>
          <w:i/>
          <w:sz w:val="24"/>
          <w:szCs w:val="24"/>
        </w:rPr>
        <w:t>de Bourbon</w:t>
      </w:r>
      <w:r w:rsidRPr="00C12279">
        <w:rPr>
          <w:rFonts w:ascii="Times New Roman" w:hAnsi="Times New Roman" w:cs="Times New Roman"/>
          <w:sz w:val="24"/>
          <w:szCs w:val="24"/>
        </w:rPr>
        <w:t xml:space="preserve"> contended that the determination under s 24 was limited to the computation of taxable income, as defined in s 8 (1) of the Income Tax Act as “the amount remaining after deducting from the income of any person all the amounts allowed to be deducted from income under this Act”.</w:t>
      </w:r>
      <w:r w:rsidR="00784189" w:rsidRPr="00C12279">
        <w:rPr>
          <w:rFonts w:ascii="Times New Roman" w:hAnsi="Times New Roman" w:cs="Times New Roman"/>
          <w:sz w:val="24"/>
          <w:szCs w:val="24"/>
        </w:rPr>
        <w:t xml:space="preserve"> He argued that the respondent was not empowered to raise notional vehicles sales gross profit and thereafter derive taxable income from that figure.  The </w:t>
      </w:r>
      <w:r w:rsidR="00B16D95" w:rsidRPr="00C12279">
        <w:rPr>
          <w:rFonts w:ascii="Times New Roman" w:hAnsi="Times New Roman" w:cs="Times New Roman"/>
          <w:sz w:val="24"/>
          <w:szCs w:val="24"/>
        </w:rPr>
        <w:t xml:space="preserve">submission </w:t>
      </w:r>
      <w:r w:rsidR="00784189" w:rsidRPr="00C12279">
        <w:rPr>
          <w:rFonts w:ascii="Times New Roman" w:hAnsi="Times New Roman" w:cs="Times New Roman"/>
          <w:sz w:val="24"/>
          <w:szCs w:val="24"/>
        </w:rPr>
        <w:t>lacks merit for the reason that taxable income is a derivative of gross income and income and not a standalone amount</w:t>
      </w:r>
      <w:r w:rsidR="006B5960" w:rsidRPr="00C12279">
        <w:rPr>
          <w:rFonts w:ascii="Times New Roman" w:hAnsi="Times New Roman" w:cs="Times New Roman"/>
          <w:sz w:val="24"/>
          <w:szCs w:val="24"/>
        </w:rPr>
        <w:t>.</w:t>
      </w:r>
      <w:r w:rsidR="00784189" w:rsidRPr="00C12279">
        <w:rPr>
          <w:rFonts w:ascii="Times New Roman" w:hAnsi="Times New Roman" w:cs="Times New Roman"/>
          <w:sz w:val="24"/>
          <w:szCs w:val="24"/>
        </w:rPr>
        <w:t xml:space="preserve"> </w:t>
      </w:r>
      <w:r w:rsidR="00B16D95" w:rsidRPr="00C12279">
        <w:rPr>
          <w:rFonts w:ascii="Times New Roman" w:hAnsi="Times New Roman" w:cs="Times New Roman"/>
          <w:sz w:val="24"/>
          <w:szCs w:val="24"/>
        </w:rPr>
        <w:t>Our Supreme Court in</w:t>
      </w:r>
      <w:r w:rsidR="009636BB" w:rsidRPr="00C12279">
        <w:rPr>
          <w:rFonts w:ascii="Times New Roman" w:hAnsi="Times New Roman" w:cs="Times New Roman"/>
          <w:sz w:val="24"/>
          <w:szCs w:val="24"/>
        </w:rPr>
        <w:t xml:space="preserve"> </w:t>
      </w:r>
      <w:r w:rsidR="009636BB" w:rsidRPr="00C12279">
        <w:rPr>
          <w:rFonts w:ascii="Times New Roman" w:hAnsi="Times New Roman" w:cs="Times New Roman"/>
          <w:i/>
          <w:sz w:val="24"/>
          <w:szCs w:val="24"/>
        </w:rPr>
        <w:t xml:space="preserve">Zimbabwe Revenue </w:t>
      </w:r>
      <w:r w:rsidR="009636BB" w:rsidRPr="00C12279">
        <w:rPr>
          <w:rFonts w:ascii="Times New Roman" w:hAnsi="Times New Roman" w:cs="Times New Roman"/>
          <w:i/>
          <w:sz w:val="24"/>
          <w:szCs w:val="24"/>
        </w:rPr>
        <w:lastRenderedPageBreak/>
        <w:t xml:space="preserve">Authority </w:t>
      </w:r>
      <w:r w:rsidR="009636BB" w:rsidRPr="00883AA4">
        <w:rPr>
          <w:rFonts w:ascii="Times New Roman" w:hAnsi="Times New Roman" w:cs="Times New Roman"/>
          <w:sz w:val="24"/>
          <w:szCs w:val="24"/>
        </w:rPr>
        <w:t>v</w:t>
      </w:r>
      <w:r w:rsidR="009636BB" w:rsidRPr="00C12279">
        <w:rPr>
          <w:rFonts w:ascii="Times New Roman" w:hAnsi="Times New Roman" w:cs="Times New Roman"/>
          <w:i/>
          <w:sz w:val="24"/>
          <w:szCs w:val="24"/>
        </w:rPr>
        <w:t xml:space="preserve"> Murowa Diamonds (Pvt) Ltd</w:t>
      </w:r>
      <w:r w:rsidR="009636BB" w:rsidRPr="00C12279">
        <w:rPr>
          <w:rFonts w:ascii="Times New Roman" w:hAnsi="Times New Roman" w:cs="Times New Roman"/>
          <w:sz w:val="24"/>
          <w:szCs w:val="24"/>
        </w:rPr>
        <w:t xml:space="preserve"> 2009 (2) ZLR 213 (SC)</w:t>
      </w:r>
      <w:r w:rsidR="00B16D95" w:rsidRPr="00C12279">
        <w:rPr>
          <w:rFonts w:ascii="Times New Roman" w:hAnsi="Times New Roman" w:cs="Times New Roman"/>
          <w:sz w:val="24"/>
          <w:szCs w:val="24"/>
        </w:rPr>
        <w:t xml:space="preserve"> at</w:t>
      </w:r>
      <w:r w:rsidR="00C27D16" w:rsidRPr="00C12279">
        <w:rPr>
          <w:rFonts w:ascii="Times New Roman" w:hAnsi="Times New Roman" w:cs="Times New Roman"/>
          <w:sz w:val="24"/>
          <w:szCs w:val="24"/>
        </w:rPr>
        <w:t xml:space="preserve"> 217G-218A </w:t>
      </w:r>
      <w:r w:rsidR="00926372" w:rsidRPr="00C12279">
        <w:rPr>
          <w:rFonts w:ascii="Times New Roman" w:hAnsi="Times New Roman" w:cs="Times New Roman"/>
          <w:sz w:val="24"/>
          <w:szCs w:val="24"/>
        </w:rPr>
        <w:t xml:space="preserve">requires courts to </w:t>
      </w:r>
      <w:r w:rsidR="00B16D95" w:rsidRPr="00C12279">
        <w:rPr>
          <w:rFonts w:ascii="Times New Roman" w:hAnsi="Times New Roman" w:cs="Times New Roman"/>
          <w:sz w:val="24"/>
          <w:szCs w:val="24"/>
        </w:rPr>
        <w:t>discard</w:t>
      </w:r>
      <w:r w:rsidR="00C27D16" w:rsidRPr="00C12279">
        <w:rPr>
          <w:rFonts w:ascii="Times New Roman" w:hAnsi="Times New Roman" w:cs="Times New Roman"/>
          <w:sz w:val="24"/>
          <w:szCs w:val="24"/>
        </w:rPr>
        <w:t xml:space="preserve"> the literal textual</w:t>
      </w:r>
      <w:r w:rsidR="00B16D95" w:rsidRPr="00C12279">
        <w:rPr>
          <w:rFonts w:ascii="Times New Roman" w:hAnsi="Times New Roman" w:cs="Times New Roman"/>
          <w:sz w:val="24"/>
          <w:szCs w:val="24"/>
        </w:rPr>
        <w:t xml:space="preserve"> construction in favour of </w:t>
      </w:r>
      <w:r w:rsidR="00C27D16" w:rsidRPr="00C12279">
        <w:rPr>
          <w:rFonts w:ascii="Times New Roman" w:hAnsi="Times New Roman" w:cs="Times New Roman"/>
          <w:sz w:val="24"/>
          <w:szCs w:val="24"/>
        </w:rPr>
        <w:t xml:space="preserve">the purposive </w:t>
      </w:r>
      <w:r w:rsidR="00B16D95" w:rsidRPr="00C12279">
        <w:rPr>
          <w:rFonts w:ascii="Times New Roman" w:hAnsi="Times New Roman" w:cs="Times New Roman"/>
          <w:sz w:val="24"/>
          <w:szCs w:val="24"/>
        </w:rPr>
        <w:t>contextual interpretation where the application of the former leads to an absurdity</w:t>
      </w:r>
      <w:r w:rsidR="00C27D16" w:rsidRPr="00C12279">
        <w:rPr>
          <w:rFonts w:ascii="Times New Roman" w:hAnsi="Times New Roman" w:cs="Times New Roman"/>
          <w:sz w:val="24"/>
          <w:szCs w:val="24"/>
        </w:rPr>
        <w:t xml:space="preserve"> or repugnancy or inconsistency with the rest of the statute.</w:t>
      </w:r>
      <w:r w:rsidR="00B16D95" w:rsidRPr="00C12279">
        <w:rPr>
          <w:rFonts w:ascii="Times New Roman" w:hAnsi="Times New Roman" w:cs="Times New Roman"/>
          <w:sz w:val="24"/>
          <w:szCs w:val="24"/>
        </w:rPr>
        <w:t xml:space="preserve">  </w:t>
      </w:r>
      <w:r w:rsidR="00926372" w:rsidRPr="00C12279">
        <w:rPr>
          <w:rFonts w:ascii="Times New Roman" w:hAnsi="Times New Roman" w:cs="Times New Roman"/>
          <w:sz w:val="24"/>
          <w:szCs w:val="24"/>
        </w:rPr>
        <w:t xml:space="preserve">It seems to me that to adopt the submission moved by Mr </w:t>
      </w:r>
      <w:r w:rsidR="00926372" w:rsidRPr="00C12279">
        <w:rPr>
          <w:rFonts w:ascii="Times New Roman" w:hAnsi="Times New Roman" w:cs="Times New Roman"/>
          <w:i/>
          <w:sz w:val="24"/>
          <w:szCs w:val="24"/>
        </w:rPr>
        <w:t>de Bourbon</w:t>
      </w:r>
      <w:r w:rsidR="00926372" w:rsidRPr="00C12279">
        <w:rPr>
          <w:rFonts w:ascii="Times New Roman" w:hAnsi="Times New Roman" w:cs="Times New Roman"/>
          <w:sz w:val="24"/>
          <w:szCs w:val="24"/>
        </w:rPr>
        <w:t xml:space="preserve"> would lead to an absurdity and would be inconsistent with the rest of the statute. </w:t>
      </w:r>
      <w:r w:rsidR="00B9286C" w:rsidRPr="00C12279">
        <w:rPr>
          <w:rFonts w:ascii="Times New Roman" w:hAnsi="Times New Roman" w:cs="Times New Roman"/>
          <w:sz w:val="24"/>
          <w:szCs w:val="24"/>
        </w:rPr>
        <w:t xml:space="preserve">The computation of taxable income is not a standalone process but is preceded by the computation of gross income from which all </w:t>
      </w:r>
      <w:r w:rsidR="001530F2">
        <w:rPr>
          <w:rFonts w:ascii="Times New Roman" w:hAnsi="Times New Roman" w:cs="Times New Roman"/>
          <w:sz w:val="24"/>
          <w:szCs w:val="24"/>
        </w:rPr>
        <w:t xml:space="preserve">exemptions </w:t>
      </w:r>
      <w:r w:rsidR="00B9286C" w:rsidRPr="00C12279">
        <w:rPr>
          <w:rFonts w:ascii="Times New Roman" w:hAnsi="Times New Roman" w:cs="Times New Roman"/>
          <w:sz w:val="24"/>
          <w:szCs w:val="24"/>
        </w:rPr>
        <w:t xml:space="preserve">are deducted to arrive at the income from which further allowable deductions are removed before arriving at the taxable income. </w:t>
      </w:r>
      <w:r w:rsidR="006B5960" w:rsidRPr="00C12279">
        <w:rPr>
          <w:rFonts w:ascii="Times New Roman" w:hAnsi="Times New Roman" w:cs="Times New Roman"/>
          <w:sz w:val="24"/>
          <w:szCs w:val="24"/>
        </w:rPr>
        <w:t xml:space="preserve">See also </w:t>
      </w:r>
      <w:r w:rsidR="006B5960" w:rsidRPr="00C12279">
        <w:rPr>
          <w:rFonts w:ascii="Times New Roman" w:hAnsi="Times New Roman" w:cs="Times New Roman"/>
          <w:i/>
          <w:sz w:val="24"/>
          <w:szCs w:val="24"/>
        </w:rPr>
        <w:t>Pretoria East Motors,</w:t>
      </w:r>
      <w:r w:rsidR="006B5960" w:rsidRPr="00C12279">
        <w:rPr>
          <w:rFonts w:ascii="Times New Roman" w:hAnsi="Times New Roman" w:cs="Times New Roman"/>
          <w:sz w:val="24"/>
          <w:szCs w:val="24"/>
        </w:rPr>
        <w:t xml:space="preserve"> </w:t>
      </w:r>
      <w:r w:rsidR="006B5960" w:rsidRPr="00C12279">
        <w:rPr>
          <w:rFonts w:ascii="Times New Roman" w:hAnsi="Times New Roman" w:cs="Times New Roman"/>
          <w:i/>
          <w:sz w:val="24"/>
          <w:szCs w:val="24"/>
        </w:rPr>
        <w:t>supra</w:t>
      </w:r>
      <w:r w:rsidR="00C22496" w:rsidRPr="00C12279">
        <w:rPr>
          <w:rFonts w:ascii="Times New Roman" w:hAnsi="Times New Roman" w:cs="Times New Roman"/>
          <w:i/>
          <w:sz w:val="24"/>
          <w:szCs w:val="24"/>
        </w:rPr>
        <w:t>,</w:t>
      </w:r>
      <w:r w:rsidR="00C22496" w:rsidRPr="00C12279">
        <w:rPr>
          <w:rFonts w:ascii="Times New Roman" w:hAnsi="Times New Roman" w:cs="Times New Roman"/>
          <w:sz w:val="24"/>
          <w:szCs w:val="24"/>
        </w:rPr>
        <w:t xml:space="preserve"> para</w:t>
      </w:r>
      <w:r w:rsidR="006B5960" w:rsidRPr="00C12279">
        <w:rPr>
          <w:rFonts w:ascii="Times New Roman" w:hAnsi="Times New Roman" w:cs="Times New Roman"/>
          <w:sz w:val="24"/>
          <w:szCs w:val="24"/>
        </w:rPr>
        <w:t xml:space="preserve"> [3]</w:t>
      </w:r>
      <w:r w:rsidR="005D2182" w:rsidRPr="00C12279">
        <w:rPr>
          <w:rFonts w:ascii="Times New Roman" w:hAnsi="Times New Roman" w:cs="Times New Roman"/>
          <w:sz w:val="24"/>
          <w:szCs w:val="24"/>
        </w:rPr>
        <w:t xml:space="preserve"> and </w:t>
      </w:r>
      <w:r w:rsidR="005D2182" w:rsidRPr="00C12279">
        <w:rPr>
          <w:rFonts w:ascii="Times New Roman" w:hAnsi="Times New Roman" w:cs="Times New Roman"/>
          <w:i/>
          <w:sz w:val="24"/>
          <w:szCs w:val="24"/>
        </w:rPr>
        <w:t xml:space="preserve">Commissioner for Inland Revenue </w:t>
      </w:r>
      <w:r w:rsidR="005D2182" w:rsidRPr="00883AA4">
        <w:rPr>
          <w:rFonts w:ascii="Times New Roman" w:hAnsi="Times New Roman" w:cs="Times New Roman"/>
          <w:sz w:val="24"/>
          <w:szCs w:val="24"/>
        </w:rPr>
        <w:t>v</w:t>
      </w:r>
      <w:r w:rsidR="005D2182" w:rsidRPr="00C12279">
        <w:rPr>
          <w:rFonts w:ascii="Times New Roman" w:hAnsi="Times New Roman" w:cs="Times New Roman"/>
          <w:i/>
          <w:sz w:val="24"/>
          <w:szCs w:val="24"/>
        </w:rPr>
        <w:t xml:space="preserve"> Delfos </w:t>
      </w:r>
      <w:r w:rsidR="005D2182" w:rsidRPr="00C12279">
        <w:rPr>
          <w:rFonts w:ascii="Times New Roman" w:hAnsi="Times New Roman" w:cs="Times New Roman"/>
          <w:sz w:val="24"/>
          <w:szCs w:val="24"/>
        </w:rPr>
        <w:t xml:space="preserve">1933 AD 241at 252. </w:t>
      </w:r>
    </w:p>
    <w:p w14:paraId="589528DC" w14:textId="6C17AA1A" w:rsidR="00C22496" w:rsidRPr="00C12279" w:rsidRDefault="00C22496" w:rsidP="00AD6517">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 am</w:t>
      </w:r>
      <w:r w:rsidR="00E321CD" w:rsidRPr="00C12279">
        <w:rPr>
          <w:rFonts w:ascii="Times New Roman" w:hAnsi="Times New Roman" w:cs="Times New Roman"/>
          <w:sz w:val="24"/>
          <w:szCs w:val="24"/>
        </w:rPr>
        <w:t xml:space="preserve">, however </w:t>
      </w:r>
      <w:r w:rsidR="00FF36D4" w:rsidRPr="00C12279">
        <w:rPr>
          <w:rFonts w:ascii="Times New Roman" w:hAnsi="Times New Roman" w:cs="Times New Roman"/>
          <w:sz w:val="24"/>
          <w:szCs w:val="24"/>
        </w:rPr>
        <w:t>satisfied that the respondent</w:t>
      </w:r>
      <w:r w:rsidRPr="00C12279">
        <w:rPr>
          <w:rFonts w:ascii="Times New Roman" w:hAnsi="Times New Roman" w:cs="Times New Roman"/>
          <w:sz w:val="24"/>
          <w:szCs w:val="24"/>
        </w:rPr>
        <w:t xml:space="preserve"> wrongly invoked s 24 of the Income Tax in the present matter. </w:t>
      </w:r>
      <w:r w:rsidR="00FF36D4" w:rsidRPr="00C12279">
        <w:rPr>
          <w:rFonts w:ascii="Times New Roman" w:hAnsi="Times New Roman" w:cs="Times New Roman"/>
          <w:sz w:val="24"/>
          <w:szCs w:val="24"/>
        </w:rPr>
        <w:t xml:space="preserve">Accordingly, there was no room for it to apply the functional analysis principle in this matter.  </w:t>
      </w:r>
    </w:p>
    <w:p w14:paraId="4B58B0C9" w14:textId="77777777" w:rsidR="00C062B2" w:rsidRPr="00C12279" w:rsidRDefault="00C062B2" w:rsidP="00AD6517">
      <w:pPr>
        <w:ind w:left="360" w:firstLine="360"/>
        <w:jc w:val="both"/>
        <w:rPr>
          <w:rFonts w:ascii="Times New Roman" w:hAnsi="Times New Roman" w:cs="Times New Roman"/>
          <w:i/>
          <w:sz w:val="24"/>
          <w:szCs w:val="24"/>
        </w:rPr>
      </w:pPr>
      <w:r w:rsidRPr="00C12279">
        <w:rPr>
          <w:rFonts w:ascii="Times New Roman" w:hAnsi="Times New Roman" w:cs="Times New Roman"/>
          <w:i/>
          <w:sz w:val="24"/>
          <w:szCs w:val="24"/>
        </w:rPr>
        <w:t>Expenses relating to leave pay and audit fees</w:t>
      </w:r>
    </w:p>
    <w:p w14:paraId="2482F573" w14:textId="77777777" w:rsidR="00C062B2" w:rsidRPr="00C12279" w:rsidRDefault="00C062B2" w:rsidP="007370F3">
      <w:pPr>
        <w:jc w:val="both"/>
        <w:rPr>
          <w:rFonts w:ascii="Times New Roman" w:hAnsi="Times New Roman" w:cs="Times New Roman"/>
          <w:i/>
          <w:sz w:val="24"/>
          <w:szCs w:val="24"/>
        </w:rPr>
      </w:pPr>
      <w:r w:rsidRPr="00C12279">
        <w:rPr>
          <w:rFonts w:ascii="Times New Roman" w:hAnsi="Times New Roman" w:cs="Times New Roman"/>
          <w:i/>
          <w:sz w:val="24"/>
          <w:szCs w:val="24"/>
        </w:rPr>
        <w:t>Whether it was proper of appellant and open to appellant to make provision for the costs in question</w:t>
      </w:r>
    </w:p>
    <w:p w14:paraId="7B0D613F" w14:textId="1ADFB04C" w:rsidR="00C062B2" w:rsidRPr="00C12279" w:rsidRDefault="00C062B2"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In its income t</w:t>
      </w:r>
      <w:r w:rsidR="00CA5CFB" w:rsidRPr="00C12279">
        <w:rPr>
          <w:rFonts w:ascii="Times New Roman" w:hAnsi="Times New Roman" w:cs="Times New Roman"/>
          <w:sz w:val="24"/>
          <w:szCs w:val="24"/>
        </w:rPr>
        <w:t xml:space="preserve">ax returns the appellant made </w:t>
      </w:r>
      <w:r w:rsidRPr="00C12279">
        <w:rPr>
          <w:rFonts w:ascii="Times New Roman" w:hAnsi="Times New Roman" w:cs="Times New Roman"/>
          <w:sz w:val="24"/>
          <w:szCs w:val="24"/>
        </w:rPr>
        <w:t xml:space="preserve">provision for leave pay </w:t>
      </w:r>
      <w:r w:rsidR="006623B6" w:rsidRPr="00C12279">
        <w:rPr>
          <w:rFonts w:ascii="Times New Roman" w:hAnsi="Times New Roman" w:cs="Times New Roman"/>
          <w:sz w:val="24"/>
          <w:szCs w:val="24"/>
        </w:rPr>
        <w:t xml:space="preserve">in its accounts in respect of its </w:t>
      </w:r>
      <w:r w:rsidRPr="00C12279">
        <w:rPr>
          <w:rFonts w:ascii="Times New Roman" w:hAnsi="Times New Roman" w:cs="Times New Roman"/>
          <w:sz w:val="24"/>
          <w:szCs w:val="24"/>
        </w:rPr>
        <w:t xml:space="preserve">employees in the sum of US$10 193 for the year 2009, </w:t>
      </w:r>
      <w:r w:rsidR="00BB3CAB" w:rsidRPr="00C12279">
        <w:rPr>
          <w:rFonts w:ascii="Times New Roman" w:hAnsi="Times New Roman" w:cs="Times New Roman"/>
          <w:sz w:val="24"/>
          <w:szCs w:val="24"/>
        </w:rPr>
        <w:t>US$12 372 for 2010, US$22 947 for 2011 and US$24 207 for 2012.  It was common cause that the responde</w:t>
      </w:r>
      <w:r w:rsidR="00EB2046" w:rsidRPr="00C12279">
        <w:rPr>
          <w:rFonts w:ascii="Times New Roman" w:hAnsi="Times New Roman" w:cs="Times New Roman"/>
          <w:sz w:val="24"/>
          <w:szCs w:val="24"/>
        </w:rPr>
        <w:t xml:space="preserve">nt disallowed the 2009 and 2010 </w:t>
      </w:r>
      <w:r w:rsidR="00BB3CAB" w:rsidRPr="00C12279">
        <w:rPr>
          <w:rFonts w:ascii="Times New Roman" w:hAnsi="Times New Roman" w:cs="Times New Roman"/>
          <w:sz w:val="24"/>
          <w:szCs w:val="24"/>
        </w:rPr>
        <w:t xml:space="preserve">provisions in </w:t>
      </w:r>
      <w:r w:rsidR="009C6FE2" w:rsidRPr="00C12279">
        <w:rPr>
          <w:rFonts w:ascii="Times New Roman" w:hAnsi="Times New Roman" w:cs="Times New Roman"/>
          <w:sz w:val="24"/>
          <w:szCs w:val="24"/>
        </w:rPr>
        <w:t>these</w:t>
      </w:r>
      <w:r w:rsidR="00BB3CAB" w:rsidRPr="00C12279">
        <w:rPr>
          <w:rFonts w:ascii="Times New Roman" w:hAnsi="Times New Roman" w:cs="Times New Roman"/>
          <w:sz w:val="24"/>
          <w:szCs w:val="24"/>
        </w:rPr>
        <w:t xml:space="preserve"> amounts but disallowed US$10 575 in the 2011 tax year and US$ 1 260 in the 2011 tax year</w:t>
      </w:r>
      <w:r w:rsidR="0027223D" w:rsidRPr="00C12279">
        <w:rPr>
          <w:rStyle w:val="FootnoteReference"/>
          <w:rFonts w:ascii="Times New Roman" w:hAnsi="Times New Roman" w:cs="Times New Roman"/>
          <w:sz w:val="24"/>
          <w:szCs w:val="24"/>
        </w:rPr>
        <w:footnoteReference w:id="48"/>
      </w:r>
      <w:r w:rsidR="00BB3CAB" w:rsidRPr="00C12279">
        <w:rPr>
          <w:rFonts w:ascii="Times New Roman" w:hAnsi="Times New Roman" w:cs="Times New Roman"/>
          <w:sz w:val="24"/>
          <w:szCs w:val="24"/>
        </w:rPr>
        <w:t xml:space="preserve">. </w:t>
      </w:r>
      <w:r w:rsidR="009C6FE2" w:rsidRPr="00C12279">
        <w:rPr>
          <w:rFonts w:ascii="Times New Roman" w:hAnsi="Times New Roman" w:cs="Times New Roman"/>
          <w:sz w:val="24"/>
          <w:szCs w:val="24"/>
        </w:rPr>
        <w:t xml:space="preserve">The appellant contended that it was under a legal obligation to pay to its employees for the leave days accumulated at the end of each financial year and was therefore entitled to make provision for </w:t>
      </w:r>
      <w:r w:rsidR="00C221B4" w:rsidRPr="00C12279">
        <w:rPr>
          <w:rFonts w:ascii="Times New Roman" w:hAnsi="Times New Roman" w:cs="Times New Roman"/>
          <w:sz w:val="24"/>
          <w:szCs w:val="24"/>
        </w:rPr>
        <w:t xml:space="preserve">these leave days. On the other hand, the respondent contended that the obligation to pay only arose when an employee went on leave or encashed his or her leave days as it was at that stage that the leave pay would be incurred for the purpose of trade or in the production of taxable income, otherwise </w:t>
      </w:r>
      <w:r w:rsidR="00290A2A" w:rsidRPr="00C12279">
        <w:rPr>
          <w:rFonts w:ascii="Times New Roman" w:hAnsi="Times New Roman" w:cs="Times New Roman"/>
          <w:sz w:val="24"/>
          <w:szCs w:val="24"/>
        </w:rPr>
        <w:t xml:space="preserve">the </w:t>
      </w:r>
      <w:r w:rsidR="00C221B4" w:rsidRPr="00C12279">
        <w:rPr>
          <w:rFonts w:ascii="Times New Roman" w:hAnsi="Times New Roman" w:cs="Times New Roman"/>
          <w:sz w:val="24"/>
          <w:szCs w:val="24"/>
        </w:rPr>
        <w:t xml:space="preserve">provisions were rendered non-deductible expenses by virtue of s 16 (1) (e) of the Income Tax Act. </w:t>
      </w:r>
    </w:p>
    <w:p w14:paraId="1E3BFA16" w14:textId="1F325C36" w:rsidR="00A46A78" w:rsidRPr="00C12279" w:rsidRDefault="00C221B4"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the alternative the appellant contended that the provision in the original income tax return having been </w:t>
      </w:r>
      <w:r w:rsidR="003F7643" w:rsidRPr="00C12279">
        <w:rPr>
          <w:rFonts w:ascii="Times New Roman" w:hAnsi="Times New Roman" w:cs="Times New Roman"/>
          <w:sz w:val="24"/>
          <w:szCs w:val="24"/>
        </w:rPr>
        <w:t xml:space="preserve">deemed issued </w:t>
      </w:r>
      <w:r w:rsidRPr="00C12279">
        <w:rPr>
          <w:rFonts w:ascii="Times New Roman" w:hAnsi="Times New Roman" w:cs="Times New Roman"/>
          <w:sz w:val="24"/>
          <w:szCs w:val="24"/>
        </w:rPr>
        <w:t xml:space="preserve">by the Commissioner as his original assessment on the date of filing </w:t>
      </w:r>
      <w:r w:rsidR="003F7643" w:rsidRPr="00C12279">
        <w:rPr>
          <w:rFonts w:ascii="Times New Roman" w:hAnsi="Times New Roman" w:cs="Times New Roman"/>
          <w:sz w:val="24"/>
          <w:szCs w:val="24"/>
        </w:rPr>
        <w:t xml:space="preserve">was accepted and made in accordance with the practice then prevailing in the </w:t>
      </w:r>
      <w:r w:rsidR="00883AA4">
        <w:rPr>
          <w:rFonts w:ascii="Times New Roman" w:hAnsi="Times New Roman" w:cs="Times New Roman"/>
          <w:sz w:val="24"/>
          <w:szCs w:val="24"/>
        </w:rPr>
        <w:lastRenderedPageBreak/>
        <w:t>r</w:t>
      </w:r>
      <w:r w:rsidR="003F7643" w:rsidRPr="00C12279">
        <w:rPr>
          <w:rFonts w:ascii="Times New Roman" w:hAnsi="Times New Roman" w:cs="Times New Roman"/>
          <w:sz w:val="24"/>
          <w:szCs w:val="24"/>
        </w:rPr>
        <w:t xml:space="preserve">espondent’s office for which the </w:t>
      </w:r>
      <w:r w:rsidR="00883AA4">
        <w:rPr>
          <w:rFonts w:ascii="Times New Roman" w:hAnsi="Times New Roman" w:cs="Times New Roman"/>
          <w:sz w:val="24"/>
          <w:szCs w:val="24"/>
        </w:rPr>
        <w:t>r</w:t>
      </w:r>
      <w:r w:rsidR="003F7643" w:rsidRPr="00C12279">
        <w:rPr>
          <w:rFonts w:ascii="Times New Roman" w:hAnsi="Times New Roman" w:cs="Times New Roman"/>
          <w:sz w:val="24"/>
          <w:szCs w:val="24"/>
        </w:rPr>
        <w:t>espondent was precluded by the proviso</w:t>
      </w:r>
      <w:r w:rsidR="000B0F03">
        <w:rPr>
          <w:rFonts w:ascii="Times New Roman" w:hAnsi="Times New Roman" w:cs="Times New Roman"/>
          <w:sz w:val="24"/>
          <w:szCs w:val="24"/>
        </w:rPr>
        <w:t xml:space="preserve"> (i)</w:t>
      </w:r>
      <w:r w:rsidR="003F7643" w:rsidRPr="00C12279">
        <w:rPr>
          <w:rFonts w:ascii="Times New Roman" w:hAnsi="Times New Roman" w:cs="Times New Roman"/>
          <w:sz w:val="24"/>
          <w:szCs w:val="24"/>
        </w:rPr>
        <w:t xml:space="preserve"> to s 47 (1) of the Income Tax act from issuing amended assessments. The respondent disputed </w:t>
      </w:r>
      <w:r w:rsidR="004F042D" w:rsidRPr="00C12279">
        <w:rPr>
          <w:rFonts w:ascii="Times New Roman" w:hAnsi="Times New Roman" w:cs="Times New Roman"/>
          <w:sz w:val="24"/>
          <w:szCs w:val="24"/>
        </w:rPr>
        <w:t xml:space="preserve">firstly </w:t>
      </w:r>
      <w:r w:rsidR="003F7643" w:rsidRPr="00C12279">
        <w:rPr>
          <w:rFonts w:ascii="Times New Roman" w:hAnsi="Times New Roman" w:cs="Times New Roman"/>
          <w:sz w:val="24"/>
          <w:szCs w:val="24"/>
        </w:rPr>
        <w:t xml:space="preserve">that the mere acceptance of the self-assessed return amounted to a concession as to its correctness otherwise the provision permitting the respondent to investigate and verify the correctness of the self-assessments as had been done on the appellant in the past would be superfluous. </w:t>
      </w:r>
      <w:r w:rsidR="004F042D" w:rsidRPr="00C12279">
        <w:rPr>
          <w:rFonts w:ascii="Times New Roman" w:hAnsi="Times New Roman" w:cs="Times New Roman"/>
          <w:sz w:val="24"/>
          <w:szCs w:val="24"/>
        </w:rPr>
        <w:t xml:space="preserve">Secondly, </w:t>
      </w:r>
      <w:r w:rsidR="00613A8D" w:rsidRPr="00C12279">
        <w:rPr>
          <w:rFonts w:ascii="Times New Roman" w:hAnsi="Times New Roman" w:cs="Times New Roman"/>
          <w:sz w:val="24"/>
          <w:szCs w:val="24"/>
        </w:rPr>
        <w:t xml:space="preserve">it disputed </w:t>
      </w:r>
      <w:r w:rsidR="00290A2A" w:rsidRPr="00C12279">
        <w:rPr>
          <w:rFonts w:ascii="Times New Roman" w:hAnsi="Times New Roman" w:cs="Times New Roman"/>
          <w:sz w:val="24"/>
          <w:szCs w:val="24"/>
        </w:rPr>
        <w:t>th</w:t>
      </w:r>
      <w:r w:rsidR="004F042D" w:rsidRPr="00C12279">
        <w:rPr>
          <w:rFonts w:ascii="Times New Roman" w:hAnsi="Times New Roman" w:cs="Times New Roman"/>
          <w:sz w:val="24"/>
          <w:szCs w:val="24"/>
        </w:rPr>
        <w:t xml:space="preserve">e existence of such a practice </w:t>
      </w:r>
      <w:r w:rsidR="00290A2A" w:rsidRPr="00C12279">
        <w:rPr>
          <w:rFonts w:ascii="Times New Roman" w:hAnsi="Times New Roman" w:cs="Times New Roman"/>
          <w:sz w:val="24"/>
          <w:szCs w:val="24"/>
        </w:rPr>
        <w:t xml:space="preserve">as </w:t>
      </w:r>
      <w:r w:rsidR="004F042D" w:rsidRPr="00C12279">
        <w:rPr>
          <w:rFonts w:ascii="Times New Roman" w:hAnsi="Times New Roman" w:cs="Times New Roman"/>
          <w:sz w:val="24"/>
          <w:szCs w:val="24"/>
        </w:rPr>
        <w:t>generally preva</w:t>
      </w:r>
      <w:r w:rsidR="00613A8D" w:rsidRPr="00C12279">
        <w:rPr>
          <w:rFonts w:ascii="Times New Roman" w:hAnsi="Times New Roman" w:cs="Times New Roman"/>
          <w:sz w:val="24"/>
          <w:szCs w:val="24"/>
        </w:rPr>
        <w:t>iling in its office at the</w:t>
      </w:r>
      <w:r w:rsidR="00A46A78" w:rsidRPr="00C12279">
        <w:rPr>
          <w:rFonts w:ascii="Times New Roman" w:hAnsi="Times New Roman" w:cs="Times New Roman"/>
          <w:sz w:val="24"/>
          <w:szCs w:val="24"/>
        </w:rPr>
        <w:t xml:space="preserve"> time and characterised it as an arrangement which </w:t>
      </w:r>
      <w:r w:rsidR="0010722F" w:rsidRPr="00C12279">
        <w:rPr>
          <w:rFonts w:ascii="Times New Roman" w:hAnsi="Times New Roman" w:cs="Times New Roman"/>
          <w:sz w:val="24"/>
          <w:szCs w:val="24"/>
        </w:rPr>
        <w:t>simply went</w:t>
      </w:r>
      <w:r w:rsidR="00A46A78" w:rsidRPr="00C12279">
        <w:rPr>
          <w:rFonts w:ascii="Times New Roman" w:hAnsi="Times New Roman" w:cs="Times New Roman"/>
          <w:sz w:val="24"/>
          <w:szCs w:val="24"/>
        </w:rPr>
        <w:t xml:space="preserve"> unnoticed for years.</w:t>
      </w:r>
    </w:p>
    <w:p w14:paraId="5F7D8DE6" w14:textId="1A475D06" w:rsidR="00046383" w:rsidRPr="00C12279" w:rsidRDefault="00046383" w:rsidP="007370F3">
      <w:pPr>
        <w:jc w:val="both"/>
        <w:rPr>
          <w:rFonts w:ascii="Times New Roman" w:hAnsi="Times New Roman" w:cs="Times New Roman"/>
          <w:i/>
          <w:sz w:val="24"/>
          <w:szCs w:val="24"/>
        </w:rPr>
      </w:pPr>
      <w:r w:rsidRPr="00C12279">
        <w:rPr>
          <w:rFonts w:ascii="Times New Roman" w:hAnsi="Times New Roman" w:cs="Times New Roman"/>
          <w:i/>
          <w:sz w:val="24"/>
          <w:szCs w:val="24"/>
        </w:rPr>
        <w:t>Audit fees</w:t>
      </w:r>
    </w:p>
    <w:p w14:paraId="3EC875EA" w14:textId="1351F6C6" w:rsidR="00046383" w:rsidRPr="00C12279" w:rsidRDefault="00046383"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was common cause that the appellant was required </w:t>
      </w:r>
      <w:r w:rsidR="00534C78" w:rsidRPr="00C12279">
        <w:rPr>
          <w:rFonts w:ascii="Times New Roman" w:hAnsi="Times New Roman" w:cs="Times New Roman"/>
          <w:sz w:val="24"/>
          <w:szCs w:val="24"/>
        </w:rPr>
        <w:t xml:space="preserve">by law and proper corporate governance </w:t>
      </w:r>
      <w:r w:rsidRPr="00C12279">
        <w:rPr>
          <w:rFonts w:ascii="Times New Roman" w:hAnsi="Times New Roman" w:cs="Times New Roman"/>
          <w:sz w:val="24"/>
          <w:szCs w:val="24"/>
        </w:rPr>
        <w:t>to</w:t>
      </w:r>
      <w:r w:rsidR="00534C78" w:rsidRPr="00C12279">
        <w:rPr>
          <w:rFonts w:ascii="Times New Roman" w:hAnsi="Times New Roman" w:cs="Times New Roman"/>
          <w:sz w:val="24"/>
          <w:szCs w:val="24"/>
        </w:rPr>
        <w:t xml:space="preserve"> have its annual financial statements audited and would incur an audit fee in that regard. I</w:t>
      </w:r>
      <w:r w:rsidRPr="00C12279">
        <w:rPr>
          <w:rFonts w:ascii="Times New Roman" w:hAnsi="Times New Roman" w:cs="Times New Roman"/>
          <w:sz w:val="24"/>
          <w:szCs w:val="24"/>
        </w:rPr>
        <w:t xml:space="preserve">n each of the four </w:t>
      </w:r>
      <w:r w:rsidR="00534C78" w:rsidRPr="00C12279">
        <w:rPr>
          <w:rFonts w:ascii="Times New Roman" w:hAnsi="Times New Roman" w:cs="Times New Roman"/>
          <w:sz w:val="24"/>
          <w:szCs w:val="24"/>
        </w:rPr>
        <w:t xml:space="preserve">years in question </w:t>
      </w:r>
      <w:r w:rsidRPr="00C12279">
        <w:rPr>
          <w:rFonts w:ascii="Times New Roman" w:hAnsi="Times New Roman" w:cs="Times New Roman"/>
          <w:sz w:val="24"/>
          <w:szCs w:val="24"/>
        </w:rPr>
        <w:t xml:space="preserve">the appellant made provision in its respective financial statements for the </w:t>
      </w:r>
      <w:r w:rsidR="00534C78" w:rsidRPr="00C12279">
        <w:rPr>
          <w:rFonts w:ascii="Times New Roman" w:hAnsi="Times New Roman" w:cs="Times New Roman"/>
          <w:sz w:val="24"/>
          <w:szCs w:val="24"/>
        </w:rPr>
        <w:t xml:space="preserve">audit fees in the sum of US$10 000 in 2009, US$15 000 in 2010, US$12 000 in 2011 and US$12 500 in 2012.  </w:t>
      </w:r>
      <w:r w:rsidR="00BE71CC" w:rsidRPr="00C12279">
        <w:rPr>
          <w:rFonts w:ascii="Times New Roman" w:hAnsi="Times New Roman" w:cs="Times New Roman"/>
          <w:sz w:val="24"/>
          <w:szCs w:val="24"/>
        </w:rPr>
        <w:t>It was common cause that provisions are made and are deductible for accounting purposes in accorda</w:t>
      </w:r>
      <w:r w:rsidR="00F531DF" w:rsidRPr="00C12279">
        <w:rPr>
          <w:rFonts w:ascii="Times New Roman" w:hAnsi="Times New Roman" w:cs="Times New Roman"/>
          <w:sz w:val="24"/>
          <w:szCs w:val="24"/>
        </w:rPr>
        <w:t>nce with the requirements of</w:t>
      </w:r>
      <w:r w:rsidR="00BE71CC" w:rsidRPr="00C12279">
        <w:rPr>
          <w:rFonts w:ascii="Times New Roman" w:hAnsi="Times New Roman" w:cs="Times New Roman"/>
          <w:sz w:val="24"/>
          <w:szCs w:val="24"/>
        </w:rPr>
        <w:t xml:space="preserve"> International Financial Reporting Standards. </w:t>
      </w:r>
      <w:r w:rsidR="00534C78" w:rsidRPr="00C12279">
        <w:rPr>
          <w:rFonts w:ascii="Times New Roman" w:hAnsi="Times New Roman" w:cs="Times New Roman"/>
          <w:sz w:val="24"/>
          <w:szCs w:val="24"/>
        </w:rPr>
        <w:t xml:space="preserve">It paid the audit fees in the subsequent tax year but claimed them as a cost of undertaking business </w:t>
      </w:r>
      <w:r w:rsidR="004F0E60" w:rsidRPr="00C12279">
        <w:rPr>
          <w:rFonts w:ascii="Times New Roman" w:hAnsi="Times New Roman" w:cs="Times New Roman"/>
          <w:sz w:val="24"/>
          <w:szCs w:val="24"/>
        </w:rPr>
        <w:t>in the year of the assessment in which the audit pertained. The respondent disallowed the whole amount claimed in 2009 and US$ 9</w:t>
      </w:r>
      <w:r w:rsidR="0027223D" w:rsidRPr="00C12279">
        <w:rPr>
          <w:rFonts w:ascii="Times New Roman" w:hAnsi="Times New Roman" w:cs="Times New Roman"/>
          <w:sz w:val="24"/>
          <w:szCs w:val="24"/>
        </w:rPr>
        <w:t xml:space="preserve"> 960 in 2010, US$ 2 </w:t>
      </w:r>
      <w:r w:rsidR="004F0E60" w:rsidRPr="00C12279">
        <w:rPr>
          <w:rFonts w:ascii="Times New Roman" w:hAnsi="Times New Roman" w:cs="Times New Roman"/>
          <w:sz w:val="24"/>
          <w:szCs w:val="24"/>
        </w:rPr>
        <w:t>049 in 2011 and US$491 in 2012</w:t>
      </w:r>
      <w:r w:rsidR="0027223D" w:rsidRPr="00C12279">
        <w:rPr>
          <w:rStyle w:val="FootnoteReference"/>
          <w:rFonts w:ascii="Times New Roman" w:hAnsi="Times New Roman" w:cs="Times New Roman"/>
          <w:sz w:val="24"/>
          <w:szCs w:val="24"/>
        </w:rPr>
        <w:footnoteReference w:id="49"/>
      </w:r>
      <w:r w:rsidR="004F0E60" w:rsidRPr="00C12279">
        <w:rPr>
          <w:rFonts w:ascii="Times New Roman" w:hAnsi="Times New Roman" w:cs="Times New Roman"/>
          <w:sz w:val="24"/>
          <w:szCs w:val="24"/>
        </w:rPr>
        <w:t xml:space="preserve">. </w:t>
      </w:r>
    </w:p>
    <w:p w14:paraId="15E6F8C5" w14:textId="389B7FF2" w:rsidR="000B49E5" w:rsidRPr="00C12279" w:rsidRDefault="000B49E5"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appellant contended that it incurred the obligation to pay the audit fees in the year in which the fees related even though they were eventually paid in the following year while the respondent</w:t>
      </w:r>
      <w:r w:rsidR="00BE71CC" w:rsidRPr="00C12279">
        <w:rPr>
          <w:rFonts w:ascii="Times New Roman" w:hAnsi="Times New Roman" w:cs="Times New Roman"/>
          <w:sz w:val="24"/>
          <w:szCs w:val="24"/>
        </w:rPr>
        <w:t xml:space="preserve"> contended that they were incurred in the year the audit was actually carried out and appellant billed for such services.  </w:t>
      </w:r>
    </w:p>
    <w:p w14:paraId="12EDAE0D" w14:textId="2B06DA53" w:rsidR="000736A5" w:rsidRPr="00C12279" w:rsidRDefault="000736A5"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In the alternative, the appellant contended that the respondent was precluded from re-assessing</w:t>
      </w:r>
      <w:r w:rsidR="005F097C" w:rsidRPr="00C12279">
        <w:rPr>
          <w:rFonts w:ascii="Times New Roman" w:hAnsi="Times New Roman" w:cs="Times New Roman"/>
          <w:sz w:val="24"/>
          <w:szCs w:val="24"/>
        </w:rPr>
        <w:t xml:space="preserve"> the audit fees by proviso (i) to section 47 (1) of the Income Tax Act on the basis that the acceptance of the original self-</w:t>
      </w:r>
      <w:r w:rsidR="003E0EFF" w:rsidRPr="00C12279">
        <w:rPr>
          <w:rFonts w:ascii="Times New Roman" w:hAnsi="Times New Roman" w:cs="Times New Roman"/>
          <w:sz w:val="24"/>
          <w:szCs w:val="24"/>
        </w:rPr>
        <w:t>assessments which</w:t>
      </w:r>
      <w:r w:rsidR="005F097C" w:rsidRPr="00C12279">
        <w:rPr>
          <w:rFonts w:ascii="Times New Roman" w:hAnsi="Times New Roman" w:cs="Times New Roman"/>
          <w:sz w:val="24"/>
          <w:szCs w:val="24"/>
        </w:rPr>
        <w:t xml:space="preserve"> are deemed by law to have been the assessments made by the Commissioner were made in accordance with the practice generally prevailing in the Commissioner’s office</w:t>
      </w:r>
      <w:r w:rsidR="003E0EFF" w:rsidRPr="00C12279">
        <w:rPr>
          <w:rFonts w:ascii="Times New Roman" w:hAnsi="Times New Roman" w:cs="Times New Roman"/>
          <w:sz w:val="24"/>
          <w:szCs w:val="24"/>
        </w:rPr>
        <w:t xml:space="preserve"> at the</w:t>
      </w:r>
      <w:r w:rsidR="005F097C" w:rsidRPr="00C12279">
        <w:rPr>
          <w:rFonts w:ascii="Times New Roman" w:hAnsi="Times New Roman" w:cs="Times New Roman"/>
          <w:sz w:val="24"/>
          <w:szCs w:val="24"/>
        </w:rPr>
        <w:t xml:space="preserve"> time.   </w:t>
      </w:r>
    </w:p>
    <w:p w14:paraId="2385338F" w14:textId="66E15800" w:rsidR="00FB5EBC" w:rsidRPr="00C12279" w:rsidRDefault="003D500B"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two issues that arise in respect of these two provisions are whether or not these amounts are deductible under </w:t>
      </w:r>
      <w:r w:rsidR="004D4841" w:rsidRPr="00C12279">
        <w:rPr>
          <w:rFonts w:ascii="Times New Roman" w:hAnsi="Times New Roman" w:cs="Times New Roman"/>
          <w:sz w:val="24"/>
          <w:szCs w:val="24"/>
        </w:rPr>
        <w:t>the general deduction formula,</w:t>
      </w:r>
      <w:r w:rsidRPr="00C12279">
        <w:rPr>
          <w:rFonts w:ascii="Times New Roman" w:hAnsi="Times New Roman" w:cs="Times New Roman"/>
          <w:sz w:val="24"/>
          <w:szCs w:val="24"/>
        </w:rPr>
        <w:t xml:space="preserve"> s 15 (2) (a) of the Income Tax Act notwithstanding that payment was only made in the following year. The second is </w:t>
      </w:r>
      <w:r w:rsidRPr="00C12279">
        <w:rPr>
          <w:rFonts w:ascii="Times New Roman" w:hAnsi="Times New Roman" w:cs="Times New Roman"/>
          <w:sz w:val="24"/>
          <w:szCs w:val="24"/>
        </w:rPr>
        <w:lastRenderedPageBreak/>
        <w:t xml:space="preserve">whether the respondent is precluded from issuing amended assessments </w:t>
      </w:r>
      <w:r w:rsidR="008717FD" w:rsidRPr="00C12279">
        <w:rPr>
          <w:rFonts w:ascii="Times New Roman" w:hAnsi="Times New Roman" w:cs="Times New Roman"/>
          <w:sz w:val="24"/>
          <w:szCs w:val="24"/>
        </w:rPr>
        <w:t xml:space="preserve">in each of these four years by virtue of </w:t>
      </w:r>
      <w:r w:rsidRPr="00C12279">
        <w:rPr>
          <w:rFonts w:ascii="Times New Roman" w:hAnsi="Times New Roman" w:cs="Times New Roman"/>
          <w:sz w:val="24"/>
          <w:szCs w:val="24"/>
        </w:rPr>
        <w:t xml:space="preserve">a practice generally prevailing in its office </w:t>
      </w:r>
      <w:r w:rsidR="008717FD" w:rsidRPr="00C12279">
        <w:rPr>
          <w:rFonts w:ascii="Times New Roman" w:hAnsi="Times New Roman" w:cs="Times New Roman"/>
          <w:sz w:val="24"/>
          <w:szCs w:val="24"/>
        </w:rPr>
        <w:t xml:space="preserve">at the time. </w:t>
      </w:r>
    </w:p>
    <w:p w14:paraId="632ABA38" w14:textId="190D0691" w:rsidR="00CC082D" w:rsidRPr="00C12279" w:rsidRDefault="00FB5EBC" w:rsidP="00883AA4">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regards to the first sub-issue, the law is clear. The general deduction formula caters for expenses incurred for the purposes of trade or in the production of income in the year of assessment. </w:t>
      </w:r>
      <w:r w:rsidR="004C417E" w:rsidRPr="00C12279">
        <w:rPr>
          <w:rFonts w:ascii="Times New Roman" w:hAnsi="Times New Roman" w:cs="Times New Roman"/>
          <w:sz w:val="24"/>
          <w:szCs w:val="24"/>
        </w:rPr>
        <w:t xml:space="preserve">The provisions of the section are met when the taxpayer has incurred </w:t>
      </w:r>
      <w:r w:rsidR="00C947E7" w:rsidRPr="00C12279">
        <w:rPr>
          <w:rFonts w:ascii="Times New Roman" w:hAnsi="Times New Roman" w:cs="Times New Roman"/>
          <w:sz w:val="24"/>
          <w:szCs w:val="24"/>
        </w:rPr>
        <w:t xml:space="preserve">in the tax year to which the expenses relate </w:t>
      </w:r>
      <w:r w:rsidR="004C417E" w:rsidRPr="00C12279">
        <w:rPr>
          <w:rFonts w:ascii="Times New Roman" w:hAnsi="Times New Roman" w:cs="Times New Roman"/>
          <w:sz w:val="24"/>
          <w:szCs w:val="24"/>
        </w:rPr>
        <w:t xml:space="preserve">an unconditional </w:t>
      </w:r>
      <w:r w:rsidR="00121744" w:rsidRPr="00C12279">
        <w:rPr>
          <w:rFonts w:ascii="Times New Roman" w:hAnsi="Times New Roman" w:cs="Times New Roman"/>
          <w:sz w:val="24"/>
          <w:szCs w:val="24"/>
        </w:rPr>
        <w:t xml:space="preserve">legal </w:t>
      </w:r>
      <w:r w:rsidR="004C417E" w:rsidRPr="00C12279">
        <w:rPr>
          <w:rFonts w:ascii="Times New Roman" w:hAnsi="Times New Roman" w:cs="Times New Roman"/>
          <w:sz w:val="24"/>
          <w:szCs w:val="24"/>
        </w:rPr>
        <w:t xml:space="preserve">obligation to pay the amount due </w:t>
      </w:r>
      <w:r w:rsidR="00C947E7" w:rsidRPr="00C12279">
        <w:rPr>
          <w:rFonts w:ascii="Times New Roman" w:hAnsi="Times New Roman" w:cs="Times New Roman"/>
          <w:sz w:val="24"/>
          <w:szCs w:val="24"/>
        </w:rPr>
        <w:t xml:space="preserve">notwithstanding that the actual payment is made in the following tax year. </w:t>
      </w:r>
      <w:r w:rsidR="00D7679D" w:rsidRPr="00C12279">
        <w:rPr>
          <w:rFonts w:ascii="Times New Roman" w:hAnsi="Times New Roman" w:cs="Times New Roman"/>
          <w:sz w:val="24"/>
          <w:szCs w:val="24"/>
        </w:rPr>
        <w:t xml:space="preserve">See </w:t>
      </w:r>
      <w:r w:rsidR="00D7679D" w:rsidRPr="00C12279">
        <w:rPr>
          <w:rFonts w:ascii="Times New Roman" w:hAnsi="Times New Roman" w:cs="Times New Roman"/>
          <w:i/>
          <w:sz w:val="24"/>
          <w:szCs w:val="24"/>
        </w:rPr>
        <w:t xml:space="preserve">G Bank Zim Ltd </w:t>
      </w:r>
      <w:r w:rsidR="00D7679D" w:rsidRPr="00883AA4">
        <w:rPr>
          <w:rFonts w:ascii="Times New Roman" w:hAnsi="Times New Roman" w:cs="Times New Roman"/>
          <w:sz w:val="24"/>
          <w:szCs w:val="24"/>
        </w:rPr>
        <w:t>v</w:t>
      </w:r>
      <w:r w:rsidR="00D7679D" w:rsidRPr="00C12279">
        <w:rPr>
          <w:rFonts w:ascii="Times New Roman" w:hAnsi="Times New Roman" w:cs="Times New Roman"/>
          <w:i/>
          <w:sz w:val="24"/>
          <w:szCs w:val="24"/>
        </w:rPr>
        <w:t xml:space="preserve"> Zimra </w:t>
      </w:r>
      <w:r w:rsidR="00D7679D" w:rsidRPr="00C12279">
        <w:rPr>
          <w:rFonts w:ascii="Times New Roman" w:hAnsi="Times New Roman" w:cs="Times New Roman"/>
          <w:sz w:val="24"/>
          <w:szCs w:val="24"/>
        </w:rPr>
        <w:t>2015 (1) ZLR 348 (H) at 354E- 355A</w:t>
      </w:r>
      <w:r w:rsidR="00512B02" w:rsidRPr="00C12279">
        <w:rPr>
          <w:rFonts w:ascii="Times New Roman" w:hAnsi="Times New Roman" w:cs="Times New Roman"/>
          <w:sz w:val="24"/>
          <w:szCs w:val="24"/>
        </w:rPr>
        <w:t xml:space="preserve"> and the cases cited </w:t>
      </w:r>
      <w:r w:rsidR="004D4841" w:rsidRPr="00C12279">
        <w:rPr>
          <w:rFonts w:ascii="Times New Roman" w:hAnsi="Times New Roman" w:cs="Times New Roman"/>
          <w:sz w:val="24"/>
          <w:szCs w:val="24"/>
        </w:rPr>
        <w:t xml:space="preserve">therein, where </w:t>
      </w:r>
      <w:r w:rsidR="00F367A7" w:rsidRPr="00C12279">
        <w:rPr>
          <w:rFonts w:ascii="Times New Roman" w:hAnsi="Times New Roman" w:cs="Times New Roman"/>
          <w:sz w:val="24"/>
          <w:szCs w:val="24"/>
        </w:rPr>
        <w:t>the bank made commitment to pay certain amounts pertaining to voluntary retrenchments to</w:t>
      </w:r>
      <w:r w:rsidR="003B06CF" w:rsidRPr="00C12279">
        <w:rPr>
          <w:rFonts w:ascii="Times New Roman" w:hAnsi="Times New Roman" w:cs="Times New Roman"/>
          <w:sz w:val="24"/>
          <w:szCs w:val="24"/>
        </w:rPr>
        <w:t xml:space="preserve"> employees in the 2009 tax year. S</w:t>
      </w:r>
      <w:r w:rsidR="00F367A7" w:rsidRPr="00C12279">
        <w:rPr>
          <w:rFonts w:ascii="Times New Roman" w:hAnsi="Times New Roman" w:cs="Times New Roman"/>
          <w:sz w:val="24"/>
          <w:szCs w:val="24"/>
        </w:rPr>
        <w:t>ome employees had applied and the tax payer accepted the applications in that tax year while others only applied in the subsequent tax year in which the applications were accepted. The acceptance was conditional upon approval by the Minister of Labour and Social Services who granted such approvals for all employees in the subsequent year. I held that the unconditional obligation to pay arose in the subsequent tax year notwithstanding the commitment made by the bank and the acceptance of some application</w:t>
      </w:r>
      <w:r w:rsidR="003B06CF" w:rsidRPr="00C12279">
        <w:rPr>
          <w:rFonts w:ascii="Times New Roman" w:hAnsi="Times New Roman" w:cs="Times New Roman"/>
          <w:sz w:val="24"/>
          <w:szCs w:val="24"/>
        </w:rPr>
        <w:t>s</w:t>
      </w:r>
      <w:r w:rsidR="00F367A7" w:rsidRPr="00C12279">
        <w:rPr>
          <w:rFonts w:ascii="Times New Roman" w:hAnsi="Times New Roman" w:cs="Times New Roman"/>
          <w:sz w:val="24"/>
          <w:szCs w:val="24"/>
        </w:rPr>
        <w:t xml:space="preserve"> in the 2009 tax year to which bank s</w:t>
      </w:r>
      <w:r w:rsidR="004D4841" w:rsidRPr="00C12279">
        <w:rPr>
          <w:rFonts w:ascii="Times New Roman" w:hAnsi="Times New Roman" w:cs="Times New Roman"/>
          <w:sz w:val="24"/>
          <w:szCs w:val="24"/>
        </w:rPr>
        <w:t>ought to deduct these expenses.</w:t>
      </w:r>
    </w:p>
    <w:p w14:paraId="12C45F06" w14:textId="1D520148" w:rsidR="0026542C" w:rsidRPr="00C12279" w:rsidRDefault="00CC082D" w:rsidP="00883AA4">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cases of </w:t>
      </w:r>
      <w:r w:rsidR="00507FBB" w:rsidRPr="00C12279">
        <w:rPr>
          <w:rFonts w:ascii="Times New Roman" w:hAnsi="Times New Roman" w:cs="Times New Roman"/>
          <w:i/>
          <w:sz w:val="24"/>
          <w:szCs w:val="24"/>
        </w:rPr>
        <w:t xml:space="preserve">Edgars Sores Ltd </w:t>
      </w:r>
      <w:r w:rsidR="00507FBB" w:rsidRPr="00883AA4">
        <w:rPr>
          <w:rFonts w:ascii="Times New Roman" w:hAnsi="Times New Roman" w:cs="Times New Roman"/>
          <w:sz w:val="24"/>
          <w:szCs w:val="24"/>
        </w:rPr>
        <w:t>v</w:t>
      </w:r>
      <w:r w:rsidR="00507FBB" w:rsidRPr="00C12279">
        <w:rPr>
          <w:rFonts w:ascii="Times New Roman" w:hAnsi="Times New Roman" w:cs="Times New Roman"/>
          <w:i/>
          <w:sz w:val="24"/>
          <w:szCs w:val="24"/>
        </w:rPr>
        <w:t xml:space="preserve"> Commissioner for Inland Revenue</w:t>
      </w:r>
      <w:r w:rsidR="00507FBB" w:rsidRPr="00C12279">
        <w:rPr>
          <w:rFonts w:ascii="Times New Roman" w:hAnsi="Times New Roman" w:cs="Times New Roman"/>
          <w:sz w:val="24"/>
          <w:szCs w:val="24"/>
        </w:rPr>
        <w:t xml:space="preserve"> 1988 (3) SA 876 (A) at 889A-C; 50 SATC 81 (A) at 90</w:t>
      </w:r>
      <w:r w:rsidR="00507FBB" w:rsidRPr="00C12279">
        <w:rPr>
          <w:rFonts w:ascii="Times New Roman" w:hAnsi="Times New Roman" w:cs="Times New Roman"/>
          <w:i/>
          <w:sz w:val="24"/>
          <w:szCs w:val="24"/>
        </w:rPr>
        <w:t xml:space="preserve"> </w:t>
      </w:r>
      <w:r w:rsidR="00507FBB" w:rsidRPr="00C12279">
        <w:rPr>
          <w:rFonts w:ascii="Times New Roman" w:hAnsi="Times New Roman" w:cs="Times New Roman"/>
          <w:sz w:val="24"/>
          <w:szCs w:val="24"/>
        </w:rPr>
        <w:t xml:space="preserve">and </w:t>
      </w:r>
      <w:r w:rsidR="00507FBB" w:rsidRPr="00C12279">
        <w:rPr>
          <w:rFonts w:ascii="Times New Roman" w:hAnsi="Times New Roman" w:cs="Times New Roman"/>
          <w:i/>
          <w:sz w:val="24"/>
          <w:szCs w:val="24"/>
        </w:rPr>
        <w:t>ITC 1587</w:t>
      </w:r>
      <w:r w:rsidR="00507FBB" w:rsidRPr="00C12279">
        <w:rPr>
          <w:rFonts w:ascii="Times New Roman" w:hAnsi="Times New Roman" w:cs="Times New Roman"/>
          <w:sz w:val="24"/>
          <w:szCs w:val="24"/>
        </w:rPr>
        <w:t xml:space="preserve"> (1994) 57 SATC 97 (T) at 103-104 define the expression “expenditure actually incurred” as “an unconditional legal obligation arising in the year of assessment whether or not that liability has been discharged during that year</w:t>
      </w:r>
      <w:r w:rsidR="0026542C" w:rsidRPr="00C12279">
        <w:rPr>
          <w:rFonts w:ascii="Times New Roman" w:hAnsi="Times New Roman" w:cs="Times New Roman"/>
          <w:sz w:val="24"/>
          <w:szCs w:val="24"/>
        </w:rPr>
        <w:t>”</w:t>
      </w:r>
      <w:r w:rsidR="00507FBB" w:rsidRPr="00C12279">
        <w:rPr>
          <w:rFonts w:ascii="Times New Roman" w:hAnsi="Times New Roman" w:cs="Times New Roman"/>
          <w:sz w:val="24"/>
          <w:szCs w:val="24"/>
        </w:rPr>
        <w:t xml:space="preserve">. </w:t>
      </w:r>
      <w:r w:rsidR="0026542C" w:rsidRPr="00C12279">
        <w:rPr>
          <w:rFonts w:ascii="Times New Roman" w:hAnsi="Times New Roman" w:cs="Times New Roman"/>
          <w:sz w:val="24"/>
          <w:szCs w:val="24"/>
        </w:rPr>
        <w:t xml:space="preserve">In the latter case </w:t>
      </w:r>
      <w:r w:rsidR="0026542C" w:rsidRPr="00883AA4">
        <w:rPr>
          <w:rFonts w:ascii="Times New Roman" w:hAnsi="Times New Roman" w:cs="Times New Roman"/>
          <w:smallCaps/>
          <w:sz w:val="24"/>
          <w:szCs w:val="24"/>
        </w:rPr>
        <w:t>Van Dijkhorst</w:t>
      </w:r>
      <w:r w:rsidR="0026542C" w:rsidRPr="00C12279">
        <w:rPr>
          <w:rFonts w:ascii="Times New Roman" w:hAnsi="Times New Roman" w:cs="Times New Roman"/>
          <w:sz w:val="24"/>
          <w:szCs w:val="24"/>
        </w:rPr>
        <w:t xml:space="preserve"> J stated thus:</w:t>
      </w:r>
    </w:p>
    <w:p w14:paraId="70CD6736" w14:textId="1F6BEEBA" w:rsidR="003D500B" w:rsidRPr="00C12279" w:rsidRDefault="0026542C" w:rsidP="007370F3">
      <w:pPr>
        <w:ind w:left="720"/>
        <w:jc w:val="both"/>
        <w:rPr>
          <w:rFonts w:ascii="Times New Roman" w:hAnsi="Times New Roman" w:cs="Times New Roman"/>
          <w:sz w:val="24"/>
          <w:szCs w:val="24"/>
        </w:rPr>
      </w:pPr>
      <w:r w:rsidRPr="00C12279">
        <w:rPr>
          <w:rFonts w:ascii="Times New Roman" w:hAnsi="Times New Roman" w:cs="Times New Roman"/>
          <w:sz w:val="24"/>
          <w:szCs w:val="24"/>
        </w:rPr>
        <w:t>“</w:t>
      </w:r>
      <w:r w:rsidR="00507FBB" w:rsidRPr="00C12279">
        <w:rPr>
          <w:rFonts w:ascii="Times New Roman" w:hAnsi="Times New Roman" w:cs="Times New Roman"/>
          <w:sz w:val="24"/>
          <w:szCs w:val="24"/>
        </w:rPr>
        <w:t>‘</w:t>
      </w:r>
      <w:r w:rsidR="00507FBB" w:rsidRPr="00883AA4">
        <w:rPr>
          <w:rFonts w:ascii="Times New Roman" w:hAnsi="Times New Roman" w:cs="Times New Roman"/>
        </w:rPr>
        <w:t>Incurred’ is not limited to defrayed, discharged or borne, but does not include a loss or expenditure which is no more than impending, threatened or expected</w:t>
      </w:r>
      <w:r w:rsidRPr="00883AA4">
        <w:rPr>
          <w:rFonts w:ascii="Times New Roman" w:hAnsi="Times New Roman" w:cs="Times New Roman"/>
        </w:rPr>
        <w:t>. It is in the tax year in which the unconditional liability for the expenditure is incurred, and not in the tax year in which it is actually paid (if paid in the subsequent year) that expenditure is actually incurred</w:t>
      </w:r>
      <w:r w:rsidR="009E5AB7" w:rsidRPr="00883AA4">
        <w:rPr>
          <w:rFonts w:ascii="Times New Roman" w:hAnsi="Times New Roman" w:cs="Times New Roman"/>
        </w:rPr>
        <w:t xml:space="preserve"> for the purposes of s 11 (a). </w:t>
      </w:r>
      <w:r w:rsidR="004826EB" w:rsidRPr="00883AA4">
        <w:rPr>
          <w:rFonts w:ascii="Times New Roman" w:hAnsi="Times New Roman" w:cs="Times New Roman"/>
          <w:i/>
        </w:rPr>
        <w:t xml:space="preserve"> Caltex Oil (SA) Ltd v Secretary for Inland Revenue </w:t>
      </w:r>
      <w:r w:rsidR="004826EB" w:rsidRPr="00883AA4">
        <w:rPr>
          <w:rFonts w:ascii="Times New Roman" w:hAnsi="Times New Roman" w:cs="Times New Roman"/>
        </w:rPr>
        <w:t xml:space="preserve">1975 (1) SA 665 (A) at 674, </w:t>
      </w:r>
      <w:r w:rsidR="004826EB" w:rsidRPr="00883AA4">
        <w:rPr>
          <w:rFonts w:ascii="Times New Roman" w:hAnsi="Times New Roman" w:cs="Times New Roman"/>
          <w:i/>
        </w:rPr>
        <w:t>Nasionale Pers Bpk v KBI</w:t>
      </w:r>
      <w:r w:rsidR="004826EB" w:rsidRPr="00883AA4">
        <w:rPr>
          <w:rFonts w:ascii="Times New Roman" w:hAnsi="Times New Roman" w:cs="Times New Roman"/>
        </w:rPr>
        <w:t xml:space="preserve"> 1986 (3) SA 549 (A) at 564, </w:t>
      </w:r>
      <w:r w:rsidR="004826EB" w:rsidRPr="00883AA4">
        <w:rPr>
          <w:rFonts w:ascii="Times New Roman" w:hAnsi="Times New Roman" w:cs="Times New Roman"/>
          <w:i/>
        </w:rPr>
        <w:t>Edgars Stores Ltd v CIR</w:t>
      </w:r>
      <w:r w:rsidR="004826EB" w:rsidRPr="00883AA4">
        <w:rPr>
          <w:rFonts w:ascii="Times New Roman" w:hAnsi="Times New Roman" w:cs="Times New Roman"/>
        </w:rPr>
        <w:t xml:space="preserve"> 1988 (3) SA 876 (A) at 888-9, </w:t>
      </w:r>
      <w:r w:rsidR="004826EB" w:rsidRPr="00883AA4">
        <w:rPr>
          <w:rFonts w:ascii="Times New Roman" w:hAnsi="Times New Roman" w:cs="Times New Roman"/>
          <w:i/>
        </w:rPr>
        <w:t>CIR v Golden Dumps (Pty) Ltd</w:t>
      </w:r>
      <w:r w:rsidR="004826EB" w:rsidRPr="00883AA4">
        <w:rPr>
          <w:rFonts w:ascii="Times New Roman" w:hAnsi="Times New Roman" w:cs="Times New Roman"/>
        </w:rPr>
        <w:t xml:space="preserve"> (1993) 55 SATC 198 (A) at 205-6. It is clear that expenditure may be deducted only in the year in which it is incurred. </w:t>
      </w:r>
      <w:r w:rsidR="004826EB" w:rsidRPr="00883AA4">
        <w:rPr>
          <w:rFonts w:ascii="Times New Roman" w:hAnsi="Times New Roman" w:cs="Times New Roman"/>
          <w:i/>
        </w:rPr>
        <w:t>Sub-Nigel Ltd v Secretary for Inland Revenue</w:t>
      </w:r>
      <w:r w:rsidR="004826EB" w:rsidRPr="00883AA4">
        <w:rPr>
          <w:rFonts w:ascii="Times New Roman" w:hAnsi="Times New Roman" w:cs="Times New Roman"/>
        </w:rPr>
        <w:t xml:space="preserve"> 1984 (4) SA 580 (A) 589-591</w:t>
      </w:r>
      <w:r w:rsidR="004826EB" w:rsidRPr="00883AA4">
        <w:rPr>
          <w:rFonts w:ascii="Times New Roman" w:hAnsi="Times New Roman" w:cs="Times New Roman"/>
          <w:i/>
        </w:rPr>
        <w:t xml:space="preserve">, Caltex Oil (SA) Ltd v SIR (supra) </w:t>
      </w:r>
      <w:r w:rsidR="004826EB" w:rsidRPr="00883AA4">
        <w:rPr>
          <w:rFonts w:ascii="Times New Roman" w:hAnsi="Times New Roman" w:cs="Times New Roman"/>
        </w:rPr>
        <w:t>at</w:t>
      </w:r>
      <w:r w:rsidR="004826EB" w:rsidRPr="00883AA4">
        <w:rPr>
          <w:rFonts w:ascii="Times New Roman" w:hAnsi="Times New Roman" w:cs="Times New Roman"/>
          <w:i/>
        </w:rPr>
        <w:t xml:space="preserve"> </w:t>
      </w:r>
      <w:r w:rsidR="004826EB" w:rsidRPr="00883AA4">
        <w:rPr>
          <w:rFonts w:ascii="Times New Roman" w:hAnsi="Times New Roman" w:cs="Times New Roman"/>
        </w:rPr>
        <w:t xml:space="preserve">674. It is not necessary for expenditure to be regarded as ‘incurred’ that it must be due and payable at the end of the year of assessment. As long as there is an unconditional legal liability to pay at the end of the year, the expenditure is deductible even though actual payments may fall due only in a later year </w:t>
      </w:r>
      <w:r w:rsidR="004826EB" w:rsidRPr="00883AA4">
        <w:rPr>
          <w:rFonts w:ascii="Times New Roman" w:hAnsi="Times New Roman" w:cs="Times New Roman"/>
          <w:i/>
        </w:rPr>
        <w:t>Nasionale Pers Bpk v KBI (supra)</w:t>
      </w:r>
      <w:r w:rsidR="004826EB" w:rsidRPr="00883AA4">
        <w:rPr>
          <w:rFonts w:ascii="Times New Roman" w:hAnsi="Times New Roman" w:cs="Times New Roman"/>
        </w:rPr>
        <w:t xml:space="preserve"> at 563-4, </w:t>
      </w:r>
      <w:r w:rsidR="004826EB" w:rsidRPr="00883AA4">
        <w:rPr>
          <w:rFonts w:ascii="Times New Roman" w:hAnsi="Times New Roman" w:cs="Times New Roman"/>
          <w:i/>
        </w:rPr>
        <w:t xml:space="preserve">Silke on South African Income Tax </w:t>
      </w:r>
      <w:r w:rsidR="004826EB" w:rsidRPr="00883AA4">
        <w:rPr>
          <w:rFonts w:ascii="Times New Roman" w:hAnsi="Times New Roman" w:cs="Times New Roman"/>
        </w:rPr>
        <w:t xml:space="preserve"> 11ed Vol 1 para 7.5 at page 7-13</w:t>
      </w:r>
      <w:r w:rsidR="004826EB" w:rsidRPr="00C12279">
        <w:rPr>
          <w:rFonts w:ascii="Times New Roman" w:hAnsi="Times New Roman" w:cs="Times New Roman"/>
          <w:sz w:val="24"/>
          <w:szCs w:val="24"/>
        </w:rPr>
        <w:t>.”</w:t>
      </w:r>
    </w:p>
    <w:p w14:paraId="5E410861" w14:textId="23C19F4D" w:rsidR="009A5DFE" w:rsidRPr="00C12279" w:rsidRDefault="009A5DFE" w:rsidP="00883AA4">
      <w:pPr>
        <w:ind w:firstLine="720"/>
        <w:jc w:val="both"/>
        <w:rPr>
          <w:rFonts w:ascii="Times New Roman" w:hAnsi="Times New Roman" w:cs="Times New Roman"/>
          <w:sz w:val="24"/>
          <w:szCs w:val="24"/>
        </w:rPr>
      </w:pPr>
      <w:r w:rsidRPr="00C12279">
        <w:rPr>
          <w:rFonts w:ascii="Times New Roman" w:hAnsi="Times New Roman" w:cs="Times New Roman"/>
          <w:sz w:val="24"/>
          <w:szCs w:val="24"/>
        </w:rPr>
        <w:t>To the same effect</w:t>
      </w:r>
      <w:r w:rsidR="00383581" w:rsidRPr="00C12279">
        <w:rPr>
          <w:rFonts w:ascii="Times New Roman" w:hAnsi="Times New Roman" w:cs="Times New Roman"/>
          <w:sz w:val="24"/>
          <w:szCs w:val="24"/>
        </w:rPr>
        <w:t xml:space="preserve"> </w:t>
      </w:r>
      <w:r w:rsidR="003B06CF" w:rsidRPr="00C12279">
        <w:rPr>
          <w:rFonts w:ascii="Times New Roman" w:hAnsi="Times New Roman" w:cs="Times New Roman"/>
          <w:sz w:val="24"/>
          <w:szCs w:val="24"/>
        </w:rPr>
        <w:t xml:space="preserve">was </w:t>
      </w:r>
      <w:r w:rsidR="00383581" w:rsidRPr="00C12279">
        <w:rPr>
          <w:rFonts w:ascii="Times New Roman" w:hAnsi="Times New Roman" w:cs="Times New Roman"/>
          <w:i/>
          <w:sz w:val="24"/>
          <w:szCs w:val="24"/>
        </w:rPr>
        <w:t xml:space="preserve">ITC </w:t>
      </w:r>
      <w:r w:rsidR="00144525" w:rsidRPr="00C12279">
        <w:rPr>
          <w:rFonts w:ascii="Times New Roman" w:hAnsi="Times New Roman" w:cs="Times New Roman"/>
          <w:i/>
          <w:sz w:val="24"/>
          <w:szCs w:val="24"/>
        </w:rPr>
        <w:t>1516 (</w:t>
      </w:r>
      <w:r w:rsidR="007F46FF" w:rsidRPr="00C12279">
        <w:rPr>
          <w:rFonts w:ascii="Times New Roman" w:hAnsi="Times New Roman" w:cs="Times New Roman"/>
          <w:sz w:val="24"/>
          <w:szCs w:val="24"/>
        </w:rPr>
        <w:t>1991) 54 SATC 101 (N</w:t>
      </w:r>
      <w:r w:rsidRPr="00C12279">
        <w:rPr>
          <w:rFonts w:ascii="Times New Roman" w:hAnsi="Times New Roman" w:cs="Times New Roman"/>
          <w:sz w:val="24"/>
          <w:szCs w:val="24"/>
        </w:rPr>
        <w:t>)</w:t>
      </w:r>
      <w:r w:rsidR="007F46FF" w:rsidRPr="00C12279">
        <w:rPr>
          <w:rFonts w:ascii="Times New Roman" w:hAnsi="Times New Roman" w:cs="Times New Roman"/>
          <w:sz w:val="24"/>
          <w:szCs w:val="24"/>
        </w:rPr>
        <w:t xml:space="preserve"> </w:t>
      </w:r>
      <w:r w:rsidRPr="00C12279">
        <w:rPr>
          <w:rFonts w:ascii="Times New Roman" w:hAnsi="Times New Roman" w:cs="Times New Roman"/>
          <w:sz w:val="24"/>
          <w:szCs w:val="24"/>
        </w:rPr>
        <w:t xml:space="preserve">where </w:t>
      </w:r>
      <w:r w:rsidRPr="00883AA4">
        <w:rPr>
          <w:rFonts w:ascii="Times New Roman" w:hAnsi="Times New Roman" w:cs="Times New Roman"/>
          <w:smallCaps/>
          <w:sz w:val="24"/>
          <w:szCs w:val="24"/>
        </w:rPr>
        <w:t xml:space="preserve">Galgut J </w:t>
      </w:r>
      <w:r w:rsidRPr="00C12279">
        <w:rPr>
          <w:rFonts w:ascii="Times New Roman" w:hAnsi="Times New Roman" w:cs="Times New Roman"/>
          <w:sz w:val="24"/>
          <w:szCs w:val="24"/>
        </w:rPr>
        <w:t>said at 104:</w:t>
      </w:r>
    </w:p>
    <w:p w14:paraId="1FE7D72F" w14:textId="2A55EA53" w:rsidR="00383581" w:rsidRPr="00C12279" w:rsidRDefault="009A5DFE" w:rsidP="007370F3">
      <w:pPr>
        <w:ind w:left="720"/>
        <w:jc w:val="both"/>
        <w:rPr>
          <w:rFonts w:ascii="Times New Roman" w:hAnsi="Times New Roman" w:cs="Times New Roman"/>
          <w:sz w:val="24"/>
          <w:szCs w:val="24"/>
        </w:rPr>
      </w:pPr>
      <w:r w:rsidRPr="00C12279">
        <w:rPr>
          <w:rFonts w:ascii="Times New Roman" w:hAnsi="Times New Roman" w:cs="Times New Roman"/>
          <w:sz w:val="24"/>
          <w:szCs w:val="24"/>
        </w:rPr>
        <w:lastRenderedPageBreak/>
        <w:t xml:space="preserve"> </w:t>
      </w:r>
      <w:r w:rsidR="00FE5647" w:rsidRPr="00C12279">
        <w:rPr>
          <w:rFonts w:ascii="Times New Roman" w:hAnsi="Times New Roman" w:cs="Times New Roman"/>
          <w:sz w:val="24"/>
          <w:szCs w:val="24"/>
        </w:rPr>
        <w:t>“</w:t>
      </w:r>
      <w:r w:rsidR="00FE5647" w:rsidRPr="00883AA4">
        <w:rPr>
          <w:rFonts w:ascii="Times New Roman" w:hAnsi="Times New Roman" w:cs="Times New Roman"/>
        </w:rPr>
        <w:t>It is now settled for purposes of s 11 (a) that ‘expenditure actually incurred ‘is not limited to expenditure actually paid.</w:t>
      </w:r>
      <w:r w:rsidR="00EC46F7" w:rsidRPr="00883AA4">
        <w:rPr>
          <w:rFonts w:ascii="Times New Roman" w:hAnsi="Times New Roman" w:cs="Times New Roman"/>
        </w:rPr>
        <w:t xml:space="preserve"> It includes all expenditure for which liability has been incurred during the year, whether </w:t>
      </w:r>
      <w:r w:rsidR="00531977" w:rsidRPr="00883AA4">
        <w:rPr>
          <w:rFonts w:ascii="Times New Roman" w:hAnsi="Times New Roman" w:cs="Times New Roman"/>
        </w:rPr>
        <w:t xml:space="preserve">such liability has been discharged during the year or not. </w:t>
      </w:r>
      <w:r w:rsidR="006E05B2" w:rsidRPr="00883AA4">
        <w:rPr>
          <w:rFonts w:ascii="Times New Roman" w:hAnsi="Times New Roman" w:cs="Times New Roman"/>
          <w:i/>
        </w:rPr>
        <w:t xml:space="preserve">See Port Elizabeth Electric Tramway Co Ltd v CIR </w:t>
      </w:r>
      <w:r w:rsidR="006E05B2" w:rsidRPr="00883AA4">
        <w:rPr>
          <w:rFonts w:ascii="Times New Roman" w:hAnsi="Times New Roman" w:cs="Times New Roman"/>
        </w:rPr>
        <w:t>8 SATC  13 at 15</w:t>
      </w:r>
      <w:r w:rsidR="00B3648F" w:rsidRPr="00883AA4">
        <w:rPr>
          <w:rFonts w:ascii="Times New Roman" w:hAnsi="Times New Roman" w:cs="Times New Roman"/>
        </w:rPr>
        <w:t>;</w:t>
      </w:r>
      <w:r w:rsidR="00B3648F" w:rsidRPr="00883AA4">
        <w:rPr>
          <w:rFonts w:ascii="Times New Roman" w:hAnsi="Times New Roman" w:cs="Times New Roman"/>
          <w:b/>
          <w:i/>
        </w:rPr>
        <w:t xml:space="preserve"> </w:t>
      </w:r>
      <w:r w:rsidR="00B3648F" w:rsidRPr="00883AA4">
        <w:rPr>
          <w:rFonts w:ascii="Times New Roman" w:hAnsi="Times New Roman" w:cs="Times New Roman"/>
        </w:rPr>
        <w:t xml:space="preserve">1936 CPD 241 at 244 </w:t>
      </w:r>
      <w:r w:rsidR="006E05B2" w:rsidRPr="00883AA4">
        <w:rPr>
          <w:rFonts w:ascii="Times New Roman" w:hAnsi="Times New Roman" w:cs="Times New Roman"/>
        </w:rPr>
        <w:t xml:space="preserve"> and </w:t>
      </w:r>
      <w:r w:rsidR="006E05B2" w:rsidRPr="00883AA4">
        <w:rPr>
          <w:rFonts w:ascii="Times New Roman" w:hAnsi="Times New Roman" w:cs="Times New Roman"/>
          <w:i/>
        </w:rPr>
        <w:t xml:space="preserve">Caltex  Oil (SA) Ltd </w:t>
      </w:r>
      <w:r w:rsidR="006E05B2" w:rsidRPr="00883AA4">
        <w:rPr>
          <w:rFonts w:ascii="Times New Roman" w:hAnsi="Times New Roman" w:cs="Times New Roman"/>
        </w:rPr>
        <w:t xml:space="preserve">v </w:t>
      </w:r>
      <w:r w:rsidR="006E05B2" w:rsidRPr="00883AA4">
        <w:rPr>
          <w:rFonts w:ascii="Times New Roman" w:hAnsi="Times New Roman" w:cs="Times New Roman"/>
          <w:i/>
        </w:rPr>
        <w:t xml:space="preserve">Secretary for Inland Revenue </w:t>
      </w:r>
      <w:r w:rsidR="006E05B2" w:rsidRPr="00883AA4">
        <w:rPr>
          <w:rFonts w:ascii="Times New Roman" w:hAnsi="Times New Roman" w:cs="Times New Roman"/>
        </w:rPr>
        <w:t>1975 (1) SA 665 (A) at 674</w:t>
      </w:r>
      <w:r w:rsidR="008368AE" w:rsidRPr="00883AA4">
        <w:rPr>
          <w:rFonts w:ascii="Times New Roman" w:hAnsi="Times New Roman" w:cs="Times New Roman"/>
        </w:rPr>
        <w:t>D-E</w:t>
      </w:r>
      <w:r w:rsidR="006E05B2" w:rsidRPr="00883AA4">
        <w:rPr>
          <w:rFonts w:ascii="Times New Roman" w:hAnsi="Times New Roman" w:cs="Times New Roman"/>
        </w:rPr>
        <w:t xml:space="preserve">. A liability so incurred must however be </w:t>
      </w:r>
      <w:r w:rsidR="006E05B2" w:rsidRPr="00883AA4">
        <w:rPr>
          <w:rFonts w:ascii="Times New Roman" w:hAnsi="Times New Roman" w:cs="Times New Roman"/>
          <w:u w:val="single"/>
        </w:rPr>
        <w:t>absolute and unconditional before it will qualify as a deduction for the purposes of s 11 (a</w:t>
      </w:r>
      <w:r w:rsidR="006E05B2" w:rsidRPr="00883AA4">
        <w:rPr>
          <w:rFonts w:ascii="Times New Roman" w:hAnsi="Times New Roman" w:cs="Times New Roman"/>
        </w:rPr>
        <w:t xml:space="preserve">). It will not be deductible in the year concerned if for example the liability is subject to a contingency, if in other words it is dependent upon an uncertain future event. </w:t>
      </w:r>
      <w:r w:rsidR="006E05B2" w:rsidRPr="00883AA4">
        <w:rPr>
          <w:rFonts w:ascii="Times New Roman" w:hAnsi="Times New Roman" w:cs="Times New Roman"/>
          <w:i/>
        </w:rPr>
        <w:t xml:space="preserve">So much is clear from Nasionale Pers Bpk </w:t>
      </w:r>
      <w:r w:rsidR="006E05B2" w:rsidRPr="00883AA4">
        <w:rPr>
          <w:rFonts w:ascii="Times New Roman" w:hAnsi="Times New Roman" w:cs="Times New Roman"/>
        </w:rPr>
        <w:t>v</w:t>
      </w:r>
      <w:r w:rsidR="006E05B2" w:rsidRPr="00883AA4">
        <w:rPr>
          <w:rFonts w:ascii="Times New Roman" w:hAnsi="Times New Roman" w:cs="Times New Roman"/>
          <w:i/>
        </w:rPr>
        <w:t xml:space="preserve"> Kommissaris van Binnelandse Inkomste </w:t>
      </w:r>
      <w:r w:rsidR="006E05B2" w:rsidRPr="00883AA4">
        <w:rPr>
          <w:rFonts w:ascii="Times New Roman" w:hAnsi="Times New Roman" w:cs="Times New Roman"/>
        </w:rPr>
        <w:t>1986</w:t>
      </w:r>
      <w:r w:rsidR="006E05B2" w:rsidRPr="00883AA4">
        <w:rPr>
          <w:rFonts w:ascii="Times New Roman" w:hAnsi="Times New Roman" w:cs="Times New Roman"/>
          <w:i/>
        </w:rPr>
        <w:t xml:space="preserve"> </w:t>
      </w:r>
      <w:r w:rsidR="006E05B2" w:rsidRPr="00883AA4">
        <w:rPr>
          <w:rFonts w:ascii="Times New Roman" w:hAnsi="Times New Roman" w:cs="Times New Roman"/>
        </w:rPr>
        <w:t>(3)</w:t>
      </w:r>
      <w:r w:rsidR="006E05B2" w:rsidRPr="00C12279">
        <w:rPr>
          <w:rFonts w:ascii="Times New Roman" w:hAnsi="Times New Roman" w:cs="Times New Roman"/>
          <w:sz w:val="24"/>
          <w:szCs w:val="24"/>
        </w:rPr>
        <w:t xml:space="preserve"> </w:t>
      </w:r>
      <w:r w:rsidR="006E05B2" w:rsidRPr="00883AA4">
        <w:rPr>
          <w:rFonts w:ascii="Times New Roman" w:hAnsi="Times New Roman" w:cs="Times New Roman"/>
        </w:rPr>
        <w:t>SA 549 (A) at 564A-D. The law in regard to the problem before us therefore offers no difficulty</w:t>
      </w:r>
      <w:r w:rsidR="006E05B2" w:rsidRPr="00C12279">
        <w:rPr>
          <w:rFonts w:ascii="Times New Roman" w:hAnsi="Times New Roman" w:cs="Times New Roman"/>
          <w:sz w:val="24"/>
          <w:szCs w:val="24"/>
        </w:rPr>
        <w:t>.”</w:t>
      </w:r>
      <w:r w:rsidR="00EC46F7" w:rsidRPr="00C12279">
        <w:rPr>
          <w:rFonts w:ascii="Times New Roman" w:hAnsi="Times New Roman" w:cs="Times New Roman"/>
          <w:sz w:val="24"/>
          <w:szCs w:val="24"/>
        </w:rPr>
        <w:t xml:space="preserve"> </w:t>
      </w:r>
    </w:p>
    <w:p w14:paraId="4CB17DB9" w14:textId="2F3B91B3" w:rsidR="00FE02F3" w:rsidRPr="00C12279" w:rsidRDefault="00FE02F3" w:rsidP="00DC3656">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the local case of </w:t>
      </w:r>
      <w:r w:rsidRPr="00C12279">
        <w:rPr>
          <w:rFonts w:ascii="Times New Roman" w:hAnsi="Times New Roman" w:cs="Times New Roman"/>
          <w:i/>
          <w:sz w:val="24"/>
          <w:szCs w:val="24"/>
        </w:rPr>
        <w:t>Commissioner of Tax</w:t>
      </w:r>
      <w:r w:rsidRPr="00C12279">
        <w:rPr>
          <w:rFonts w:ascii="Times New Roman" w:hAnsi="Times New Roman" w:cs="Times New Roman"/>
          <w:sz w:val="24"/>
          <w:szCs w:val="24"/>
        </w:rPr>
        <w:t xml:space="preserve"> </w:t>
      </w:r>
      <w:r w:rsidRPr="00DC3656">
        <w:rPr>
          <w:rFonts w:ascii="Times New Roman" w:hAnsi="Times New Roman" w:cs="Times New Roman"/>
          <w:sz w:val="24"/>
          <w:szCs w:val="24"/>
        </w:rPr>
        <w:t>v</w:t>
      </w:r>
      <w:r w:rsidRPr="00C12279">
        <w:rPr>
          <w:rFonts w:ascii="Times New Roman" w:hAnsi="Times New Roman" w:cs="Times New Roman"/>
          <w:i/>
          <w:sz w:val="24"/>
          <w:szCs w:val="24"/>
        </w:rPr>
        <w:t xml:space="preserve"> “A” Company</w:t>
      </w:r>
      <w:r w:rsidRPr="00C12279">
        <w:rPr>
          <w:rFonts w:ascii="Times New Roman" w:hAnsi="Times New Roman" w:cs="Times New Roman"/>
          <w:sz w:val="24"/>
          <w:szCs w:val="24"/>
        </w:rPr>
        <w:t xml:space="preserve"> 1979 (2) SA 411 (RAD) at </w:t>
      </w:r>
      <w:r w:rsidR="002E263B" w:rsidRPr="00C12279">
        <w:rPr>
          <w:rFonts w:ascii="Times New Roman" w:hAnsi="Times New Roman" w:cs="Times New Roman"/>
          <w:sz w:val="24"/>
          <w:szCs w:val="24"/>
        </w:rPr>
        <w:t>414</w:t>
      </w:r>
      <w:r w:rsidR="00A64ECA" w:rsidRPr="00C12279">
        <w:rPr>
          <w:rFonts w:ascii="Times New Roman" w:hAnsi="Times New Roman" w:cs="Times New Roman"/>
          <w:sz w:val="24"/>
          <w:szCs w:val="24"/>
        </w:rPr>
        <w:t>A</w:t>
      </w:r>
      <w:r w:rsidR="002E263B" w:rsidRPr="00C12279">
        <w:rPr>
          <w:rFonts w:ascii="Times New Roman" w:hAnsi="Times New Roman" w:cs="Times New Roman"/>
          <w:sz w:val="24"/>
          <w:szCs w:val="24"/>
        </w:rPr>
        <w:t xml:space="preserve"> </w:t>
      </w:r>
      <w:r w:rsidR="002E263B" w:rsidRPr="00DC3656">
        <w:rPr>
          <w:rFonts w:ascii="Times New Roman" w:hAnsi="Times New Roman" w:cs="Times New Roman"/>
          <w:smallCaps/>
          <w:sz w:val="24"/>
          <w:szCs w:val="24"/>
        </w:rPr>
        <w:t>Lewis JP</w:t>
      </w:r>
      <w:r w:rsidR="002E263B" w:rsidRPr="00C12279">
        <w:rPr>
          <w:rFonts w:ascii="Times New Roman" w:hAnsi="Times New Roman" w:cs="Times New Roman"/>
          <w:sz w:val="24"/>
          <w:szCs w:val="24"/>
        </w:rPr>
        <w:t xml:space="preserve"> cited with approval the definition of incurred that was set out in the Australian case of </w:t>
      </w:r>
      <w:r w:rsidR="002E263B" w:rsidRPr="00C12279">
        <w:rPr>
          <w:rFonts w:ascii="Times New Roman" w:hAnsi="Times New Roman" w:cs="Times New Roman"/>
          <w:i/>
          <w:sz w:val="24"/>
          <w:szCs w:val="24"/>
        </w:rPr>
        <w:t xml:space="preserve">Federal Commissioner of Taxation </w:t>
      </w:r>
      <w:r w:rsidR="002E263B" w:rsidRPr="00DC3656">
        <w:rPr>
          <w:rFonts w:ascii="Times New Roman" w:hAnsi="Times New Roman" w:cs="Times New Roman"/>
          <w:sz w:val="24"/>
          <w:szCs w:val="24"/>
        </w:rPr>
        <w:t>v</w:t>
      </w:r>
      <w:r w:rsidR="002E263B" w:rsidRPr="00C12279">
        <w:rPr>
          <w:rFonts w:ascii="Times New Roman" w:hAnsi="Times New Roman" w:cs="Times New Roman"/>
          <w:i/>
          <w:sz w:val="24"/>
          <w:szCs w:val="24"/>
        </w:rPr>
        <w:t xml:space="preserve"> James Flood (Pty) Ltd </w:t>
      </w:r>
      <w:r w:rsidR="002E263B" w:rsidRPr="00C12279">
        <w:rPr>
          <w:rFonts w:ascii="Times New Roman" w:hAnsi="Times New Roman" w:cs="Times New Roman"/>
          <w:sz w:val="24"/>
          <w:szCs w:val="24"/>
        </w:rPr>
        <w:t>(1953) 88 CLR 493</w:t>
      </w:r>
      <w:r w:rsidR="00A64ECA" w:rsidRPr="00C12279">
        <w:rPr>
          <w:rFonts w:ascii="Times New Roman" w:hAnsi="Times New Roman" w:cs="Times New Roman"/>
          <w:sz w:val="24"/>
          <w:szCs w:val="24"/>
        </w:rPr>
        <w:t xml:space="preserve"> at 501 as equivalent to defrayed, discharged or borne of, encountered and run into</w:t>
      </w:r>
      <w:r w:rsidR="004E232E" w:rsidRPr="00C12279">
        <w:rPr>
          <w:rFonts w:ascii="Times New Roman" w:hAnsi="Times New Roman" w:cs="Times New Roman"/>
          <w:sz w:val="24"/>
          <w:szCs w:val="24"/>
        </w:rPr>
        <w:t xml:space="preserve"> or fall upon and not</w:t>
      </w:r>
      <w:r w:rsidR="00A64ECA" w:rsidRPr="00C12279">
        <w:rPr>
          <w:rFonts w:ascii="Times New Roman" w:hAnsi="Times New Roman" w:cs="Times New Roman"/>
          <w:sz w:val="24"/>
          <w:szCs w:val="24"/>
        </w:rPr>
        <w:t xml:space="preserve"> to impending, threatened or expected or due and payable. </w:t>
      </w:r>
    </w:p>
    <w:p w14:paraId="278C0538" w14:textId="2358A729" w:rsidR="00D21073" w:rsidRDefault="00D21073" w:rsidP="00DC3656">
      <w:pPr>
        <w:spacing w:after="0"/>
        <w:jc w:val="both"/>
        <w:rPr>
          <w:rFonts w:ascii="Times New Roman" w:hAnsi="Times New Roman" w:cs="Times New Roman"/>
          <w:i/>
          <w:sz w:val="24"/>
          <w:szCs w:val="24"/>
        </w:rPr>
      </w:pPr>
      <w:r w:rsidRPr="00C12279">
        <w:rPr>
          <w:rFonts w:ascii="Times New Roman" w:hAnsi="Times New Roman" w:cs="Times New Roman"/>
          <w:i/>
          <w:sz w:val="24"/>
          <w:szCs w:val="24"/>
        </w:rPr>
        <w:t>Case law on provisions for leave pay</w:t>
      </w:r>
      <w:r w:rsidR="001F0351" w:rsidRPr="00C12279">
        <w:rPr>
          <w:rFonts w:ascii="Times New Roman" w:hAnsi="Times New Roman" w:cs="Times New Roman"/>
          <w:i/>
          <w:sz w:val="24"/>
          <w:szCs w:val="24"/>
        </w:rPr>
        <w:t xml:space="preserve"> and analogous provisions</w:t>
      </w:r>
    </w:p>
    <w:p w14:paraId="2E70D946" w14:textId="77777777" w:rsidR="00AD6517" w:rsidRPr="00C12279" w:rsidRDefault="00AD6517" w:rsidP="00DC3656">
      <w:pPr>
        <w:spacing w:after="0"/>
        <w:jc w:val="both"/>
        <w:rPr>
          <w:rFonts w:ascii="Times New Roman" w:hAnsi="Times New Roman" w:cs="Times New Roman"/>
          <w:i/>
          <w:sz w:val="24"/>
          <w:szCs w:val="24"/>
        </w:rPr>
      </w:pPr>
    </w:p>
    <w:p w14:paraId="337E4AE7" w14:textId="474E3987" w:rsidR="001F0351" w:rsidRPr="00C12279" w:rsidRDefault="00C82D29" w:rsidP="00DC3656">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w:t>
      </w:r>
      <w:r w:rsidR="009A5DFE" w:rsidRPr="00C12279">
        <w:rPr>
          <w:rFonts w:ascii="Times New Roman" w:hAnsi="Times New Roman" w:cs="Times New Roman"/>
          <w:i/>
          <w:sz w:val="24"/>
          <w:szCs w:val="24"/>
        </w:rPr>
        <w:t xml:space="preserve"> ITC 674</w:t>
      </w:r>
      <w:r w:rsidR="009A5DFE" w:rsidRPr="00C12279">
        <w:rPr>
          <w:rFonts w:ascii="Times New Roman" w:hAnsi="Times New Roman" w:cs="Times New Roman"/>
          <w:sz w:val="24"/>
          <w:szCs w:val="24"/>
        </w:rPr>
        <w:t xml:space="preserve"> </w:t>
      </w:r>
      <w:r w:rsidRPr="00C12279">
        <w:rPr>
          <w:rFonts w:ascii="Times New Roman" w:hAnsi="Times New Roman" w:cs="Times New Roman"/>
          <w:sz w:val="24"/>
          <w:szCs w:val="24"/>
        </w:rPr>
        <w:t xml:space="preserve">(1949) 16 SATC 235 a </w:t>
      </w:r>
      <w:r w:rsidR="009A5DFE" w:rsidRPr="00C12279">
        <w:rPr>
          <w:rFonts w:ascii="Times New Roman" w:hAnsi="Times New Roman" w:cs="Times New Roman"/>
          <w:sz w:val="24"/>
          <w:szCs w:val="24"/>
        </w:rPr>
        <w:t xml:space="preserve">provision for </w:t>
      </w:r>
      <w:r w:rsidR="0076415C" w:rsidRPr="00C12279">
        <w:rPr>
          <w:rFonts w:ascii="Times New Roman" w:hAnsi="Times New Roman" w:cs="Times New Roman"/>
          <w:sz w:val="24"/>
          <w:szCs w:val="24"/>
        </w:rPr>
        <w:t xml:space="preserve">the payment of </w:t>
      </w:r>
      <w:r w:rsidR="009A5DFE" w:rsidRPr="00C12279">
        <w:rPr>
          <w:rFonts w:ascii="Times New Roman" w:hAnsi="Times New Roman" w:cs="Times New Roman"/>
          <w:sz w:val="24"/>
          <w:szCs w:val="24"/>
        </w:rPr>
        <w:t xml:space="preserve">holiday allowances for a mandatory holiday </w:t>
      </w:r>
      <w:r w:rsidRPr="00C12279">
        <w:rPr>
          <w:rFonts w:ascii="Times New Roman" w:hAnsi="Times New Roman" w:cs="Times New Roman"/>
          <w:sz w:val="24"/>
          <w:szCs w:val="24"/>
        </w:rPr>
        <w:t>that was</w:t>
      </w:r>
      <w:r w:rsidR="009A5DFE" w:rsidRPr="00C12279">
        <w:rPr>
          <w:rFonts w:ascii="Times New Roman" w:hAnsi="Times New Roman" w:cs="Times New Roman"/>
          <w:sz w:val="24"/>
          <w:szCs w:val="24"/>
        </w:rPr>
        <w:t xml:space="preserve"> due in the subsequent year was allowed on the basis that the appellants incurred mandatory and “absolute legal liability to pay” in the tax year in which the provision was made.  </w:t>
      </w:r>
      <w:r w:rsidR="00F318E9" w:rsidRPr="00C12279">
        <w:rPr>
          <w:rFonts w:ascii="Times New Roman" w:hAnsi="Times New Roman" w:cs="Times New Roman"/>
          <w:sz w:val="24"/>
          <w:szCs w:val="24"/>
        </w:rPr>
        <w:t>In contra</w:t>
      </w:r>
      <w:r w:rsidR="00E135EE" w:rsidRPr="00C12279">
        <w:rPr>
          <w:rFonts w:ascii="Times New Roman" w:hAnsi="Times New Roman" w:cs="Times New Roman"/>
          <w:sz w:val="24"/>
          <w:szCs w:val="24"/>
        </w:rPr>
        <w:t>distinction</w:t>
      </w:r>
      <w:r w:rsidR="00F318E9" w:rsidRPr="00C12279">
        <w:rPr>
          <w:rFonts w:ascii="Times New Roman" w:hAnsi="Times New Roman" w:cs="Times New Roman"/>
          <w:sz w:val="24"/>
          <w:szCs w:val="24"/>
        </w:rPr>
        <w:t xml:space="preserve"> holiday allowance</w:t>
      </w:r>
      <w:r w:rsidR="00E135EE" w:rsidRPr="00C12279">
        <w:rPr>
          <w:rFonts w:ascii="Times New Roman" w:hAnsi="Times New Roman" w:cs="Times New Roman"/>
          <w:sz w:val="24"/>
          <w:szCs w:val="24"/>
        </w:rPr>
        <w:t>s</w:t>
      </w:r>
      <w:r w:rsidR="00F318E9" w:rsidRPr="00C12279">
        <w:rPr>
          <w:rFonts w:ascii="Times New Roman" w:hAnsi="Times New Roman" w:cs="Times New Roman"/>
          <w:sz w:val="24"/>
          <w:szCs w:val="24"/>
        </w:rPr>
        <w:t xml:space="preserve"> in </w:t>
      </w:r>
      <w:r w:rsidR="001F0351" w:rsidRPr="00C12279">
        <w:rPr>
          <w:rFonts w:ascii="Times New Roman" w:hAnsi="Times New Roman" w:cs="Times New Roman"/>
          <w:i/>
          <w:sz w:val="24"/>
          <w:szCs w:val="24"/>
        </w:rPr>
        <w:t>Federal Commissioner of T</w:t>
      </w:r>
      <w:r w:rsidR="00F318E9" w:rsidRPr="00C12279">
        <w:rPr>
          <w:rFonts w:ascii="Times New Roman" w:hAnsi="Times New Roman" w:cs="Times New Roman"/>
          <w:i/>
          <w:sz w:val="24"/>
          <w:szCs w:val="24"/>
        </w:rPr>
        <w:t xml:space="preserve">axation </w:t>
      </w:r>
      <w:r w:rsidR="00F318E9" w:rsidRPr="00DC3656">
        <w:rPr>
          <w:rFonts w:ascii="Times New Roman" w:hAnsi="Times New Roman" w:cs="Times New Roman"/>
          <w:sz w:val="24"/>
          <w:szCs w:val="24"/>
        </w:rPr>
        <w:t>v</w:t>
      </w:r>
      <w:r w:rsidR="00F318E9" w:rsidRPr="00C12279">
        <w:rPr>
          <w:rFonts w:ascii="Times New Roman" w:hAnsi="Times New Roman" w:cs="Times New Roman"/>
          <w:i/>
          <w:sz w:val="24"/>
          <w:szCs w:val="24"/>
        </w:rPr>
        <w:t xml:space="preserve"> James Flood (Pty) Ltd, supra,</w:t>
      </w:r>
      <w:r w:rsidR="001F0351" w:rsidRPr="00C12279">
        <w:rPr>
          <w:rFonts w:ascii="Times New Roman" w:hAnsi="Times New Roman" w:cs="Times New Roman"/>
          <w:sz w:val="24"/>
          <w:szCs w:val="24"/>
        </w:rPr>
        <w:t xml:space="preserve"> </w:t>
      </w:r>
      <w:r w:rsidR="00E135EE" w:rsidRPr="00C12279">
        <w:rPr>
          <w:rFonts w:ascii="Times New Roman" w:hAnsi="Times New Roman" w:cs="Times New Roman"/>
          <w:sz w:val="24"/>
          <w:szCs w:val="24"/>
        </w:rPr>
        <w:t xml:space="preserve">were disallowed as a deduction on the ground that they did not constitute losses or outgoings incurred under s 51 (1), the section equivalent to our general deduction formula, s 15 (2) (a). </w:t>
      </w:r>
      <w:r w:rsidR="00FC0A65" w:rsidRPr="00C12279">
        <w:rPr>
          <w:rFonts w:ascii="Times New Roman" w:hAnsi="Times New Roman" w:cs="Times New Roman"/>
          <w:sz w:val="24"/>
          <w:szCs w:val="24"/>
        </w:rPr>
        <w:t>The holiday was based on the accrual of 14 leave days for every</w:t>
      </w:r>
      <w:r w:rsidR="00F318E9" w:rsidRPr="00C12279">
        <w:rPr>
          <w:rFonts w:ascii="Times New Roman" w:hAnsi="Times New Roman" w:cs="Times New Roman"/>
          <w:sz w:val="24"/>
          <w:szCs w:val="24"/>
        </w:rPr>
        <w:t xml:space="preserve"> 12 months of continuous service</w:t>
      </w:r>
      <w:r w:rsidR="00FC0A65" w:rsidRPr="00C12279">
        <w:rPr>
          <w:rFonts w:ascii="Times New Roman" w:hAnsi="Times New Roman" w:cs="Times New Roman"/>
          <w:sz w:val="24"/>
          <w:szCs w:val="24"/>
        </w:rPr>
        <w:t xml:space="preserve"> which leave days had to be</w:t>
      </w:r>
      <w:r w:rsidR="00F318E9" w:rsidRPr="00C12279">
        <w:rPr>
          <w:rFonts w:ascii="Times New Roman" w:hAnsi="Times New Roman" w:cs="Times New Roman"/>
          <w:sz w:val="24"/>
          <w:szCs w:val="24"/>
        </w:rPr>
        <w:t xml:space="preserve"> taken within 6 months of due date provided </w:t>
      </w:r>
      <w:r w:rsidR="00FC0A65" w:rsidRPr="00C12279">
        <w:rPr>
          <w:rFonts w:ascii="Times New Roman" w:hAnsi="Times New Roman" w:cs="Times New Roman"/>
          <w:sz w:val="24"/>
          <w:szCs w:val="24"/>
        </w:rPr>
        <w:t xml:space="preserve">the </w:t>
      </w:r>
      <w:r w:rsidR="00F318E9" w:rsidRPr="00C12279">
        <w:rPr>
          <w:rFonts w:ascii="Times New Roman" w:hAnsi="Times New Roman" w:cs="Times New Roman"/>
          <w:sz w:val="24"/>
          <w:szCs w:val="24"/>
        </w:rPr>
        <w:t xml:space="preserve">continuous service was not broken by </w:t>
      </w:r>
      <w:r w:rsidR="00C26CAA" w:rsidRPr="00C12279">
        <w:rPr>
          <w:rFonts w:ascii="Times New Roman" w:hAnsi="Times New Roman" w:cs="Times New Roman"/>
          <w:sz w:val="24"/>
          <w:szCs w:val="24"/>
        </w:rPr>
        <w:t xml:space="preserve">death, a </w:t>
      </w:r>
      <w:r w:rsidR="00F318E9" w:rsidRPr="00C12279">
        <w:rPr>
          <w:rFonts w:ascii="Times New Roman" w:hAnsi="Times New Roman" w:cs="Times New Roman"/>
          <w:sz w:val="24"/>
          <w:szCs w:val="24"/>
        </w:rPr>
        <w:t>str</w:t>
      </w:r>
      <w:r w:rsidR="00C26CAA" w:rsidRPr="00C12279">
        <w:rPr>
          <w:rFonts w:ascii="Times New Roman" w:hAnsi="Times New Roman" w:cs="Times New Roman"/>
          <w:sz w:val="24"/>
          <w:szCs w:val="24"/>
        </w:rPr>
        <w:t>ike</w:t>
      </w:r>
      <w:r w:rsidR="00F318E9" w:rsidRPr="00C12279">
        <w:rPr>
          <w:rFonts w:ascii="Times New Roman" w:hAnsi="Times New Roman" w:cs="Times New Roman"/>
          <w:sz w:val="24"/>
          <w:szCs w:val="24"/>
        </w:rPr>
        <w:t xml:space="preserve"> or absenteeism</w:t>
      </w:r>
      <w:r w:rsidR="00FC0A65" w:rsidRPr="00C12279">
        <w:rPr>
          <w:rFonts w:ascii="Times New Roman" w:hAnsi="Times New Roman" w:cs="Times New Roman"/>
          <w:sz w:val="24"/>
          <w:szCs w:val="24"/>
        </w:rPr>
        <w:t xml:space="preserve">. In addition, it was </w:t>
      </w:r>
      <w:r w:rsidR="00E135EE" w:rsidRPr="00C12279">
        <w:rPr>
          <w:rFonts w:ascii="Times New Roman" w:hAnsi="Times New Roman" w:cs="Times New Roman"/>
          <w:sz w:val="24"/>
          <w:szCs w:val="24"/>
        </w:rPr>
        <w:t>mandatory to take such leave</w:t>
      </w:r>
      <w:r w:rsidR="00FC0A65" w:rsidRPr="00C12279">
        <w:rPr>
          <w:rFonts w:ascii="Times New Roman" w:hAnsi="Times New Roman" w:cs="Times New Roman"/>
          <w:sz w:val="24"/>
          <w:szCs w:val="24"/>
        </w:rPr>
        <w:t xml:space="preserve"> outside the year of assessment and the employee was paid his normal salary while on leave</w:t>
      </w:r>
      <w:r w:rsidR="00DA2588" w:rsidRPr="00C12279">
        <w:rPr>
          <w:rFonts w:ascii="Times New Roman" w:hAnsi="Times New Roman" w:cs="Times New Roman"/>
          <w:sz w:val="24"/>
          <w:szCs w:val="24"/>
        </w:rPr>
        <w:t xml:space="preserve"> a</w:t>
      </w:r>
      <w:r w:rsidR="00C35B36" w:rsidRPr="00C12279">
        <w:rPr>
          <w:rFonts w:ascii="Times New Roman" w:hAnsi="Times New Roman" w:cs="Times New Roman"/>
          <w:sz w:val="24"/>
          <w:szCs w:val="24"/>
        </w:rPr>
        <w:t>nd prohibited from encashing such</w:t>
      </w:r>
      <w:r w:rsidR="00DA2588" w:rsidRPr="00C12279">
        <w:rPr>
          <w:rFonts w:ascii="Times New Roman" w:hAnsi="Times New Roman" w:cs="Times New Roman"/>
          <w:sz w:val="24"/>
          <w:szCs w:val="24"/>
        </w:rPr>
        <w:t xml:space="preserve"> leave. </w:t>
      </w:r>
      <w:r w:rsidR="00E135EE" w:rsidRPr="00C12279">
        <w:rPr>
          <w:rFonts w:ascii="Times New Roman" w:hAnsi="Times New Roman" w:cs="Times New Roman"/>
          <w:sz w:val="24"/>
          <w:szCs w:val="24"/>
        </w:rPr>
        <w:t>It was held that the factors that could break continuous service constituted contingent liabilities that undermined a definite obligation on the part of the employer to make payment</w:t>
      </w:r>
      <w:r w:rsidR="00DA2588" w:rsidRPr="00C12279">
        <w:rPr>
          <w:rFonts w:ascii="Times New Roman" w:hAnsi="Times New Roman" w:cs="Times New Roman"/>
          <w:sz w:val="24"/>
          <w:szCs w:val="24"/>
        </w:rPr>
        <w:t xml:space="preserve"> to those employees who had not completed 12 months service before the end of the taxpayer’s financial year and as such had not incurred an outgoing proportional to the accrued leave days</w:t>
      </w:r>
      <w:r w:rsidR="00E135EE" w:rsidRPr="00C12279">
        <w:rPr>
          <w:rFonts w:ascii="Times New Roman" w:hAnsi="Times New Roman" w:cs="Times New Roman"/>
          <w:sz w:val="24"/>
          <w:szCs w:val="24"/>
        </w:rPr>
        <w:t xml:space="preserve">. </w:t>
      </w:r>
      <w:r w:rsidR="002C7D4B" w:rsidRPr="00C12279">
        <w:rPr>
          <w:rFonts w:ascii="Times New Roman" w:hAnsi="Times New Roman" w:cs="Times New Roman"/>
          <w:sz w:val="24"/>
          <w:szCs w:val="24"/>
        </w:rPr>
        <w:t xml:space="preserve">I understood this case to mean that the obligation to take the holiday allowance was </w:t>
      </w:r>
      <w:r w:rsidR="00C35B36" w:rsidRPr="00C12279">
        <w:rPr>
          <w:rFonts w:ascii="Times New Roman" w:hAnsi="Times New Roman" w:cs="Times New Roman"/>
          <w:sz w:val="24"/>
          <w:szCs w:val="24"/>
        </w:rPr>
        <w:t>in terms of</w:t>
      </w:r>
      <w:r w:rsidR="00627FBA" w:rsidRPr="00C12279">
        <w:rPr>
          <w:rFonts w:ascii="Times New Roman" w:hAnsi="Times New Roman" w:cs="Times New Roman"/>
          <w:sz w:val="24"/>
          <w:szCs w:val="24"/>
        </w:rPr>
        <w:t xml:space="preserve"> the award, </w:t>
      </w:r>
      <w:r w:rsidR="00C35B36" w:rsidRPr="00C12279">
        <w:rPr>
          <w:rFonts w:ascii="Times New Roman" w:hAnsi="Times New Roman" w:cs="Times New Roman"/>
          <w:sz w:val="24"/>
          <w:szCs w:val="24"/>
        </w:rPr>
        <w:t xml:space="preserve">which was the source of the liability, </w:t>
      </w:r>
      <w:r w:rsidR="002C7D4B" w:rsidRPr="00C12279">
        <w:rPr>
          <w:rFonts w:ascii="Times New Roman" w:hAnsi="Times New Roman" w:cs="Times New Roman"/>
          <w:sz w:val="24"/>
          <w:szCs w:val="24"/>
        </w:rPr>
        <w:t>incurre</w:t>
      </w:r>
      <w:r w:rsidR="00627FBA" w:rsidRPr="00C12279">
        <w:rPr>
          <w:rFonts w:ascii="Times New Roman" w:hAnsi="Times New Roman" w:cs="Times New Roman"/>
          <w:sz w:val="24"/>
          <w:szCs w:val="24"/>
        </w:rPr>
        <w:t xml:space="preserve">d </w:t>
      </w:r>
      <w:r w:rsidR="006A4363" w:rsidRPr="00C12279">
        <w:rPr>
          <w:rFonts w:ascii="Times New Roman" w:hAnsi="Times New Roman" w:cs="Times New Roman"/>
          <w:sz w:val="24"/>
          <w:szCs w:val="24"/>
        </w:rPr>
        <w:t>when the employee qualified</w:t>
      </w:r>
      <w:r w:rsidR="002C7D4B" w:rsidRPr="00C12279">
        <w:rPr>
          <w:rFonts w:ascii="Times New Roman" w:hAnsi="Times New Roman" w:cs="Times New Roman"/>
          <w:sz w:val="24"/>
          <w:szCs w:val="24"/>
        </w:rPr>
        <w:t xml:space="preserve"> to take leave in the year subsequent to the year of assessment.</w:t>
      </w:r>
    </w:p>
    <w:p w14:paraId="00F8D93B" w14:textId="5F72AD05" w:rsidR="00131ED5" w:rsidRPr="00C12279" w:rsidRDefault="00131ED5" w:rsidP="00DC3656">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lastRenderedPageBreak/>
        <w:t xml:space="preserve">In the </w:t>
      </w:r>
      <w:r w:rsidRPr="00C12279">
        <w:rPr>
          <w:rFonts w:ascii="Times New Roman" w:hAnsi="Times New Roman" w:cs="Times New Roman"/>
          <w:i/>
          <w:sz w:val="24"/>
          <w:szCs w:val="24"/>
        </w:rPr>
        <w:t xml:space="preserve">Commissioner of Taxes </w:t>
      </w:r>
      <w:r w:rsidRPr="00DC3656">
        <w:rPr>
          <w:rFonts w:ascii="Times New Roman" w:hAnsi="Times New Roman" w:cs="Times New Roman"/>
          <w:sz w:val="24"/>
          <w:szCs w:val="24"/>
        </w:rPr>
        <w:t>v</w:t>
      </w:r>
      <w:r w:rsidRPr="00C12279">
        <w:rPr>
          <w:rFonts w:ascii="Times New Roman" w:hAnsi="Times New Roman" w:cs="Times New Roman"/>
          <w:i/>
          <w:sz w:val="24"/>
          <w:szCs w:val="24"/>
        </w:rPr>
        <w:t xml:space="preserve"> A Company</w:t>
      </w:r>
      <w:r w:rsidRPr="00C12279">
        <w:rPr>
          <w:rFonts w:ascii="Times New Roman" w:hAnsi="Times New Roman" w:cs="Times New Roman"/>
          <w:sz w:val="24"/>
          <w:szCs w:val="24"/>
        </w:rPr>
        <w:t xml:space="preserve">, </w:t>
      </w:r>
      <w:r w:rsidRPr="00C12279">
        <w:rPr>
          <w:rFonts w:ascii="Times New Roman" w:hAnsi="Times New Roman" w:cs="Times New Roman"/>
          <w:i/>
          <w:sz w:val="24"/>
          <w:szCs w:val="24"/>
        </w:rPr>
        <w:t>supra</w:t>
      </w:r>
      <w:r w:rsidRPr="00C12279">
        <w:rPr>
          <w:rFonts w:ascii="Times New Roman" w:hAnsi="Times New Roman" w:cs="Times New Roman"/>
          <w:sz w:val="24"/>
          <w:szCs w:val="24"/>
        </w:rPr>
        <w:t>, at</w:t>
      </w:r>
      <w:r w:rsidR="00616C5B" w:rsidRPr="00C12279">
        <w:rPr>
          <w:rFonts w:ascii="Times New Roman" w:hAnsi="Times New Roman" w:cs="Times New Roman"/>
          <w:sz w:val="24"/>
          <w:szCs w:val="24"/>
        </w:rPr>
        <w:t xml:space="preserve"> 435A</w:t>
      </w:r>
      <w:r w:rsidRPr="00C12279">
        <w:rPr>
          <w:rFonts w:ascii="Times New Roman" w:hAnsi="Times New Roman" w:cs="Times New Roman"/>
          <w:sz w:val="24"/>
          <w:szCs w:val="24"/>
        </w:rPr>
        <w:t xml:space="preserve"> </w:t>
      </w:r>
      <w:r w:rsidRPr="00DC3656">
        <w:rPr>
          <w:rFonts w:ascii="Times New Roman" w:hAnsi="Times New Roman" w:cs="Times New Roman"/>
          <w:smallCaps/>
          <w:sz w:val="24"/>
          <w:szCs w:val="24"/>
        </w:rPr>
        <w:t>Lewis JP</w:t>
      </w:r>
      <w:r w:rsidRPr="00C12279">
        <w:rPr>
          <w:rFonts w:ascii="Times New Roman" w:hAnsi="Times New Roman" w:cs="Times New Roman"/>
          <w:sz w:val="24"/>
          <w:szCs w:val="24"/>
        </w:rPr>
        <w:t xml:space="preserve"> referred to another Australian case of </w:t>
      </w:r>
      <w:r w:rsidR="006A4363" w:rsidRPr="00C12279">
        <w:rPr>
          <w:rFonts w:ascii="Times New Roman" w:hAnsi="Times New Roman" w:cs="Times New Roman"/>
          <w:i/>
          <w:sz w:val="24"/>
          <w:szCs w:val="24"/>
        </w:rPr>
        <w:t xml:space="preserve">Nevill &amp; Co Ltd </w:t>
      </w:r>
      <w:r w:rsidR="006A4363" w:rsidRPr="00DC3656">
        <w:rPr>
          <w:rFonts w:ascii="Times New Roman" w:hAnsi="Times New Roman" w:cs="Times New Roman"/>
          <w:sz w:val="24"/>
          <w:szCs w:val="24"/>
        </w:rPr>
        <w:t>v</w:t>
      </w:r>
      <w:r w:rsidR="006A4363" w:rsidRPr="00C12279">
        <w:rPr>
          <w:rFonts w:ascii="Times New Roman" w:hAnsi="Times New Roman" w:cs="Times New Roman"/>
          <w:i/>
          <w:sz w:val="24"/>
          <w:szCs w:val="24"/>
        </w:rPr>
        <w:t xml:space="preserve"> Federal Commissioner of Taxation </w:t>
      </w:r>
      <w:r w:rsidR="006A4363" w:rsidRPr="00C12279">
        <w:rPr>
          <w:rFonts w:ascii="Times New Roman" w:hAnsi="Times New Roman" w:cs="Times New Roman"/>
          <w:sz w:val="24"/>
          <w:szCs w:val="24"/>
        </w:rPr>
        <w:t xml:space="preserve">for the proposition that </w:t>
      </w:r>
      <w:r w:rsidR="00BF7F6F" w:rsidRPr="00C12279">
        <w:rPr>
          <w:rFonts w:ascii="Times New Roman" w:hAnsi="Times New Roman" w:cs="Times New Roman"/>
          <w:sz w:val="24"/>
          <w:szCs w:val="24"/>
        </w:rPr>
        <w:t>the employer taxpayer had “at best an inchoate liability in process of accrual but subject to a variety of contingencies”</w:t>
      </w:r>
      <w:r w:rsidR="003A691E" w:rsidRPr="00C12279">
        <w:rPr>
          <w:rFonts w:ascii="Times New Roman" w:hAnsi="Times New Roman" w:cs="Times New Roman"/>
          <w:sz w:val="24"/>
          <w:szCs w:val="24"/>
        </w:rPr>
        <w:t xml:space="preserve"> which liability would be completely incurred in the following year</w:t>
      </w:r>
      <w:r w:rsidR="00BF7F6F" w:rsidRPr="00C12279">
        <w:rPr>
          <w:rFonts w:ascii="Times New Roman" w:hAnsi="Times New Roman" w:cs="Times New Roman"/>
          <w:sz w:val="24"/>
          <w:szCs w:val="24"/>
        </w:rPr>
        <w:t xml:space="preserve"> in respect of </w:t>
      </w:r>
      <w:r w:rsidR="006A4363" w:rsidRPr="00C12279">
        <w:rPr>
          <w:rFonts w:ascii="Times New Roman" w:hAnsi="Times New Roman" w:cs="Times New Roman"/>
          <w:sz w:val="24"/>
          <w:szCs w:val="24"/>
        </w:rPr>
        <w:t>those employees who had not yet qualified to take annual leave</w:t>
      </w:r>
      <w:r w:rsidR="00627FBA" w:rsidRPr="00C12279">
        <w:rPr>
          <w:rFonts w:ascii="Times New Roman" w:hAnsi="Times New Roman" w:cs="Times New Roman"/>
          <w:sz w:val="24"/>
          <w:szCs w:val="24"/>
        </w:rPr>
        <w:t xml:space="preserve"> notwithstanding that the amount regarding the labour as a whole had be</w:t>
      </w:r>
      <w:r w:rsidR="003A691E" w:rsidRPr="00C12279">
        <w:rPr>
          <w:rFonts w:ascii="Times New Roman" w:hAnsi="Times New Roman" w:cs="Times New Roman"/>
          <w:sz w:val="24"/>
          <w:szCs w:val="24"/>
        </w:rPr>
        <w:t>come predictable with certainty,</w:t>
      </w:r>
    </w:p>
    <w:p w14:paraId="68B4A2B4" w14:textId="765A2B00" w:rsidR="00BB259B" w:rsidRPr="00C12279" w:rsidRDefault="00AA646F" w:rsidP="00DC3656">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the </w:t>
      </w:r>
      <w:r w:rsidRPr="00C12279">
        <w:rPr>
          <w:rFonts w:ascii="Times New Roman" w:hAnsi="Times New Roman" w:cs="Times New Roman"/>
          <w:i/>
          <w:sz w:val="24"/>
          <w:szCs w:val="24"/>
        </w:rPr>
        <w:t xml:space="preserve">Edgars </w:t>
      </w:r>
      <w:r w:rsidRPr="00C12279">
        <w:rPr>
          <w:rFonts w:ascii="Times New Roman" w:hAnsi="Times New Roman" w:cs="Times New Roman"/>
          <w:sz w:val="24"/>
          <w:szCs w:val="24"/>
        </w:rPr>
        <w:t>case,</w:t>
      </w:r>
      <w:r w:rsidRPr="00C12279">
        <w:rPr>
          <w:rFonts w:ascii="Times New Roman" w:hAnsi="Times New Roman" w:cs="Times New Roman"/>
          <w:i/>
          <w:sz w:val="24"/>
          <w:szCs w:val="24"/>
        </w:rPr>
        <w:t xml:space="preserve"> supra</w:t>
      </w:r>
      <w:r w:rsidRPr="00C12279">
        <w:rPr>
          <w:rFonts w:ascii="Times New Roman" w:hAnsi="Times New Roman" w:cs="Times New Roman"/>
          <w:sz w:val="24"/>
          <w:szCs w:val="24"/>
        </w:rPr>
        <w:t xml:space="preserve">, </w:t>
      </w:r>
      <w:r w:rsidRPr="00DC3656">
        <w:rPr>
          <w:rFonts w:ascii="Times New Roman" w:hAnsi="Times New Roman" w:cs="Times New Roman"/>
          <w:smallCaps/>
          <w:sz w:val="24"/>
          <w:szCs w:val="24"/>
        </w:rPr>
        <w:t>Corbett JA</w:t>
      </w:r>
      <w:r w:rsidRPr="00C12279">
        <w:rPr>
          <w:rFonts w:ascii="Times New Roman" w:hAnsi="Times New Roman" w:cs="Times New Roman"/>
          <w:sz w:val="24"/>
          <w:szCs w:val="24"/>
        </w:rPr>
        <w:t xml:space="preserve"> distinguished between a conditional liability which arises in the year of assessment but is fulfilled in the following year and an unconditional liability which arises in the year of assessment but the </w:t>
      </w:r>
      <w:r w:rsidR="00014524" w:rsidRPr="00C12279">
        <w:rPr>
          <w:rFonts w:ascii="Times New Roman" w:hAnsi="Times New Roman" w:cs="Times New Roman"/>
          <w:sz w:val="24"/>
          <w:szCs w:val="24"/>
        </w:rPr>
        <w:t>amount of</w:t>
      </w:r>
      <w:r w:rsidRPr="00C12279">
        <w:rPr>
          <w:rFonts w:ascii="Times New Roman" w:hAnsi="Times New Roman" w:cs="Times New Roman"/>
          <w:sz w:val="24"/>
          <w:szCs w:val="24"/>
        </w:rPr>
        <w:t xml:space="preserve"> the liability is ascertained in the following year. </w:t>
      </w:r>
      <w:r w:rsidR="00014524" w:rsidRPr="00C12279">
        <w:rPr>
          <w:rFonts w:ascii="Times New Roman" w:hAnsi="Times New Roman" w:cs="Times New Roman"/>
          <w:sz w:val="24"/>
          <w:szCs w:val="24"/>
        </w:rPr>
        <w:t xml:space="preserve">The later was exemplified by </w:t>
      </w:r>
      <w:r w:rsidR="0076415C" w:rsidRPr="00C12279">
        <w:rPr>
          <w:rFonts w:ascii="Times New Roman" w:hAnsi="Times New Roman" w:cs="Times New Roman"/>
          <w:sz w:val="24"/>
          <w:szCs w:val="24"/>
        </w:rPr>
        <w:t xml:space="preserve">the local case of </w:t>
      </w:r>
      <w:r w:rsidR="00014524" w:rsidRPr="00C12279">
        <w:rPr>
          <w:rFonts w:ascii="Times New Roman" w:hAnsi="Times New Roman" w:cs="Times New Roman"/>
          <w:i/>
          <w:sz w:val="24"/>
          <w:szCs w:val="24"/>
        </w:rPr>
        <w:t>Commissioner of Tax</w:t>
      </w:r>
      <w:r w:rsidR="00014524" w:rsidRPr="00C12279">
        <w:rPr>
          <w:rFonts w:ascii="Times New Roman" w:hAnsi="Times New Roman" w:cs="Times New Roman"/>
          <w:sz w:val="24"/>
          <w:szCs w:val="24"/>
        </w:rPr>
        <w:t xml:space="preserve"> </w:t>
      </w:r>
      <w:r w:rsidR="00014524" w:rsidRPr="00DC3656">
        <w:rPr>
          <w:rFonts w:ascii="Times New Roman" w:hAnsi="Times New Roman" w:cs="Times New Roman"/>
          <w:sz w:val="24"/>
          <w:szCs w:val="24"/>
        </w:rPr>
        <w:t>v</w:t>
      </w:r>
      <w:r w:rsidR="00014524" w:rsidRPr="00C12279">
        <w:rPr>
          <w:rFonts w:ascii="Times New Roman" w:hAnsi="Times New Roman" w:cs="Times New Roman"/>
          <w:i/>
          <w:sz w:val="24"/>
          <w:szCs w:val="24"/>
        </w:rPr>
        <w:t xml:space="preserve"> “A” Company</w:t>
      </w:r>
      <w:r w:rsidR="00014524" w:rsidRPr="00C12279">
        <w:rPr>
          <w:rFonts w:ascii="Times New Roman" w:hAnsi="Times New Roman" w:cs="Times New Roman"/>
          <w:sz w:val="24"/>
          <w:szCs w:val="24"/>
        </w:rPr>
        <w:t xml:space="preserve"> 1979 (2) SA 411 (RAD) where the unconditional l</w:t>
      </w:r>
      <w:r w:rsidR="003C340D" w:rsidRPr="00C12279">
        <w:rPr>
          <w:rFonts w:ascii="Times New Roman" w:hAnsi="Times New Roman" w:cs="Times New Roman"/>
          <w:sz w:val="24"/>
          <w:szCs w:val="24"/>
        </w:rPr>
        <w:t xml:space="preserve">oss on </w:t>
      </w:r>
      <w:r w:rsidR="00014524" w:rsidRPr="00C12279">
        <w:rPr>
          <w:rFonts w:ascii="Times New Roman" w:hAnsi="Times New Roman" w:cs="Times New Roman"/>
          <w:sz w:val="24"/>
          <w:szCs w:val="24"/>
        </w:rPr>
        <w:t xml:space="preserve">a loan advanced was incurred </w:t>
      </w:r>
      <w:r w:rsidR="003C340D" w:rsidRPr="00C12279">
        <w:rPr>
          <w:rFonts w:ascii="Times New Roman" w:hAnsi="Times New Roman" w:cs="Times New Roman"/>
          <w:sz w:val="24"/>
          <w:szCs w:val="24"/>
        </w:rPr>
        <w:t xml:space="preserve">in the year the debtor was placed in liquidation and was held that the likelihood of a recoupment of a fraction of the amount </w:t>
      </w:r>
      <w:r w:rsidR="007948CB" w:rsidRPr="00C12279">
        <w:rPr>
          <w:rFonts w:ascii="Times New Roman" w:hAnsi="Times New Roman" w:cs="Times New Roman"/>
          <w:sz w:val="24"/>
          <w:szCs w:val="24"/>
        </w:rPr>
        <w:t xml:space="preserve">in a subsequent year </w:t>
      </w:r>
      <w:r w:rsidR="003C340D" w:rsidRPr="00C12279">
        <w:rPr>
          <w:rFonts w:ascii="Times New Roman" w:hAnsi="Times New Roman" w:cs="Times New Roman"/>
          <w:sz w:val="24"/>
          <w:szCs w:val="24"/>
        </w:rPr>
        <w:t xml:space="preserve">did not </w:t>
      </w:r>
      <w:r w:rsidR="007948CB" w:rsidRPr="00C12279">
        <w:rPr>
          <w:rFonts w:ascii="Times New Roman" w:hAnsi="Times New Roman" w:cs="Times New Roman"/>
          <w:sz w:val="24"/>
          <w:szCs w:val="24"/>
        </w:rPr>
        <w:t xml:space="preserve">transform the unconditional liability into a contingent one. In contrast, in the </w:t>
      </w:r>
      <w:r w:rsidR="007948CB" w:rsidRPr="00C12279">
        <w:rPr>
          <w:rFonts w:ascii="Times New Roman" w:hAnsi="Times New Roman" w:cs="Times New Roman"/>
          <w:i/>
          <w:sz w:val="24"/>
          <w:szCs w:val="24"/>
        </w:rPr>
        <w:t>Edgars</w:t>
      </w:r>
      <w:r w:rsidR="007948CB" w:rsidRPr="00C12279">
        <w:rPr>
          <w:rFonts w:ascii="Times New Roman" w:hAnsi="Times New Roman" w:cs="Times New Roman"/>
          <w:sz w:val="24"/>
          <w:szCs w:val="24"/>
        </w:rPr>
        <w:t xml:space="preserve"> case the obligation to pay rental was </w:t>
      </w:r>
      <w:r w:rsidR="007F4082" w:rsidRPr="00C12279">
        <w:rPr>
          <w:rFonts w:ascii="Times New Roman" w:hAnsi="Times New Roman" w:cs="Times New Roman"/>
          <w:sz w:val="24"/>
          <w:szCs w:val="24"/>
        </w:rPr>
        <w:t xml:space="preserve">found to be </w:t>
      </w:r>
      <w:r w:rsidR="007948CB" w:rsidRPr="00C12279">
        <w:rPr>
          <w:rFonts w:ascii="Times New Roman" w:hAnsi="Times New Roman" w:cs="Times New Roman"/>
          <w:sz w:val="24"/>
          <w:szCs w:val="24"/>
        </w:rPr>
        <w:t xml:space="preserve">contingent upon the determination of turnover at the end of the lease period in the subsequent year </w:t>
      </w:r>
      <w:r w:rsidR="007F4082" w:rsidRPr="00C12279">
        <w:rPr>
          <w:rFonts w:ascii="Times New Roman" w:hAnsi="Times New Roman" w:cs="Times New Roman"/>
          <w:sz w:val="24"/>
          <w:szCs w:val="24"/>
        </w:rPr>
        <w:t xml:space="preserve">and </w:t>
      </w:r>
      <w:r w:rsidR="002B05DF" w:rsidRPr="00C12279">
        <w:rPr>
          <w:rFonts w:ascii="Times New Roman" w:hAnsi="Times New Roman" w:cs="Times New Roman"/>
          <w:sz w:val="24"/>
          <w:szCs w:val="24"/>
        </w:rPr>
        <w:t xml:space="preserve">was </w:t>
      </w:r>
      <w:r w:rsidR="007F4082" w:rsidRPr="00C12279">
        <w:rPr>
          <w:rFonts w:ascii="Times New Roman" w:hAnsi="Times New Roman" w:cs="Times New Roman"/>
          <w:sz w:val="24"/>
          <w:szCs w:val="24"/>
        </w:rPr>
        <w:t>not an unconditional obligation the quantification</w:t>
      </w:r>
      <w:r w:rsidR="007948CB" w:rsidRPr="00C12279">
        <w:rPr>
          <w:rFonts w:ascii="Times New Roman" w:hAnsi="Times New Roman" w:cs="Times New Roman"/>
          <w:sz w:val="24"/>
          <w:szCs w:val="24"/>
        </w:rPr>
        <w:t xml:space="preserve"> of which took place at the end of the lease</w:t>
      </w:r>
      <w:r w:rsidR="007F4082" w:rsidRPr="00C12279">
        <w:rPr>
          <w:rFonts w:ascii="Times New Roman" w:hAnsi="Times New Roman" w:cs="Times New Roman"/>
          <w:sz w:val="24"/>
          <w:szCs w:val="24"/>
        </w:rPr>
        <w:t xml:space="preserve"> period</w:t>
      </w:r>
      <w:r w:rsidR="007948CB" w:rsidRPr="00C12279">
        <w:rPr>
          <w:rFonts w:ascii="Times New Roman" w:hAnsi="Times New Roman" w:cs="Times New Roman"/>
          <w:sz w:val="24"/>
          <w:szCs w:val="24"/>
        </w:rPr>
        <w:t xml:space="preserve">. The condition to pay </w:t>
      </w:r>
      <w:r w:rsidR="007F4082" w:rsidRPr="00C12279">
        <w:rPr>
          <w:rFonts w:ascii="Times New Roman" w:hAnsi="Times New Roman" w:cs="Times New Roman"/>
          <w:sz w:val="24"/>
          <w:szCs w:val="24"/>
        </w:rPr>
        <w:t xml:space="preserve">rental based on the </w:t>
      </w:r>
      <w:r w:rsidR="007948CB" w:rsidRPr="00C12279">
        <w:rPr>
          <w:rFonts w:ascii="Times New Roman" w:hAnsi="Times New Roman" w:cs="Times New Roman"/>
          <w:sz w:val="24"/>
          <w:szCs w:val="24"/>
        </w:rPr>
        <w:t xml:space="preserve">turnover </w:t>
      </w:r>
      <w:r w:rsidR="007F4082" w:rsidRPr="00C12279">
        <w:rPr>
          <w:rFonts w:ascii="Times New Roman" w:hAnsi="Times New Roman" w:cs="Times New Roman"/>
          <w:sz w:val="24"/>
          <w:szCs w:val="24"/>
        </w:rPr>
        <w:t>that was only quantifiable at the end of the lease period</w:t>
      </w:r>
      <w:r w:rsidR="007948CB" w:rsidRPr="00C12279">
        <w:rPr>
          <w:rFonts w:ascii="Times New Roman" w:hAnsi="Times New Roman" w:cs="Times New Roman"/>
          <w:sz w:val="24"/>
          <w:szCs w:val="24"/>
        </w:rPr>
        <w:t xml:space="preserve"> was contingent upon the computation exceeding the basic rental paid</w:t>
      </w:r>
      <w:r w:rsidR="007F4082" w:rsidRPr="00C12279">
        <w:rPr>
          <w:rFonts w:ascii="Times New Roman" w:hAnsi="Times New Roman" w:cs="Times New Roman"/>
          <w:sz w:val="24"/>
          <w:szCs w:val="24"/>
        </w:rPr>
        <w:t xml:space="preserve">, a position that could only be ascertained in the subsequent tax year. </w:t>
      </w:r>
      <w:r w:rsidR="008A115A" w:rsidRPr="00C12279">
        <w:rPr>
          <w:rFonts w:ascii="Times New Roman" w:hAnsi="Times New Roman" w:cs="Times New Roman"/>
          <w:sz w:val="24"/>
          <w:szCs w:val="24"/>
        </w:rPr>
        <w:t>The unconditional liability would thus be incurred only after the determination had been made that the turnover rental exceeded the basic rental. The concession by the Commissioner to apportion the turnover rental monthly was held to be contrary to principle.</w:t>
      </w:r>
    </w:p>
    <w:p w14:paraId="1458E047" w14:textId="14D76D62" w:rsidR="007948CB" w:rsidRPr="00C12279" w:rsidRDefault="00BB259B" w:rsidP="00DC3656">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w:t>
      </w:r>
      <w:r w:rsidRPr="00C12279">
        <w:rPr>
          <w:rFonts w:ascii="Times New Roman" w:hAnsi="Times New Roman" w:cs="Times New Roman"/>
          <w:i/>
          <w:sz w:val="24"/>
          <w:szCs w:val="24"/>
        </w:rPr>
        <w:t>ITC 1495</w:t>
      </w:r>
      <w:r w:rsidRPr="00C12279">
        <w:rPr>
          <w:rFonts w:ascii="Times New Roman" w:hAnsi="Times New Roman" w:cs="Times New Roman"/>
          <w:sz w:val="24"/>
          <w:szCs w:val="24"/>
        </w:rPr>
        <w:t xml:space="preserve"> (1991) 53 SATC 216 (T), where the employee was entitled to </w:t>
      </w:r>
      <w:r w:rsidR="00BD0253" w:rsidRPr="00C12279">
        <w:rPr>
          <w:rFonts w:ascii="Times New Roman" w:hAnsi="Times New Roman" w:cs="Times New Roman"/>
          <w:sz w:val="24"/>
          <w:szCs w:val="24"/>
        </w:rPr>
        <w:t xml:space="preserve">take mandatory leave </w:t>
      </w:r>
      <w:r w:rsidRPr="00C12279">
        <w:rPr>
          <w:rFonts w:ascii="Times New Roman" w:hAnsi="Times New Roman" w:cs="Times New Roman"/>
          <w:sz w:val="24"/>
          <w:szCs w:val="24"/>
        </w:rPr>
        <w:t>after working for a fixed period</w:t>
      </w:r>
      <w:r w:rsidR="00BD0253" w:rsidRPr="00C12279">
        <w:rPr>
          <w:rFonts w:ascii="Times New Roman" w:hAnsi="Times New Roman" w:cs="Times New Roman"/>
          <w:sz w:val="24"/>
          <w:szCs w:val="24"/>
        </w:rPr>
        <w:t xml:space="preserve"> failing which he would forfeit the accumulated leave and the e</w:t>
      </w:r>
      <w:r w:rsidRPr="00C12279">
        <w:rPr>
          <w:rFonts w:ascii="Times New Roman" w:hAnsi="Times New Roman" w:cs="Times New Roman"/>
          <w:sz w:val="24"/>
          <w:szCs w:val="24"/>
        </w:rPr>
        <w:t xml:space="preserve">mployer </w:t>
      </w:r>
      <w:r w:rsidR="00BD0253" w:rsidRPr="00C12279">
        <w:rPr>
          <w:rFonts w:ascii="Times New Roman" w:hAnsi="Times New Roman" w:cs="Times New Roman"/>
          <w:sz w:val="24"/>
          <w:szCs w:val="24"/>
        </w:rPr>
        <w:t>did n</w:t>
      </w:r>
      <w:r w:rsidRPr="00C12279">
        <w:rPr>
          <w:rFonts w:ascii="Times New Roman" w:hAnsi="Times New Roman" w:cs="Times New Roman"/>
          <w:sz w:val="24"/>
          <w:szCs w:val="24"/>
        </w:rPr>
        <w:t>o</w:t>
      </w:r>
      <w:r w:rsidR="00BD0253" w:rsidRPr="00C12279">
        <w:rPr>
          <w:rFonts w:ascii="Times New Roman" w:hAnsi="Times New Roman" w:cs="Times New Roman"/>
          <w:sz w:val="24"/>
          <w:szCs w:val="24"/>
        </w:rPr>
        <w:t>t have any o</w:t>
      </w:r>
      <w:r w:rsidRPr="00C12279">
        <w:rPr>
          <w:rFonts w:ascii="Times New Roman" w:hAnsi="Times New Roman" w:cs="Times New Roman"/>
          <w:sz w:val="24"/>
          <w:szCs w:val="24"/>
        </w:rPr>
        <w:t>blig</w:t>
      </w:r>
      <w:r w:rsidR="00BD0253" w:rsidRPr="00C12279">
        <w:rPr>
          <w:rFonts w:ascii="Times New Roman" w:hAnsi="Times New Roman" w:cs="Times New Roman"/>
          <w:sz w:val="24"/>
          <w:szCs w:val="24"/>
        </w:rPr>
        <w:t xml:space="preserve">ation </w:t>
      </w:r>
      <w:r w:rsidRPr="00C12279">
        <w:rPr>
          <w:rFonts w:ascii="Times New Roman" w:hAnsi="Times New Roman" w:cs="Times New Roman"/>
          <w:sz w:val="24"/>
          <w:szCs w:val="24"/>
        </w:rPr>
        <w:t>to pay cash in lieu of leave</w:t>
      </w:r>
      <w:r w:rsidR="007948CB" w:rsidRPr="00C12279">
        <w:rPr>
          <w:rFonts w:ascii="Times New Roman" w:hAnsi="Times New Roman" w:cs="Times New Roman"/>
          <w:sz w:val="24"/>
          <w:szCs w:val="24"/>
        </w:rPr>
        <w:t xml:space="preserve"> </w:t>
      </w:r>
      <w:r w:rsidR="00BD0253" w:rsidRPr="00C12279">
        <w:rPr>
          <w:rFonts w:ascii="Times New Roman" w:hAnsi="Times New Roman" w:cs="Times New Roman"/>
          <w:sz w:val="24"/>
          <w:szCs w:val="24"/>
        </w:rPr>
        <w:t xml:space="preserve">other than in respect of any accrued leave days on death or retirement, it was held that the provisions made for the accrued </w:t>
      </w:r>
      <w:r w:rsidR="00D21073" w:rsidRPr="00C12279">
        <w:rPr>
          <w:rFonts w:ascii="Times New Roman" w:hAnsi="Times New Roman" w:cs="Times New Roman"/>
          <w:sz w:val="24"/>
          <w:szCs w:val="24"/>
        </w:rPr>
        <w:t>leave days on death</w:t>
      </w:r>
      <w:r w:rsidR="00BD0253" w:rsidRPr="00C12279">
        <w:rPr>
          <w:rFonts w:ascii="Times New Roman" w:hAnsi="Times New Roman" w:cs="Times New Roman"/>
          <w:sz w:val="24"/>
          <w:szCs w:val="24"/>
        </w:rPr>
        <w:t xml:space="preserve"> or retirement could not be deducted in the tax year in which they were provided for because they were contingent on the happening of an uncertain event. </w:t>
      </w:r>
      <w:r w:rsidR="00D21073" w:rsidRPr="00C12279">
        <w:rPr>
          <w:rFonts w:ascii="Times New Roman" w:hAnsi="Times New Roman" w:cs="Times New Roman"/>
          <w:sz w:val="24"/>
          <w:szCs w:val="24"/>
        </w:rPr>
        <w:t xml:space="preserve">In other words, it was held that the unconditional liability to pay for such days was only incurred on death or retirement. </w:t>
      </w:r>
    </w:p>
    <w:p w14:paraId="07D30BAF" w14:textId="205E608E" w:rsidR="00F54D8C" w:rsidRPr="00C12279" w:rsidRDefault="00F54D8C" w:rsidP="007370F3">
      <w:pPr>
        <w:jc w:val="both"/>
        <w:rPr>
          <w:rFonts w:ascii="Times New Roman" w:hAnsi="Times New Roman" w:cs="Times New Roman"/>
          <w:b/>
          <w:sz w:val="24"/>
          <w:szCs w:val="24"/>
        </w:rPr>
      </w:pPr>
      <w:r w:rsidRPr="00C12279">
        <w:rPr>
          <w:rFonts w:ascii="Times New Roman" w:hAnsi="Times New Roman" w:cs="Times New Roman"/>
          <w:b/>
          <w:sz w:val="24"/>
          <w:szCs w:val="24"/>
        </w:rPr>
        <w:lastRenderedPageBreak/>
        <w:t>The principles derived from case law</w:t>
      </w:r>
    </w:p>
    <w:p w14:paraId="5FAAF895" w14:textId="2CD06D12" w:rsidR="00F54D8C" w:rsidRPr="00C12279" w:rsidRDefault="00F54D8C" w:rsidP="00DC3656">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seems to </w:t>
      </w:r>
      <w:r w:rsidR="004A02A5">
        <w:rPr>
          <w:rFonts w:ascii="Times New Roman" w:hAnsi="Times New Roman" w:cs="Times New Roman"/>
          <w:sz w:val="24"/>
          <w:szCs w:val="24"/>
        </w:rPr>
        <w:t>me that the principles that</w:t>
      </w:r>
      <w:r w:rsidRPr="00C12279">
        <w:rPr>
          <w:rFonts w:ascii="Times New Roman" w:hAnsi="Times New Roman" w:cs="Times New Roman"/>
          <w:sz w:val="24"/>
          <w:szCs w:val="24"/>
        </w:rPr>
        <w:t xml:space="preserve"> emerge from the above cases are tha</w:t>
      </w:r>
      <w:r w:rsidR="0006340C" w:rsidRPr="00C12279">
        <w:rPr>
          <w:rFonts w:ascii="Times New Roman" w:hAnsi="Times New Roman" w:cs="Times New Roman"/>
          <w:sz w:val="24"/>
          <w:szCs w:val="24"/>
        </w:rPr>
        <w:t>t where by virtue of a</w:t>
      </w:r>
      <w:r w:rsidRPr="00C12279">
        <w:rPr>
          <w:rFonts w:ascii="Times New Roman" w:hAnsi="Times New Roman" w:cs="Times New Roman"/>
          <w:sz w:val="24"/>
          <w:szCs w:val="24"/>
        </w:rPr>
        <w:t xml:space="preserve"> statuto</w:t>
      </w:r>
      <w:r w:rsidR="00384337" w:rsidRPr="00C12279">
        <w:rPr>
          <w:rFonts w:ascii="Times New Roman" w:hAnsi="Times New Roman" w:cs="Times New Roman"/>
          <w:sz w:val="24"/>
          <w:szCs w:val="24"/>
        </w:rPr>
        <w:t xml:space="preserve">ry or contractual provision the </w:t>
      </w:r>
      <w:r w:rsidR="0006340C" w:rsidRPr="00C12279">
        <w:rPr>
          <w:rFonts w:ascii="Times New Roman" w:hAnsi="Times New Roman" w:cs="Times New Roman"/>
          <w:sz w:val="24"/>
          <w:szCs w:val="24"/>
        </w:rPr>
        <w:t xml:space="preserve">employer is required to pay an </w:t>
      </w:r>
      <w:r w:rsidRPr="00C12279">
        <w:rPr>
          <w:rFonts w:ascii="Times New Roman" w:hAnsi="Times New Roman" w:cs="Times New Roman"/>
          <w:sz w:val="24"/>
          <w:szCs w:val="24"/>
        </w:rPr>
        <w:t>employee cash in lieu of leave</w:t>
      </w:r>
      <w:r w:rsidR="0006340C" w:rsidRPr="00C12279">
        <w:rPr>
          <w:rFonts w:ascii="Times New Roman" w:hAnsi="Times New Roman" w:cs="Times New Roman"/>
          <w:sz w:val="24"/>
          <w:szCs w:val="24"/>
        </w:rPr>
        <w:t>, which leave</w:t>
      </w:r>
      <w:r w:rsidRPr="00C12279">
        <w:rPr>
          <w:rFonts w:ascii="Times New Roman" w:hAnsi="Times New Roman" w:cs="Times New Roman"/>
          <w:sz w:val="24"/>
          <w:szCs w:val="24"/>
        </w:rPr>
        <w:t xml:space="preserve"> ac</w:t>
      </w:r>
      <w:r w:rsidR="00384337" w:rsidRPr="00C12279">
        <w:rPr>
          <w:rFonts w:ascii="Times New Roman" w:hAnsi="Times New Roman" w:cs="Times New Roman"/>
          <w:sz w:val="24"/>
          <w:szCs w:val="24"/>
        </w:rPr>
        <w:t xml:space="preserve">crued in the year of assessment </w:t>
      </w:r>
      <w:r w:rsidR="0006340C" w:rsidRPr="00C12279">
        <w:rPr>
          <w:rFonts w:ascii="Times New Roman" w:hAnsi="Times New Roman" w:cs="Times New Roman"/>
          <w:sz w:val="24"/>
          <w:szCs w:val="24"/>
        </w:rPr>
        <w:t xml:space="preserve">but is </w:t>
      </w:r>
      <w:r w:rsidR="00384337" w:rsidRPr="00C12279">
        <w:rPr>
          <w:rFonts w:ascii="Times New Roman" w:hAnsi="Times New Roman" w:cs="Times New Roman"/>
          <w:sz w:val="24"/>
          <w:szCs w:val="24"/>
        </w:rPr>
        <w:t xml:space="preserve">due in the subsequent year </w:t>
      </w:r>
      <w:r w:rsidR="00E83B96" w:rsidRPr="00C12279">
        <w:rPr>
          <w:rFonts w:ascii="Times New Roman" w:hAnsi="Times New Roman" w:cs="Times New Roman"/>
          <w:sz w:val="24"/>
          <w:szCs w:val="24"/>
        </w:rPr>
        <w:t xml:space="preserve">and the application for encashment is made and approved in </w:t>
      </w:r>
      <w:r w:rsidR="0006340C" w:rsidRPr="00C12279">
        <w:rPr>
          <w:rFonts w:ascii="Times New Roman" w:hAnsi="Times New Roman" w:cs="Times New Roman"/>
          <w:sz w:val="24"/>
          <w:szCs w:val="24"/>
        </w:rPr>
        <w:t xml:space="preserve">the </w:t>
      </w:r>
      <w:r w:rsidR="00E83B96" w:rsidRPr="00C12279">
        <w:rPr>
          <w:rFonts w:ascii="Times New Roman" w:hAnsi="Times New Roman" w:cs="Times New Roman"/>
          <w:sz w:val="24"/>
          <w:szCs w:val="24"/>
        </w:rPr>
        <w:t>year</w:t>
      </w:r>
      <w:r w:rsidR="0006340C" w:rsidRPr="00C12279">
        <w:rPr>
          <w:rFonts w:ascii="Times New Roman" w:hAnsi="Times New Roman" w:cs="Times New Roman"/>
          <w:sz w:val="24"/>
          <w:szCs w:val="24"/>
        </w:rPr>
        <w:t xml:space="preserve"> of assessment</w:t>
      </w:r>
      <w:r w:rsidR="00E83B96" w:rsidRPr="00C12279">
        <w:rPr>
          <w:rFonts w:ascii="Times New Roman" w:hAnsi="Times New Roman" w:cs="Times New Roman"/>
          <w:sz w:val="24"/>
          <w:szCs w:val="24"/>
        </w:rPr>
        <w:t>, the liability to pay is incurred in th</w:t>
      </w:r>
      <w:r w:rsidR="0006340C" w:rsidRPr="00C12279">
        <w:rPr>
          <w:rFonts w:ascii="Times New Roman" w:hAnsi="Times New Roman" w:cs="Times New Roman"/>
          <w:sz w:val="24"/>
          <w:szCs w:val="24"/>
        </w:rPr>
        <w:t>at</w:t>
      </w:r>
      <w:r w:rsidR="00E83B96" w:rsidRPr="00C12279">
        <w:rPr>
          <w:rFonts w:ascii="Times New Roman" w:hAnsi="Times New Roman" w:cs="Times New Roman"/>
          <w:sz w:val="24"/>
          <w:szCs w:val="24"/>
        </w:rPr>
        <w:t xml:space="preserve"> year of assessment. However, where application is made in the year of assessment and approved in the following year or where both the application and </w:t>
      </w:r>
      <w:r w:rsidR="00EE43A1" w:rsidRPr="00C12279">
        <w:rPr>
          <w:rFonts w:ascii="Times New Roman" w:hAnsi="Times New Roman" w:cs="Times New Roman"/>
          <w:sz w:val="24"/>
          <w:szCs w:val="24"/>
        </w:rPr>
        <w:t xml:space="preserve">the approval </w:t>
      </w:r>
      <w:r w:rsidR="0006340C" w:rsidRPr="00C12279">
        <w:rPr>
          <w:rFonts w:ascii="Times New Roman" w:hAnsi="Times New Roman" w:cs="Times New Roman"/>
          <w:sz w:val="24"/>
          <w:szCs w:val="24"/>
        </w:rPr>
        <w:t>are made</w:t>
      </w:r>
      <w:r w:rsidR="00EE43A1" w:rsidRPr="00C12279">
        <w:rPr>
          <w:rFonts w:ascii="Times New Roman" w:hAnsi="Times New Roman" w:cs="Times New Roman"/>
          <w:sz w:val="24"/>
          <w:szCs w:val="24"/>
        </w:rPr>
        <w:t xml:space="preserve"> in the subsequent year, then  the liability to pay is incurred in that subsequent</w:t>
      </w:r>
      <w:r w:rsidR="00E83B96" w:rsidRPr="00C12279">
        <w:rPr>
          <w:rFonts w:ascii="Times New Roman" w:hAnsi="Times New Roman" w:cs="Times New Roman"/>
          <w:sz w:val="24"/>
          <w:szCs w:val="24"/>
        </w:rPr>
        <w:t xml:space="preserve"> year.</w:t>
      </w:r>
      <w:r w:rsidRPr="00C12279">
        <w:rPr>
          <w:rFonts w:ascii="Times New Roman" w:hAnsi="Times New Roman" w:cs="Times New Roman"/>
          <w:sz w:val="24"/>
          <w:szCs w:val="24"/>
        </w:rPr>
        <w:t xml:space="preserve">   </w:t>
      </w:r>
    </w:p>
    <w:p w14:paraId="49AA8402" w14:textId="3C4BD347" w:rsidR="00C947E7" w:rsidRPr="00C12279" w:rsidRDefault="00DE48B6" w:rsidP="007370F3">
      <w:pPr>
        <w:jc w:val="both"/>
        <w:rPr>
          <w:rFonts w:ascii="Times New Roman" w:hAnsi="Times New Roman" w:cs="Times New Roman"/>
          <w:b/>
          <w:sz w:val="24"/>
          <w:szCs w:val="24"/>
        </w:rPr>
      </w:pPr>
      <w:r w:rsidRPr="00C12279">
        <w:rPr>
          <w:rFonts w:ascii="Times New Roman" w:hAnsi="Times New Roman" w:cs="Times New Roman"/>
          <w:b/>
          <w:sz w:val="24"/>
          <w:szCs w:val="24"/>
        </w:rPr>
        <w:t>The facts on leave pay</w:t>
      </w:r>
    </w:p>
    <w:p w14:paraId="72EEBA97" w14:textId="09D032A7" w:rsidR="00CB641F" w:rsidRPr="00C12279" w:rsidRDefault="00E55288" w:rsidP="00DC3656">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managing director stated that in 2007 and 2008 the appellant </w:t>
      </w:r>
      <w:r w:rsidR="00D42BCC" w:rsidRPr="00C12279">
        <w:rPr>
          <w:rFonts w:ascii="Times New Roman" w:hAnsi="Times New Roman" w:cs="Times New Roman"/>
          <w:sz w:val="24"/>
          <w:szCs w:val="24"/>
        </w:rPr>
        <w:t xml:space="preserve">used the same method to claim </w:t>
      </w:r>
      <w:r w:rsidRPr="00C12279">
        <w:rPr>
          <w:rFonts w:ascii="Times New Roman" w:hAnsi="Times New Roman" w:cs="Times New Roman"/>
          <w:sz w:val="24"/>
          <w:szCs w:val="24"/>
        </w:rPr>
        <w:t xml:space="preserve">provisions as it did in each of the four years and they were not disallowed.  </w:t>
      </w:r>
      <w:r w:rsidR="00FD0194" w:rsidRPr="00C12279">
        <w:rPr>
          <w:rFonts w:ascii="Times New Roman" w:hAnsi="Times New Roman" w:cs="Times New Roman"/>
          <w:sz w:val="24"/>
          <w:szCs w:val="24"/>
        </w:rPr>
        <w:t>In</w:t>
      </w:r>
      <w:r w:rsidR="00494C0E" w:rsidRPr="00C12279">
        <w:rPr>
          <w:rFonts w:ascii="Times New Roman" w:hAnsi="Times New Roman" w:cs="Times New Roman"/>
          <w:sz w:val="24"/>
          <w:szCs w:val="24"/>
        </w:rPr>
        <w:t xml:space="preserve"> the tax periods under review, the appellant had 20 employees</w:t>
      </w:r>
      <w:r w:rsidR="00DE48B6" w:rsidRPr="00C12279">
        <w:rPr>
          <w:rStyle w:val="FootnoteReference"/>
          <w:rFonts w:ascii="Times New Roman" w:hAnsi="Times New Roman" w:cs="Times New Roman"/>
          <w:sz w:val="24"/>
          <w:szCs w:val="24"/>
        </w:rPr>
        <w:footnoteReference w:id="50"/>
      </w:r>
      <w:r w:rsidR="00494C0E" w:rsidRPr="00C12279">
        <w:rPr>
          <w:rFonts w:ascii="Times New Roman" w:hAnsi="Times New Roman" w:cs="Times New Roman"/>
          <w:sz w:val="24"/>
          <w:szCs w:val="24"/>
        </w:rPr>
        <w:t xml:space="preserve"> in the administrative, reception, ma</w:t>
      </w:r>
      <w:r w:rsidR="00171E6C" w:rsidRPr="00C12279">
        <w:rPr>
          <w:rFonts w:ascii="Times New Roman" w:hAnsi="Times New Roman" w:cs="Times New Roman"/>
          <w:sz w:val="24"/>
          <w:szCs w:val="24"/>
        </w:rPr>
        <w:t>nagerial, sales, parts, finance</w:t>
      </w:r>
      <w:r w:rsidR="00494C0E" w:rsidRPr="00C12279">
        <w:rPr>
          <w:rFonts w:ascii="Times New Roman" w:hAnsi="Times New Roman" w:cs="Times New Roman"/>
          <w:sz w:val="24"/>
          <w:szCs w:val="24"/>
        </w:rPr>
        <w:t xml:space="preserve"> </w:t>
      </w:r>
      <w:r w:rsidR="00FD0194" w:rsidRPr="00C12279">
        <w:rPr>
          <w:rFonts w:ascii="Times New Roman" w:hAnsi="Times New Roman" w:cs="Times New Roman"/>
          <w:sz w:val="24"/>
          <w:szCs w:val="24"/>
        </w:rPr>
        <w:t>and logistics</w:t>
      </w:r>
      <w:r w:rsidR="00494C0E" w:rsidRPr="00C12279">
        <w:rPr>
          <w:rFonts w:ascii="Times New Roman" w:hAnsi="Times New Roman" w:cs="Times New Roman"/>
          <w:sz w:val="24"/>
          <w:szCs w:val="24"/>
        </w:rPr>
        <w:t xml:space="preserve"> </w:t>
      </w:r>
      <w:r w:rsidR="00171E6C" w:rsidRPr="00C12279">
        <w:rPr>
          <w:rFonts w:ascii="Times New Roman" w:hAnsi="Times New Roman" w:cs="Times New Roman"/>
          <w:sz w:val="24"/>
          <w:szCs w:val="24"/>
        </w:rPr>
        <w:t xml:space="preserve">and </w:t>
      </w:r>
      <w:r w:rsidR="00494C0E" w:rsidRPr="00C12279">
        <w:rPr>
          <w:rFonts w:ascii="Times New Roman" w:hAnsi="Times New Roman" w:cs="Times New Roman"/>
          <w:sz w:val="24"/>
          <w:szCs w:val="24"/>
        </w:rPr>
        <w:t xml:space="preserve">drivers divisions. </w:t>
      </w:r>
      <w:r w:rsidR="002E2F7C" w:rsidRPr="00C12279">
        <w:rPr>
          <w:rFonts w:ascii="Times New Roman" w:hAnsi="Times New Roman" w:cs="Times New Roman"/>
          <w:sz w:val="24"/>
          <w:szCs w:val="24"/>
        </w:rPr>
        <w:t xml:space="preserve">A sample contract of a bookkeeper </w:t>
      </w:r>
      <w:r w:rsidR="008118AD" w:rsidRPr="00C12279">
        <w:rPr>
          <w:rFonts w:ascii="Times New Roman" w:hAnsi="Times New Roman" w:cs="Times New Roman"/>
          <w:sz w:val="24"/>
          <w:szCs w:val="24"/>
        </w:rPr>
        <w:t xml:space="preserve">dated 3 May 2011 </w:t>
      </w:r>
      <w:r w:rsidR="002E2F7C" w:rsidRPr="00C12279">
        <w:rPr>
          <w:rFonts w:ascii="Times New Roman" w:hAnsi="Times New Roman" w:cs="Times New Roman"/>
          <w:sz w:val="24"/>
          <w:szCs w:val="24"/>
        </w:rPr>
        <w:t xml:space="preserve">was </w:t>
      </w:r>
      <w:r w:rsidR="00BD0FEB" w:rsidRPr="00C12279">
        <w:rPr>
          <w:rFonts w:ascii="Times New Roman" w:hAnsi="Times New Roman" w:cs="Times New Roman"/>
          <w:sz w:val="24"/>
          <w:szCs w:val="24"/>
        </w:rPr>
        <w:t>produced on p 110 -112 of exh 4</w:t>
      </w:r>
      <w:r w:rsidR="00DC3656">
        <w:rPr>
          <w:rFonts w:ascii="Times New Roman" w:hAnsi="Times New Roman" w:cs="Times New Roman"/>
          <w:sz w:val="24"/>
          <w:szCs w:val="24"/>
        </w:rPr>
        <w:t>.</w:t>
      </w:r>
      <w:r w:rsidR="00BD0FEB" w:rsidRPr="00C12279">
        <w:rPr>
          <w:rFonts w:ascii="Times New Roman" w:hAnsi="Times New Roman" w:cs="Times New Roman"/>
          <w:sz w:val="24"/>
          <w:szCs w:val="24"/>
        </w:rPr>
        <w:t xml:space="preserve"> In regards to annual leave para 9.1 states</w:t>
      </w:r>
      <w:r w:rsidR="00CB641F" w:rsidRPr="00C12279">
        <w:rPr>
          <w:rFonts w:ascii="Times New Roman" w:hAnsi="Times New Roman" w:cs="Times New Roman"/>
          <w:sz w:val="24"/>
          <w:szCs w:val="24"/>
        </w:rPr>
        <w:t>:</w:t>
      </w:r>
    </w:p>
    <w:p w14:paraId="61406506" w14:textId="3F03F18E" w:rsidR="008118AD" w:rsidRPr="00C12279" w:rsidRDefault="00CB641F" w:rsidP="00354E3A">
      <w:pPr>
        <w:spacing w:line="240" w:lineRule="auto"/>
        <w:ind w:left="720"/>
        <w:jc w:val="both"/>
        <w:rPr>
          <w:rFonts w:ascii="Times New Roman" w:hAnsi="Times New Roman" w:cs="Times New Roman"/>
          <w:sz w:val="24"/>
          <w:szCs w:val="24"/>
        </w:rPr>
      </w:pPr>
      <w:r w:rsidRPr="00C12279">
        <w:rPr>
          <w:rFonts w:ascii="Times New Roman" w:hAnsi="Times New Roman" w:cs="Times New Roman"/>
          <w:sz w:val="24"/>
          <w:szCs w:val="24"/>
        </w:rPr>
        <w:t>“</w:t>
      </w:r>
      <w:r w:rsidR="00354E3A" w:rsidRPr="00354E3A">
        <w:rPr>
          <w:rFonts w:ascii="Times New Roman" w:hAnsi="Times New Roman" w:cs="Times New Roman"/>
        </w:rPr>
        <w:t>your annual leave will be calculated as follows:-annual leave 22 working days, you may accumulate leave up to a maximum of twice your annual leave entitlement.</w:t>
      </w:r>
      <w:r w:rsidR="00AD6517">
        <w:rPr>
          <w:rFonts w:ascii="Times New Roman" w:hAnsi="Times New Roman" w:cs="Times New Roman"/>
        </w:rPr>
        <w:t xml:space="preserve"> T</w:t>
      </w:r>
      <w:r w:rsidR="00354E3A" w:rsidRPr="00354E3A">
        <w:rPr>
          <w:rFonts w:ascii="Times New Roman" w:hAnsi="Times New Roman" w:cs="Times New Roman"/>
        </w:rPr>
        <w:t xml:space="preserve">he company may require you to take your leave during the annual </w:t>
      </w:r>
      <w:r w:rsidR="001335C0">
        <w:rPr>
          <w:rFonts w:ascii="Times New Roman" w:hAnsi="Times New Roman" w:cs="Times New Roman"/>
        </w:rPr>
        <w:t>D</w:t>
      </w:r>
      <w:r w:rsidR="00354E3A" w:rsidRPr="00354E3A">
        <w:rPr>
          <w:rFonts w:ascii="Times New Roman" w:hAnsi="Times New Roman" w:cs="Times New Roman"/>
        </w:rPr>
        <w:t>ecember shutdown period. if you do not at that stage have any leave accruing to you or have insufficient leave accruing to you, then you will be required to choose between taking unpaid leave or accepting paid leave which will be off-set against leave that will accrue to you in the future (such leave will be termed advance paid leave).  if you should resign or your employment with the company be otherwise terminated before your advanced paid leave has been set-off, then you acknowledge and consent to the deduction or off-set against any moneys which may be owed to you by the company, of an amount equal to the salary paid on the days when the advance paid leave was taken for those days which have not been off-set against accrued leave</w:t>
      </w:r>
      <w:r w:rsidR="009E49EA" w:rsidRPr="00C12279">
        <w:rPr>
          <w:rFonts w:ascii="Times New Roman" w:hAnsi="Times New Roman" w:cs="Times New Roman"/>
          <w:sz w:val="24"/>
          <w:szCs w:val="24"/>
        </w:rPr>
        <w:t>.”</w:t>
      </w:r>
      <w:r w:rsidR="008118AD" w:rsidRPr="00C12279">
        <w:rPr>
          <w:rFonts w:ascii="Times New Roman" w:hAnsi="Times New Roman" w:cs="Times New Roman"/>
          <w:sz w:val="24"/>
          <w:szCs w:val="24"/>
        </w:rPr>
        <w:t xml:space="preserve"> </w:t>
      </w:r>
    </w:p>
    <w:p w14:paraId="564A129D" w14:textId="48775D1B" w:rsidR="0084062A" w:rsidRPr="00C12279" w:rsidRDefault="005F6815" w:rsidP="001335C0">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managing director stated </w:t>
      </w:r>
      <w:r w:rsidR="00D745D9" w:rsidRPr="00C12279">
        <w:rPr>
          <w:rFonts w:ascii="Times New Roman" w:hAnsi="Times New Roman" w:cs="Times New Roman"/>
          <w:sz w:val="24"/>
          <w:szCs w:val="24"/>
        </w:rPr>
        <w:t xml:space="preserve">both in his evidence in chief and under cross examination </w:t>
      </w:r>
      <w:r w:rsidRPr="00C12279">
        <w:rPr>
          <w:rFonts w:ascii="Times New Roman" w:hAnsi="Times New Roman" w:cs="Times New Roman"/>
          <w:sz w:val="24"/>
          <w:szCs w:val="24"/>
        </w:rPr>
        <w:t xml:space="preserve">that cash in lieu of leave was payable </w:t>
      </w:r>
      <w:r w:rsidR="000C0056" w:rsidRPr="00C12279">
        <w:rPr>
          <w:rFonts w:ascii="Times New Roman" w:hAnsi="Times New Roman" w:cs="Times New Roman"/>
          <w:sz w:val="24"/>
          <w:szCs w:val="24"/>
        </w:rPr>
        <w:t>based on request from the employee</w:t>
      </w:r>
      <w:r w:rsidRPr="00C12279">
        <w:rPr>
          <w:rFonts w:ascii="Times New Roman" w:hAnsi="Times New Roman" w:cs="Times New Roman"/>
          <w:sz w:val="24"/>
          <w:szCs w:val="24"/>
        </w:rPr>
        <w:t xml:space="preserve"> who had a right to such payment </w:t>
      </w:r>
      <w:r w:rsidR="00D42BCC" w:rsidRPr="00C12279">
        <w:rPr>
          <w:rFonts w:ascii="Times New Roman" w:hAnsi="Times New Roman" w:cs="Times New Roman"/>
          <w:sz w:val="24"/>
          <w:szCs w:val="24"/>
        </w:rPr>
        <w:t>and</w:t>
      </w:r>
      <w:r w:rsidRPr="00C12279">
        <w:rPr>
          <w:rFonts w:ascii="Times New Roman" w:hAnsi="Times New Roman" w:cs="Times New Roman"/>
          <w:sz w:val="24"/>
          <w:szCs w:val="24"/>
        </w:rPr>
        <w:t xml:space="preserve"> 95% of the employees took up that right. </w:t>
      </w:r>
      <w:r w:rsidR="000C0056" w:rsidRPr="00C12279">
        <w:rPr>
          <w:rFonts w:ascii="Times New Roman" w:hAnsi="Times New Roman" w:cs="Times New Roman"/>
          <w:sz w:val="24"/>
          <w:szCs w:val="24"/>
        </w:rPr>
        <w:t>However</w:t>
      </w:r>
      <w:r w:rsidR="007170F5" w:rsidRPr="00C12279">
        <w:rPr>
          <w:rFonts w:ascii="Times New Roman" w:hAnsi="Times New Roman" w:cs="Times New Roman"/>
          <w:sz w:val="24"/>
          <w:szCs w:val="24"/>
        </w:rPr>
        <w:t>,</w:t>
      </w:r>
      <w:r w:rsidR="000C0056" w:rsidRPr="00C12279">
        <w:rPr>
          <w:rFonts w:ascii="Times New Roman" w:hAnsi="Times New Roman" w:cs="Times New Roman"/>
          <w:sz w:val="24"/>
          <w:szCs w:val="24"/>
        </w:rPr>
        <w:t xml:space="preserve"> until the request was made and approved the appellant would not know whether the </w:t>
      </w:r>
      <w:r w:rsidR="00345CD4" w:rsidRPr="00C12279">
        <w:rPr>
          <w:rFonts w:ascii="Times New Roman" w:hAnsi="Times New Roman" w:cs="Times New Roman"/>
          <w:sz w:val="24"/>
          <w:szCs w:val="24"/>
        </w:rPr>
        <w:t xml:space="preserve">employee would seek encashment or </w:t>
      </w:r>
      <w:r w:rsidR="000C0056" w:rsidRPr="00C12279">
        <w:rPr>
          <w:rFonts w:ascii="Times New Roman" w:hAnsi="Times New Roman" w:cs="Times New Roman"/>
          <w:sz w:val="24"/>
          <w:szCs w:val="24"/>
        </w:rPr>
        <w:t xml:space="preserve">the number of days sought to be encashed and the amount. Any leave days over the maximum would be forfeited. </w:t>
      </w:r>
      <w:r w:rsidRPr="00C12279">
        <w:rPr>
          <w:rFonts w:ascii="Times New Roman" w:hAnsi="Times New Roman" w:cs="Times New Roman"/>
          <w:sz w:val="24"/>
          <w:szCs w:val="24"/>
        </w:rPr>
        <w:t>He could not say whether it was paid in the</w:t>
      </w:r>
      <w:r w:rsidR="000C0056" w:rsidRPr="00C12279">
        <w:rPr>
          <w:rFonts w:ascii="Times New Roman" w:hAnsi="Times New Roman" w:cs="Times New Roman"/>
          <w:sz w:val="24"/>
          <w:szCs w:val="24"/>
        </w:rPr>
        <w:t xml:space="preserve"> year the</w:t>
      </w:r>
      <w:r w:rsidRPr="00C12279">
        <w:rPr>
          <w:rFonts w:ascii="Times New Roman" w:hAnsi="Times New Roman" w:cs="Times New Roman"/>
          <w:sz w:val="24"/>
          <w:szCs w:val="24"/>
        </w:rPr>
        <w:t xml:space="preserve"> leave accumulat</w:t>
      </w:r>
      <w:r w:rsidR="00D42BCC" w:rsidRPr="00C12279">
        <w:rPr>
          <w:rFonts w:ascii="Times New Roman" w:hAnsi="Times New Roman" w:cs="Times New Roman"/>
          <w:sz w:val="24"/>
          <w:szCs w:val="24"/>
        </w:rPr>
        <w:t>ed or in the subsequent year but</w:t>
      </w:r>
      <w:r w:rsidRPr="00C12279">
        <w:rPr>
          <w:rFonts w:ascii="Times New Roman" w:hAnsi="Times New Roman" w:cs="Times New Roman"/>
          <w:sz w:val="24"/>
          <w:szCs w:val="24"/>
        </w:rPr>
        <w:t xml:space="preserve"> was content to aver that it was paid based </w:t>
      </w:r>
      <w:r w:rsidRPr="00C12279">
        <w:rPr>
          <w:rFonts w:ascii="Times New Roman" w:hAnsi="Times New Roman" w:cs="Times New Roman"/>
          <w:sz w:val="24"/>
          <w:szCs w:val="24"/>
        </w:rPr>
        <w:lastRenderedPageBreak/>
        <w:t xml:space="preserve">on accumulation of the days up to the two year maximum. </w:t>
      </w:r>
      <w:r w:rsidR="0084062A" w:rsidRPr="00C12279">
        <w:rPr>
          <w:rFonts w:ascii="Times New Roman" w:hAnsi="Times New Roman" w:cs="Times New Roman"/>
          <w:sz w:val="24"/>
          <w:szCs w:val="24"/>
        </w:rPr>
        <w:t xml:space="preserve">The chief investigations officer stated that while it was well and proper to make a provision for </w:t>
      </w:r>
      <w:r w:rsidR="00455E18" w:rsidRPr="00C12279">
        <w:rPr>
          <w:rFonts w:ascii="Times New Roman" w:hAnsi="Times New Roman" w:cs="Times New Roman"/>
          <w:sz w:val="24"/>
          <w:szCs w:val="24"/>
        </w:rPr>
        <w:t>prospective leave</w:t>
      </w:r>
      <w:r w:rsidR="0084062A" w:rsidRPr="00C12279">
        <w:rPr>
          <w:rFonts w:ascii="Times New Roman" w:hAnsi="Times New Roman" w:cs="Times New Roman"/>
          <w:sz w:val="24"/>
          <w:szCs w:val="24"/>
        </w:rPr>
        <w:t xml:space="preserve"> under the International Financial Reporting Standards</w:t>
      </w:r>
      <w:r w:rsidR="00455E18" w:rsidRPr="00C12279">
        <w:rPr>
          <w:rFonts w:ascii="Times New Roman" w:hAnsi="Times New Roman" w:cs="Times New Roman"/>
          <w:sz w:val="24"/>
          <w:szCs w:val="24"/>
        </w:rPr>
        <w:t xml:space="preserve"> for accounting purposes</w:t>
      </w:r>
      <w:r w:rsidR="0084062A" w:rsidRPr="00C12279">
        <w:rPr>
          <w:rFonts w:ascii="Times New Roman" w:hAnsi="Times New Roman" w:cs="Times New Roman"/>
          <w:sz w:val="24"/>
          <w:szCs w:val="24"/>
        </w:rPr>
        <w:t>,</w:t>
      </w:r>
      <w:r w:rsidR="00455E18" w:rsidRPr="00C12279">
        <w:rPr>
          <w:rFonts w:ascii="Times New Roman" w:hAnsi="Times New Roman" w:cs="Times New Roman"/>
          <w:sz w:val="24"/>
          <w:szCs w:val="24"/>
        </w:rPr>
        <w:t xml:space="preserve"> </w:t>
      </w:r>
      <w:r w:rsidR="0084062A" w:rsidRPr="00C12279">
        <w:rPr>
          <w:rFonts w:ascii="Times New Roman" w:hAnsi="Times New Roman" w:cs="Times New Roman"/>
          <w:sz w:val="24"/>
          <w:szCs w:val="24"/>
        </w:rPr>
        <w:t xml:space="preserve">such a provision </w:t>
      </w:r>
      <w:r w:rsidR="00455E18" w:rsidRPr="00C12279">
        <w:rPr>
          <w:rFonts w:ascii="Times New Roman" w:hAnsi="Times New Roman" w:cs="Times New Roman"/>
          <w:sz w:val="24"/>
          <w:szCs w:val="24"/>
        </w:rPr>
        <w:t>could not be claimed for income tax purposes before it was actually incurred for the purposes of trade or in the production of income. The obligation to pay the e</w:t>
      </w:r>
      <w:r w:rsidR="007170F5" w:rsidRPr="00C12279">
        <w:rPr>
          <w:rFonts w:ascii="Times New Roman" w:hAnsi="Times New Roman" w:cs="Times New Roman"/>
          <w:sz w:val="24"/>
          <w:szCs w:val="24"/>
        </w:rPr>
        <w:t xml:space="preserve">mployee arose when the employee’s application for the full or partially encashment of his leave entitlement was approved. </w:t>
      </w:r>
    </w:p>
    <w:p w14:paraId="5629C3CB" w14:textId="30E92320" w:rsidR="00272FFF" w:rsidRPr="00C12279" w:rsidRDefault="005E5AF4" w:rsidP="001335C0">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Mr de </w:t>
      </w:r>
      <w:r w:rsidRPr="00C12279">
        <w:rPr>
          <w:rFonts w:ascii="Times New Roman" w:hAnsi="Times New Roman" w:cs="Times New Roman"/>
          <w:i/>
          <w:sz w:val="24"/>
          <w:szCs w:val="24"/>
        </w:rPr>
        <w:t xml:space="preserve">Bourbon </w:t>
      </w:r>
      <w:r w:rsidRPr="00C12279">
        <w:rPr>
          <w:rFonts w:ascii="Times New Roman" w:hAnsi="Times New Roman" w:cs="Times New Roman"/>
          <w:sz w:val="24"/>
          <w:szCs w:val="24"/>
        </w:rPr>
        <w:t>argued that the appellant’s employees had an absolute legal right to convert</w:t>
      </w:r>
      <w:r w:rsidR="001A10DA" w:rsidRPr="00C12279">
        <w:rPr>
          <w:rFonts w:ascii="Times New Roman" w:hAnsi="Times New Roman" w:cs="Times New Roman"/>
          <w:sz w:val="24"/>
          <w:szCs w:val="24"/>
        </w:rPr>
        <w:t xml:space="preserve"> the leave days which </w:t>
      </w:r>
      <w:r w:rsidRPr="00C12279">
        <w:rPr>
          <w:rFonts w:ascii="Times New Roman" w:hAnsi="Times New Roman" w:cs="Times New Roman"/>
          <w:sz w:val="24"/>
          <w:szCs w:val="24"/>
        </w:rPr>
        <w:t xml:space="preserve">accrued </w:t>
      </w:r>
      <w:r w:rsidR="001A10DA" w:rsidRPr="00C12279">
        <w:rPr>
          <w:rFonts w:ascii="Times New Roman" w:hAnsi="Times New Roman" w:cs="Times New Roman"/>
          <w:sz w:val="24"/>
          <w:szCs w:val="24"/>
        </w:rPr>
        <w:t>in the course of the year of assessme</w:t>
      </w:r>
      <w:r w:rsidR="00345CD4" w:rsidRPr="00C12279">
        <w:rPr>
          <w:rFonts w:ascii="Times New Roman" w:hAnsi="Times New Roman" w:cs="Times New Roman"/>
          <w:sz w:val="24"/>
          <w:szCs w:val="24"/>
        </w:rPr>
        <w:t>nt</w:t>
      </w:r>
      <w:r w:rsidR="001A10DA" w:rsidRPr="00C12279">
        <w:rPr>
          <w:rFonts w:ascii="Times New Roman" w:hAnsi="Times New Roman" w:cs="Times New Roman"/>
          <w:sz w:val="24"/>
          <w:szCs w:val="24"/>
        </w:rPr>
        <w:t>. He further argued that t</w:t>
      </w:r>
      <w:r w:rsidRPr="00C12279">
        <w:rPr>
          <w:rFonts w:ascii="Times New Roman" w:hAnsi="Times New Roman" w:cs="Times New Roman"/>
          <w:sz w:val="24"/>
          <w:szCs w:val="24"/>
        </w:rPr>
        <w:t xml:space="preserve">he appellant accordingly incurred an absolute liability to pay for these leave days each time the days accrued even though actual payment </w:t>
      </w:r>
      <w:r w:rsidR="009872C4" w:rsidRPr="00C12279">
        <w:rPr>
          <w:rFonts w:ascii="Times New Roman" w:hAnsi="Times New Roman" w:cs="Times New Roman"/>
          <w:sz w:val="24"/>
          <w:szCs w:val="24"/>
        </w:rPr>
        <w:t>w</w:t>
      </w:r>
      <w:r w:rsidR="001A10DA" w:rsidRPr="00C12279">
        <w:rPr>
          <w:rFonts w:ascii="Times New Roman" w:hAnsi="Times New Roman" w:cs="Times New Roman"/>
          <w:sz w:val="24"/>
          <w:szCs w:val="24"/>
        </w:rPr>
        <w:t>as made in the following</w:t>
      </w:r>
      <w:r w:rsidR="009872C4" w:rsidRPr="00C12279">
        <w:rPr>
          <w:rFonts w:ascii="Times New Roman" w:hAnsi="Times New Roman" w:cs="Times New Roman"/>
          <w:sz w:val="24"/>
          <w:szCs w:val="24"/>
        </w:rPr>
        <w:t xml:space="preserve"> tax year. In other words, Mr </w:t>
      </w:r>
      <w:r w:rsidR="009872C4" w:rsidRPr="00C12279">
        <w:rPr>
          <w:rFonts w:ascii="Times New Roman" w:hAnsi="Times New Roman" w:cs="Times New Roman"/>
          <w:i/>
          <w:sz w:val="24"/>
          <w:szCs w:val="24"/>
        </w:rPr>
        <w:t>de Bourbon</w:t>
      </w:r>
      <w:r w:rsidR="001B1F72" w:rsidRPr="00C12279">
        <w:rPr>
          <w:rFonts w:ascii="Times New Roman" w:hAnsi="Times New Roman" w:cs="Times New Roman"/>
          <w:sz w:val="24"/>
          <w:szCs w:val="24"/>
        </w:rPr>
        <w:t xml:space="preserve"> contended</w:t>
      </w:r>
      <w:r w:rsidR="009872C4" w:rsidRPr="00C12279">
        <w:rPr>
          <w:rFonts w:ascii="Times New Roman" w:hAnsi="Times New Roman" w:cs="Times New Roman"/>
          <w:sz w:val="24"/>
          <w:szCs w:val="24"/>
        </w:rPr>
        <w:t xml:space="preserve"> that the employee had an absolute legal right t</w:t>
      </w:r>
      <w:r w:rsidR="00DF5E37" w:rsidRPr="00C12279">
        <w:rPr>
          <w:rFonts w:ascii="Times New Roman" w:hAnsi="Times New Roman" w:cs="Times New Roman"/>
          <w:sz w:val="24"/>
          <w:szCs w:val="24"/>
        </w:rPr>
        <w:t xml:space="preserve">o encash such days on accrual. </w:t>
      </w:r>
      <w:r w:rsidR="009872C4" w:rsidRPr="00C12279">
        <w:rPr>
          <w:rFonts w:ascii="Times New Roman" w:hAnsi="Times New Roman" w:cs="Times New Roman"/>
          <w:sz w:val="24"/>
          <w:szCs w:val="24"/>
        </w:rPr>
        <w:t xml:space="preserve">The </w:t>
      </w:r>
      <w:r w:rsidR="00DF5E37" w:rsidRPr="00C12279">
        <w:rPr>
          <w:rFonts w:ascii="Times New Roman" w:hAnsi="Times New Roman" w:cs="Times New Roman"/>
          <w:sz w:val="24"/>
          <w:szCs w:val="24"/>
        </w:rPr>
        <w:t>contention flounders</w:t>
      </w:r>
      <w:r w:rsidR="00E57546" w:rsidRPr="00C12279">
        <w:rPr>
          <w:rFonts w:ascii="Times New Roman" w:hAnsi="Times New Roman" w:cs="Times New Roman"/>
          <w:sz w:val="24"/>
          <w:szCs w:val="24"/>
        </w:rPr>
        <w:t xml:space="preserve"> on the </w:t>
      </w:r>
      <w:r w:rsidR="00DF5E37" w:rsidRPr="00C12279">
        <w:rPr>
          <w:rFonts w:ascii="Times New Roman" w:hAnsi="Times New Roman" w:cs="Times New Roman"/>
          <w:sz w:val="24"/>
          <w:szCs w:val="24"/>
        </w:rPr>
        <w:t xml:space="preserve">proposition propounded </w:t>
      </w:r>
      <w:r w:rsidR="001B1F72" w:rsidRPr="00C12279">
        <w:rPr>
          <w:rFonts w:ascii="Times New Roman" w:hAnsi="Times New Roman" w:cs="Times New Roman"/>
          <w:sz w:val="24"/>
          <w:szCs w:val="24"/>
        </w:rPr>
        <w:t xml:space="preserve">in </w:t>
      </w:r>
      <w:r w:rsidR="001B1F72" w:rsidRPr="00C12279">
        <w:rPr>
          <w:rFonts w:ascii="Times New Roman" w:hAnsi="Times New Roman" w:cs="Times New Roman"/>
          <w:i/>
          <w:sz w:val="24"/>
          <w:szCs w:val="24"/>
        </w:rPr>
        <w:t>Nevill</w:t>
      </w:r>
      <w:r w:rsidR="00DF5E37" w:rsidRPr="00C12279">
        <w:rPr>
          <w:rFonts w:ascii="Times New Roman" w:hAnsi="Times New Roman" w:cs="Times New Roman"/>
          <w:i/>
          <w:sz w:val="24"/>
          <w:szCs w:val="24"/>
        </w:rPr>
        <w:t xml:space="preserve"> &amp; Co Ltd </w:t>
      </w:r>
      <w:r w:rsidR="00DF5E37" w:rsidRPr="001335C0">
        <w:rPr>
          <w:rFonts w:ascii="Times New Roman" w:hAnsi="Times New Roman" w:cs="Times New Roman"/>
          <w:sz w:val="24"/>
          <w:szCs w:val="24"/>
        </w:rPr>
        <w:t>v</w:t>
      </w:r>
      <w:r w:rsidR="00DF5E37" w:rsidRPr="00C12279">
        <w:rPr>
          <w:rFonts w:ascii="Times New Roman" w:hAnsi="Times New Roman" w:cs="Times New Roman"/>
          <w:i/>
          <w:sz w:val="24"/>
          <w:szCs w:val="24"/>
        </w:rPr>
        <w:t xml:space="preserve"> Federal Commissioner of Taxation </w:t>
      </w:r>
      <w:r w:rsidR="00DF5E37" w:rsidRPr="00C12279">
        <w:rPr>
          <w:rFonts w:ascii="Times New Roman" w:hAnsi="Times New Roman" w:cs="Times New Roman"/>
          <w:sz w:val="24"/>
          <w:szCs w:val="24"/>
        </w:rPr>
        <w:t>and approved</w:t>
      </w:r>
      <w:r w:rsidR="001A10DA" w:rsidRPr="00C12279">
        <w:rPr>
          <w:rFonts w:ascii="Times New Roman" w:hAnsi="Times New Roman" w:cs="Times New Roman"/>
          <w:sz w:val="24"/>
          <w:szCs w:val="24"/>
        </w:rPr>
        <w:t xml:space="preserve"> in</w:t>
      </w:r>
      <w:r w:rsidR="00DF5E37" w:rsidRPr="00C12279">
        <w:rPr>
          <w:rFonts w:ascii="Times New Roman" w:hAnsi="Times New Roman" w:cs="Times New Roman"/>
          <w:sz w:val="24"/>
          <w:szCs w:val="24"/>
        </w:rPr>
        <w:t xml:space="preserve"> </w:t>
      </w:r>
      <w:r w:rsidR="00DF5E37" w:rsidRPr="00C12279">
        <w:rPr>
          <w:rFonts w:ascii="Times New Roman" w:hAnsi="Times New Roman" w:cs="Times New Roman"/>
          <w:i/>
          <w:sz w:val="24"/>
          <w:szCs w:val="24"/>
        </w:rPr>
        <w:t xml:space="preserve">Commissioner of Taxes </w:t>
      </w:r>
      <w:r w:rsidR="00DF5E37" w:rsidRPr="001335C0">
        <w:rPr>
          <w:rFonts w:ascii="Times New Roman" w:hAnsi="Times New Roman" w:cs="Times New Roman"/>
          <w:sz w:val="24"/>
          <w:szCs w:val="24"/>
        </w:rPr>
        <w:t xml:space="preserve">v </w:t>
      </w:r>
      <w:r w:rsidR="00DF5E37" w:rsidRPr="00C12279">
        <w:rPr>
          <w:rFonts w:ascii="Times New Roman" w:hAnsi="Times New Roman" w:cs="Times New Roman"/>
          <w:i/>
          <w:sz w:val="24"/>
          <w:szCs w:val="24"/>
        </w:rPr>
        <w:t>A Company</w:t>
      </w:r>
      <w:r w:rsidR="00DF5E37" w:rsidRPr="00C12279">
        <w:rPr>
          <w:rFonts w:ascii="Times New Roman" w:hAnsi="Times New Roman" w:cs="Times New Roman"/>
          <w:sz w:val="24"/>
          <w:szCs w:val="24"/>
        </w:rPr>
        <w:t xml:space="preserve">, </w:t>
      </w:r>
      <w:r w:rsidR="00DF5E37" w:rsidRPr="00C12279">
        <w:rPr>
          <w:rFonts w:ascii="Times New Roman" w:hAnsi="Times New Roman" w:cs="Times New Roman"/>
          <w:i/>
          <w:sz w:val="24"/>
          <w:szCs w:val="24"/>
        </w:rPr>
        <w:t>supra</w:t>
      </w:r>
      <w:r w:rsidR="00043D65" w:rsidRPr="00C12279">
        <w:rPr>
          <w:rFonts w:ascii="Times New Roman" w:hAnsi="Times New Roman" w:cs="Times New Roman"/>
          <w:sz w:val="24"/>
          <w:szCs w:val="24"/>
        </w:rPr>
        <w:t>,</w:t>
      </w:r>
      <w:r w:rsidR="00DF5E37" w:rsidRPr="00C12279">
        <w:rPr>
          <w:rFonts w:ascii="Times New Roman" w:hAnsi="Times New Roman" w:cs="Times New Roman"/>
          <w:sz w:val="24"/>
          <w:szCs w:val="24"/>
        </w:rPr>
        <w:t xml:space="preserve"> </w:t>
      </w:r>
      <w:r w:rsidR="001A10DA" w:rsidRPr="00C12279">
        <w:rPr>
          <w:rFonts w:ascii="Times New Roman" w:hAnsi="Times New Roman" w:cs="Times New Roman"/>
          <w:sz w:val="24"/>
          <w:szCs w:val="24"/>
        </w:rPr>
        <w:t>that</w:t>
      </w:r>
      <w:r w:rsidR="001B1F72" w:rsidRPr="00C12279">
        <w:rPr>
          <w:rFonts w:ascii="Times New Roman" w:hAnsi="Times New Roman" w:cs="Times New Roman"/>
          <w:sz w:val="24"/>
          <w:szCs w:val="24"/>
        </w:rPr>
        <w:t xml:space="preserve"> the employer taxpayer had at best an inchoate liability in the process of accrual but which was subject to a variety of contingencies and which liability would only be completely incurred in the following year in respect of those employees who had not yet qualified to take annual leave notwithstanding that the amount regarding the labour as a whole had become predictable with certainty. </w:t>
      </w:r>
      <w:r w:rsidR="00E57546" w:rsidRPr="00C12279">
        <w:rPr>
          <w:rFonts w:ascii="Times New Roman" w:hAnsi="Times New Roman" w:cs="Times New Roman"/>
          <w:sz w:val="24"/>
          <w:szCs w:val="24"/>
        </w:rPr>
        <w:t>The</w:t>
      </w:r>
      <w:r w:rsidR="001B1F72" w:rsidRPr="00C12279">
        <w:rPr>
          <w:rFonts w:ascii="Times New Roman" w:hAnsi="Times New Roman" w:cs="Times New Roman"/>
          <w:sz w:val="24"/>
          <w:szCs w:val="24"/>
        </w:rPr>
        <w:t xml:space="preserve"> evidence disclosed that employees could take voluntary leave or be forced to take leave during the annual December shutdown. In the forced leave </w:t>
      </w:r>
      <w:r w:rsidR="003D4024" w:rsidRPr="00C12279">
        <w:rPr>
          <w:rFonts w:ascii="Times New Roman" w:hAnsi="Times New Roman" w:cs="Times New Roman"/>
          <w:sz w:val="24"/>
          <w:szCs w:val="24"/>
        </w:rPr>
        <w:t>category</w:t>
      </w:r>
      <w:r w:rsidR="007633A6">
        <w:rPr>
          <w:rFonts w:ascii="Times New Roman" w:hAnsi="Times New Roman" w:cs="Times New Roman"/>
          <w:sz w:val="24"/>
          <w:szCs w:val="24"/>
        </w:rPr>
        <w:t>,</w:t>
      </w:r>
      <w:r w:rsidR="001B1F72" w:rsidRPr="00C12279">
        <w:rPr>
          <w:rFonts w:ascii="Times New Roman" w:hAnsi="Times New Roman" w:cs="Times New Roman"/>
          <w:sz w:val="24"/>
          <w:szCs w:val="24"/>
        </w:rPr>
        <w:t xml:space="preserve"> were employees who had accumulated the required leave days and those who either had </w:t>
      </w:r>
      <w:r w:rsidR="003D4024" w:rsidRPr="00C12279">
        <w:rPr>
          <w:rFonts w:ascii="Times New Roman" w:hAnsi="Times New Roman" w:cs="Times New Roman"/>
          <w:sz w:val="24"/>
          <w:szCs w:val="24"/>
        </w:rPr>
        <w:t>not accumulated any leave days or had accumulated insufficient leave days</w:t>
      </w:r>
      <w:r w:rsidR="00E621EB" w:rsidRPr="00C12279">
        <w:rPr>
          <w:rFonts w:ascii="Times New Roman" w:hAnsi="Times New Roman" w:cs="Times New Roman"/>
          <w:sz w:val="24"/>
          <w:szCs w:val="24"/>
        </w:rPr>
        <w:t xml:space="preserve">. The </w:t>
      </w:r>
      <w:r w:rsidR="003D4024" w:rsidRPr="00C12279">
        <w:rPr>
          <w:rFonts w:ascii="Times New Roman" w:hAnsi="Times New Roman" w:cs="Times New Roman"/>
          <w:sz w:val="24"/>
          <w:szCs w:val="24"/>
        </w:rPr>
        <w:t xml:space="preserve">appellant and its </w:t>
      </w:r>
      <w:r w:rsidR="00E621EB" w:rsidRPr="00C12279">
        <w:rPr>
          <w:rFonts w:ascii="Times New Roman" w:hAnsi="Times New Roman" w:cs="Times New Roman"/>
          <w:sz w:val="24"/>
          <w:szCs w:val="24"/>
        </w:rPr>
        <w:t xml:space="preserve">managing director did not disclose </w:t>
      </w:r>
      <w:r w:rsidR="003D4024" w:rsidRPr="00C12279">
        <w:rPr>
          <w:rFonts w:ascii="Times New Roman" w:hAnsi="Times New Roman" w:cs="Times New Roman"/>
          <w:sz w:val="24"/>
          <w:szCs w:val="24"/>
        </w:rPr>
        <w:t xml:space="preserve">either </w:t>
      </w:r>
      <w:r w:rsidR="00237A32" w:rsidRPr="00C12279">
        <w:rPr>
          <w:rFonts w:ascii="Times New Roman" w:hAnsi="Times New Roman" w:cs="Times New Roman"/>
          <w:sz w:val="24"/>
          <w:szCs w:val="24"/>
        </w:rPr>
        <w:t xml:space="preserve">to </w:t>
      </w:r>
      <w:r w:rsidR="003D4024" w:rsidRPr="00C12279">
        <w:rPr>
          <w:rFonts w:ascii="Times New Roman" w:hAnsi="Times New Roman" w:cs="Times New Roman"/>
          <w:sz w:val="24"/>
          <w:szCs w:val="24"/>
        </w:rPr>
        <w:t xml:space="preserve">the Commissioner or this Court </w:t>
      </w:r>
      <w:r w:rsidR="00237A32" w:rsidRPr="00C12279">
        <w:rPr>
          <w:rFonts w:ascii="Times New Roman" w:hAnsi="Times New Roman" w:cs="Times New Roman"/>
          <w:sz w:val="24"/>
          <w:szCs w:val="24"/>
        </w:rPr>
        <w:t>whether</w:t>
      </w:r>
      <w:r w:rsidR="00413612" w:rsidRPr="00C12279">
        <w:rPr>
          <w:rFonts w:ascii="Times New Roman" w:hAnsi="Times New Roman" w:cs="Times New Roman"/>
          <w:sz w:val="24"/>
          <w:szCs w:val="24"/>
        </w:rPr>
        <w:t xml:space="preserve"> </w:t>
      </w:r>
      <w:r w:rsidR="00E621EB" w:rsidRPr="00C12279">
        <w:rPr>
          <w:rFonts w:ascii="Times New Roman" w:hAnsi="Times New Roman" w:cs="Times New Roman"/>
          <w:sz w:val="24"/>
          <w:szCs w:val="24"/>
        </w:rPr>
        <w:t xml:space="preserve">the annual December </w:t>
      </w:r>
      <w:r w:rsidR="00413612" w:rsidRPr="00C12279">
        <w:rPr>
          <w:rFonts w:ascii="Times New Roman" w:hAnsi="Times New Roman" w:cs="Times New Roman"/>
          <w:sz w:val="24"/>
          <w:szCs w:val="24"/>
        </w:rPr>
        <w:t>shutdown took place</w:t>
      </w:r>
      <w:r w:rsidR="00237A32" w:rsidRPr="00C12279">
        <w:rPr>
          <w:rFonts w:ascii="Times New Roman" w:hAnsi="Times New Roman" w:cs="Times New Roman"/>
          <w:sz w:val="24"/>
          <w:szCs w:val="24"/>
        </w:rPr>
        <w:t xml:space="preserve"> and the exact dates when it did so </w:t>
      </w:r>
      <w:r w:rsidR="00E621EB" w:rsidRPr="00C12279">
        <w:rPr>
          <w:rFonts w:ascii="Times New Roman" w:hAnsi="Times New Roman" w:cs="Times New Roman"/>
          <w:sz w:val="24"/>
          <w:szCs w:val="24"/>
        </w:rPr>
        <w:t>in each of the years in question</w:t>
      </w:r>
      <w:r w:rsidR="00237A32" w:rsidRPr="00C12279">
        <w:rPr>
          <w:rFonts w:ascii="Times New Roman" w:hAnsi="Times New Roman" w:cs="Times New Roman"/>
          <w:sz w:val="24"/>
          <w:szCs w:val="24"/>
        </w:rPr>
        <w:t>.</w:t>
      </w:r>
      <w:r w:rsidR="003D4024" w:rsidRPr="00C12279">
        <w:rPr>
          <w:rFonts w:ascii="Times New Roman" w:hAnsi="Times New Roman" w:cs="Times New Roman"/>
          <w:sz w:val="24"/>
          <w:szCs w:val="24"/>
        </w:rPr>
        <w:t xml:space="preserve"> They did not tender any evidence concerning the corporate diktat nor indicate when it was issued and what its contents were.  We do not know whether it affected all or some of</w:t>
      </w:r>
      <w:r w:rsidR="005D5392" w:rsidRPr="00C12279">
        <w:rPr>
          <w:rFonts w:ascii="Times New Roman" w:hAnsi="Times New Roman" w:cs="Times New Roman"/>
          <w:sz w:val="24"/>
          <w:szCs w:val="24"/>
        </w:rPr>
        <w:t xml:space="preserve"> the employees.</w:t>
      </w:r>
      <w:r w:rsidR="003D4024" w:rsidRPr="00C12279">
        <w:rPr>
          <w:rFonts w:ascii="Times New Roman" w:hAnsi="Times New Roman" w:cs="Times New Roman"/>
          <w:sz w:val="24"/>
          <w:szCs w:val="24"/>
        </w:rPr>
        <w:t xml:space="preserve">  No evidence was led on the number who took full voluntary leave, unpaid leave, advance paid leave or those who took partial voluntary leave or even those who took forced leave combined with encashment.</w:t>
      </w:r>
      <w:r w:rsidR="004E4E67" w:rsidRPr="00C12279">
        <w:rPr>
          <w:rFonts w:ascii="Times New Roman" w:hAnsi="Times New Roman" w:cs="Times New Roman"/>
          <w:sz w:val="24"/>
          <w:szCs w:val="24"/>
        </w:rPr>
        <w:t xml:space="preserve"> </w:t>
      </w:r>
      <w:r w:rsidR="00413612" w:rsidRPr="00C12279">
        <w:rPr>
          <w:rFonts w:ascii="Times New Roman" w:hAnsi="Times New Roman" w:cs="Times New Roman"/>
          <w:sz w:val="24"/>
          <w:szCs w:val="24"/>
        </w:rPr>
        <w:t xml:space="preserve">In respect of those who went on voluntary leave, he failed to disclose when they applied for such leave and whether they sought </w:t>
      </w:r>
      <w:r w:rsidR="00272FFF" w:rsidRPr="00C12279">
        <w:rPr>
          <w:rFonts w:ascii="Times New Roman" w:hAnsi="Times New Roman" w:cs="Times New Roman"/>
          <w:sz w:val="24"/>
          <w:szCs w:val="24"/>
        </w:rPr>
        <w:t>full</w:t>
      </w:r>
      <w:r w:rsidR="00413612" w:rsidRPr="00C12279">
        <w:rPr>
          <w:rFonts w:ascii="Times New Roman" w:hAnsi="Times New Roman" w:cs="Times New Roman"/>
          <w:sz w:val="24"/>
          <w:szCs w:val="24"/>
        </w:rPr>
        <w:t xml:space="preserve"> or partial encashment of their accrued days</w:t>
      </w:r>
      <w:r w:rsidR="00272FFF" w:rsidRPr="00C12279">
        <w:rPr>
          <w:rFonts w:ascii="Times New Roman" w:hAnsi="Times New Roman" w:cs="Times New Roman"/>
          <w:sz w:val="24"/>
          <w:szCs w:val="24"/>
        </w:rPr>
        <w:t xml:space="preserve"> and when and whether such leave was approved. </w:t>
      </w:r>
      <w:r w:rsidR="00BF5E42" w:rsidRPr="00C12279">
        <w:rPr>
          <w:rFonts w:ascii="Times New Roman" w:hAnsi="Times New Roman" w:cs="Times New Roman"/>
          <w:sz w:val="24"/>
          <w:szCs w:val="24"/>
        </w:rPr>
        <w:t>There was simply no evidence on whether any leave was ever taken or encashed in each of these years</w:t>
      </w:r>
      <w:r w:rsidR="00043D65" w:rsidRPr="00C12279">
        <w:rPr>
          <w:rFonts w:ascii="Times New Roman" w:hAnsi="Times New Roman" w:cs="Times New Roman"/>
          <w:sz w:val="24"/>
          <w:szCs w:val="24"/>
        </w:rPr>
        <w:t>.</w:t>
      </w:r>
    </w:p>
    <w:p w14:paraId="7EAFF16E" w14:textId="60173F01" w:rsidR="005E5AF4" w:rsidRPr="00C12279" w:rsidRDefault="00272FFF" w:rsidP="001335C0">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lastRenderedPageBreak/>
        <w:t>All these administrative factors were relevant to determine when the unconditional legal obligation to pay arose. If the corporate diktat forced every employee to take leave during the annual December shutdown, then no provision for leave pay could be made for the duration of the shutdown because the employees would be paid from the ordinary funds allocated for the</w:t>
      </w:r>
      <w:r w:rsidR="005D5392" w:rsidRPr="00C12279">
        <w:rPr>
          <w:rFonts w:ascii="Times New Roman" w:hAnsi="Times New Roman" w:cs="Times New Roman"/>
          <w:sz w:val="24"/>
          <w:szCs w:val="24"/>
        </w:rPr>
        <w:t xml:space="preserve">ir wages and salaries during that period, which </w:t>
      </w:r>
      <w:r w:rsidRPr="00C12279">
        <w:rPr>
          <w:rFonts w:ascii="Times New Roman" w:hAnsi="Times New Roman" w:cs="Times New Roman"/>
          <w:sz w:val="24"/>
          <w:szCs w:val="24"/>
        </w:rPr>
        <w:t xml:space="preserve">would be deductible in the subsequent tax year. </w:t>
      </w:r>
      <w:r w:rsidR="00DF5E37" w:rsidRPr="00C12279">
        <w:rPr>
          <w:rFonts w:ascii="Times New Roman" w:hAnsi="Times New Roman" w:cs="Times New Roman"/>
          <w:sz w:val="24"/>
          <w:szCs w:val="24"/>
        </w:rPr>
        <w:t>In regards to encashed days, the payment would be incurred on the date on which the approval was granted and not on the date of payment</w:t>
      </w:r>
      <w:r w:rsidR="009314B8" w:rsidRPr="00C12279">
        <w:rPr>
          <w:rFonts w:ascii="Times New Roman" w:hAnsi="Times New Roman" w:cs="Times New Roman"/>
          <w:sz w:val="24"/>
          <w:szCs w:val="24"/>
        </w:rPr>
        <w:t xml:space="preserve">. The submission made by Mr </w:t>
      </w:r>
      <w:r w:rsidR="009314B8" w:rsidRPr="00C12279">
        <w:rPr>
          <w:rFonts w:ascii="Times New Roman" w:hAnsi="Times New Roman" w:cs="Times New Roman"/>
          <w:i/>
          <w:sz w:val="24"/>
          <w:szCs w:val="24"/>
        </w:rPr>
        <w:t>de Bourbon</w:t>
      </w:r>
      <w:r w:rsidR="009314B8" w:rsidRPr="00C12279">
        <w:rPr>
          <w:rFonts w:ascii="Times New Roman" w:hAnsi="Times New Roman" w:cs="Times New Roman"/>
          <w:sz w:val="24"/>
          <w:szCs w:val="24"/>
        </w:rPr>
        <w:t xml:space="preserve"> that the </w:t>
      </w:r>
      <w:r w:rsidR="0095284F" w:rsidRPr="00C12279">
        <w:rPr>
          <w:rFonts w:ascii="Times New Roman" w:hAnsi="Times New Roman" w:cs="Times New Roman"/>
          <w:sz w:val="24"/>
          <w:szCs w:val="24"/>
        </w:rPr>
        <w:t xml:space="preserve">absolute legal obligation to pay occurred when the leave accrued </w:t>
      </w:r>
      <w:r w:rsidR="009314B8" w:rsidRPr="00C12279">
        <w:rPr>
          <w:rFonts w:ascii="Times New Roman" w:hAnsi="Times New Roman" w:cs="Times New Roman"/>
          <w:sz w:val="24"/>
          <w:szCs w:val="24"/>
        </w:rPr>
        <w:t>was therefore contrary to authority. The unconditional legal obligation to pay arose when the administrative conditions dictated by the exigencies of the corporate diktat and contractual terms were fulfilled.  These administrative factors were sorely missing in the testim</w:t>
      </w:r>
      <w:r w:rsidR="00237A32" w:rsidRPr="00C12279">
        <w:rPr>
          <w:rFonts w:ascii="Times New Roman" w:hAnsi="Times New Roman" w:cs="Times New Roman"/>
          <w:sz w:val="24"/>
          <w:szCs w:val="24"/>
        </w:rPr>
        <w:t>ony of the appellant. The appellant</w:t>
      </w:r>
      <w:r w:rsidR="009314B8" w:rsidRPr="00C12279">
        <w:rPr>
          <w:rFonts w:ascii="Times New Roman" w:hAnsi="Times New Roman" w:cs="Times New Roman"/>
          <w:sz w:val="24"/>
          <w:szCs w:val="24"/>
        </w:rPr>
        <w:t xml:space="preserve"> failed to establish </w:t>
      </w:r>
      <w:r w:rsidR="0024735C" w:rsidRPr="00C12279">
        <w:rPr>
          <w:rFonts w:ascii="Times New Roman" w:hAnsi="Times New Roman" w:cs="Times New Roman"/>
          <w:sz w:val="24"/>
          <w:szCs w:val="24"/>
        </w:rPr>
        <w:t xml:space="preserve">on a balance of probabilities </w:t>
      </w:r>
      <w:r w:rsidR="009314B8" w:rsidRPr="00C12279">
        <w:rPr>
          <w:rFonts w:ascii="Times New Roman" w:hAnsi="Times New Roman" w:cs="Times New Roman"/>
          <w:sz w:val="24"/>
          <w:szCs w:val="24"/>
        </w:rPr>
        <w:t xml:space="preserve">that the provisions for leave pay were incurred in each of the tax years in which it claimed the deductions. </w:t>
      </w:r>
      <w:r w:rsidR="0024735C" w:rsidRPr="00C12279">
        <w:rPr>
          <w:rFonts w:ascii="Times New Roman" w:hAnsi="Times New Roman" w:cs="Times New Roman"/>
          <w:sz w:val="24"/>
          <w:szCs w:val="24"/>
        </w:rPr>
        <w:t xml:space="preserve"> </w:t>
      </w:r>
      <w:r w:rsidR="009314B8" w:rsidRPr="00C12279">
        <w:rPr>
          <w:rFonts w:ascii="Times New Roman" w:hAnsi="Times New Roman" w:cs="Times New Roman"/>
          <w:sz w:val="24"/>
          <w:szCs w:val="24"/>
        </w:rPr>
        <w:t xml:space="preserve"> </w:t>
      </w:r>
    </w:p>
    <w:p w14:paraId="331BA2B0" w14:textId="714599D6" w:rsidR="00E55288" w:rsidRPr="00C12279" w:rsidRDefault="00E55288" w:rsidP="007370F3">
      <w:pPr>
        <w:jc w:val="both"/>
        <w:rPr>
          <w:rFonts w:ascii="Times New Roman" w:hAnsi="Times New Roman" w:cs="Times New Roman"/>
          <w:b/>
          <w:sz w:val="24"/>
          <w:szCs w:val="24"/>
        </w:rPr>
      </w:pPr>
      <w:r w:rsidRPr="00C12279">
        <w:rPr>
          <w:rFonts w:ascii="Times New Roman" w:hAnsi="Times New Roman" w:cs="Times New Roman"/>
          <w:b/>
          <w:sz w:val="24"/>
          <w:szCs w:val="24"/>
        </w:rPr>
        <w:t>The facts on audit</w:t>
      </w:r>
    </w:p>
    <w:p w14:paraId="26ECD423" w14:textId="6C6F40E3" w:rsidR="00052729" w:rsidRPr="00C12279" w:rsidRDefault="00E55288" w:rsidP="001335C0">
      <w:pPr>
        <w:spacing w:after="0" w:line="360" w:lineRule="auto"/>
        <w:ind w:firstLine="720"/>
        <w:jc w:val="both"/>
        <w:rPr>
          <w:rFonts w:ascii="Times New Roman" w:hAnsi="Times New Roman" w:cs="Times New Roman"/>
          <w:b/>
          <w:sz w:val="24"/>
          <w:szCs w:val="24"/>
          <w:u w:val="single"/>
        </w:rPr>
      </w:pPr>
      <w:r w:rsidRPr="00C12279">
        <w:rPr>
          <w:rFonts w:ascii="Times New Roman" w:hAnsi="Times New Roman" w:cs="Times New Roman"/>
          <w:sz w:val="24"/>
          <w:szCs w:val="24"/>
        </w:rPr>
        <w:t xml:space="preserve">The </w:t>
      </w:r>
      <w:r w:rsidR="003C0E59" w:rsidRPr="00C12279">
        <w:rPr>
          <w:rFonts w:ascii="Times New Roman" w:hAnsi="Times New Roman" w:cs="Times New Roman"/>
          <w:sz w:val="24"/>
          <w:szCs w:val="24"/>
        </w:rPr>
        <w:t xml:space="preserve">managing director indicated that the appointment </w:t>
      </w:r>
      <w:r w:rsidR="00463816" w:rsidRPr="00C12279">
        <w:rPr>
          <w:rFonts w:ascii="Times New Roman" w:hAnsi="Times New Roman" w:cs="Times New Roman"/>
          <w:sz w:val="24"/>
          <w:szCs w:val="24"/>
        </w:rPr>
        <w:t xml:space="preserve">of auditors </w:t>
      </w:r>
      <w:r w:rsidR="003C0E59" w:rsidRPr="00C12279">
        <w:rPr>
          <w:rFonts w:ascii="Times New Roman" w:hAnsi="Times New Roman" w:cs="Times New Roman"/>
          <w:sz w:val="24"/>
          <w:szCs w:val="24"/>
        </w:rPr>
        <w:t xml:space="preserve">and </w:t>
      </w:r>
      <w:r w:rsidR="00463816" w:rsidRPr="00C12279">
        <w:rPr>
          <w:rFonts w:ascii="Times New Roman" w:hAnsi="Times New Roman" w:cs="Times New Roman"/>
          <w:sz w:val="24"/>
          <w:szCs w:val="24"/>
        </w:rPr>
        <w:t>the contract of audit were ma</w:t>
      </w:r>
      <w:r w:rsidR="003C0E59" w:rsidRPr="00C12279">
        <w:rPr>
          <w:rFonts w:ascii="Times New Roman" w:hAnsi="Times New Roman" w:cs="Times New Roman"/>
          <w:sz w:val="24"/>
          <w:szCs w:val="24"/>
        </w:rPr>
        <w:t>de prior to the end of the financial year. This was confirmed by the engagement letters dated 29 August 2011 and 27 September 2012 for the 2011 and 2012 audits</w:t>
      </w:r>
      <w:r w:rsidR="003C0E59" w:rsidRPr="00C12279">
        <w:rPr>
          <w:rStyle w:val="FootnoteReference"/>
          <w:rFonts w:ascii="Times New Roman" w:hAnsi="Times New Roman" w:cs="Times New Roman"/>
          <w:sz w:val="24"/>
          <w:szCs w:val="24"/>
        </w:rPr>
        <w:footnoteReference w:id="51"/>
      </w:r>
      <w:r w:rsidR="003C0E59" w:rsidRPr="00C12279">
        <w:rPr>
          <w:rFonts w:ascii="Times New Roman" w:hAnsi="Times New Roman" w:cs="Times New Roman"/>
          <w:sz w:val="24"/>
          <w:szCs w:val="24"/>
        </w:rPr>
        <w:t xml:space="preserve">. </w:t>
      </w:r>
      <w:r w:rsidR="00FB40CD" w:rsidRPr="00C12279">
        <w:rPr>
          <w:rFonts w:ascii="Times New Roman" w:hAnsi="Times New Roman" w:cs="Times New Roman"/>
          <w:sz w:val="24"/>
          <w:szCs w:val="24"/>
        </w:rPr>
        <w:t>The 2011 audit fees and expenses were by agreement based on the number of hours spent on the au</w:t>
      </w:r>
      <w:r w:rsidR="00463816" w:rsidRPr="00C12279">
        <w:rPr>
          <w:rFonts w:ascii="Times New Roman" w:hAnsi="Times New Roman" w:cs="Times New Roman"/>
          <w:sz w:val="24"/>
          <w:szCs w:val="24"/>
        </w:rPr>
        <w:t>dit engagement while the 2012 fe</w:t>
      </w:r>
      <w:r w:rsidR="00FB40CD" w:rsidRPr="00C12279">
        <w:rPr>
          <w:rFonts w:ascii="Times New Roman" w:hAnsi="Times New Roman" w:cs="Times New Roman"/>
          <w:sz w:val="24"/>
          <w:szCs w:val="24"/>
        </w:rPr>
        <w:t xml:space="preserve">es were </w:t>
      </w:r>
      <w:r w:rsidR="00785F82" w:rsidRPr="00C12279">
        <w:rPr>
          <w:rFonts w:ascii="Times New Roman" w:hAnsi="Times New Roman" w:cs="Times New Roman"/>
          <w:sz w:val="24"/>
          <w:szCs w:val="24"/>
        </w:rPr>
        <w:t>“billed as agreed from time to time and payable on presentation</w:t>
      </w:r>
      <w:r w:rsidR="00FB40CD" w:rsidRPr="00C12279">
        <w:rPr>
          <w:rFonts w:ascii="Times New Roman" w:hAnsi="Times New Roman" w:cs="Times New Roman"/>
          <w:sz w:val="24"/>
          <w:szCs w:val="24"/>
        </w:rPr>
        <w:t>”</w:t>
      </w:r>
      <w:r w:rsidR="00785F82" w:rsidRPr="00C12279">
        <w:rPr>
          <w:rFonts w:ascii="Times New Roman" w:hAnsi="Times New Roman" w:cs="Times New Roman"/>
          <w:sz w:val="24"/>
          <w:szCs w:val="24"/>
        </w:rPr>
        <w:t xml:space="preserve"> at the standard rates in force when the service was delivered. </w:t>
      </w:r>
      <w:r w:rsidR="003033DA" w:rsidRPr="00C12279">
        <w:rPr>
          <w:rFonts w:ascii="Times New Roman" w:hAnsi="Times New Roman" w:cs="Times New Roman"/>
          <w:sz w:val="24"/>
          <w:szCs w:val="24"/>
        </w:rPr>
        <w:t>The auditors estimated fees of US$12 008 from 277 hours for the 2011</w:t>
      </w:r>
      <w:r w:rsidR="00B214FE" w:rsidRPr="00C12279">
        <w:rPr>
          <w:rStyle w:val="FootnoteReference"/>
          <w:rFonts w:ascii="Times New Roman" w:hAnsi="Times New Roman" w:cs="Times New Roman"/>
          <w:sz w:val="24"/>
          <w:szCs w:val="24"/>
        </w:rPr>
        <w:footnoteReference w:id="52"/>
      </w:r>
      <w:r w:rsidR="003033DA" w:rsidRPr="00C12279">
        <w:rPr>
          <w:rFonts w:ascii="Times New Roman" w:hAnsi="Times New Roman" w:cs="Times New Roman"/>
          <w:sz w:val="24"/>
          <w:szCs w:val="24"/>
        </w:rPr>
        <w:t xml:space="preserve"> </w:t>
      </w:r>
      <w:r w:rsidR="00E465BD" w:rsidRPr="00C12279">
        <w:rPr>
          <w:rFonts w:ascii="Times New Roman" w:hAnsi="Times New Roman" w:cs="Times New Roman"/>
          <w:sz w:val="24"/>
          <w:szCs w:val="24"/>
        </w:rPr>
        <w:t xml:space="preserve">audit </w:t>
      </w:r>
      <w:r w:rsidR="003033DA" w:rsidRPr="00C12279">
        <w:rPr>
          <w:rFonts w:ascii="Times New Roman" w:hAnsi="Times New Roman" w:cs="Times New Roman"/>
          <w:sz w:val="24"/>
          <w:szCs w:val="24"/>
        </w:rPr>
        <w:t>and US$ 15 825 for 250 hours in 2012</w:t>
      </w:r>
      <w:r w:rsidR="00976FE2" w:rsidRPr="00C12279">
        <w:rPr>
          <w:rStyle w:val="FootnoteReference"/>
          <w:rFonts w:ascii="Times New Roman" w:hAnsi="Times New Roman" w:cs="Times New Roman"/>
          <w:sz w:val="24"/>
          <w:szCs w:val="24"/>
        </w:rPr>
        <w:footnoteReference w:id="53"/>
      </w:r>
      <w:r w:rsidR="00E55EF4" w:rsidRPr="00C12279">
        <w:rPr>
          <w:rFonts w:ascii="Times New Roman" w:hAnsi="Times New Roman" w:cs="Times New Roman"/>
          <w:sz w:val="24"/>
          <w:szCs w:val="24"/>
        </w:rPr>
        <w:t>.</w:t>
      </w:r>
      <w:r w:rsidR="003033DA" w:rsidRPr="00C12279">
        <w:rPr>
          <w:rFonts w:ascii="Times New Roman" w:hAnsi="Times New Roman" w:cs="Times New Roman"/>
          <w:sz w:val="24"/>
          <w:szCs w:val="24"/>
        </w:rPr>
        <w:t xml:space="preserve"> </w:t>
      </w:r>
      <w:r w:rsidR="00463816" w:rsidRPr="00C12279">
        <w:rPr>
          <w:rFonts w:ascii="Times New Roman" w:hAnsi="Times New Roman" w:cs="Times New Roman"/>
          <w:sz w:val="24"/>
          <w:szCs w:val="24"/>
        </w:rPr>
        <w:t>The 2012 audit was projected to commence</w:t>
      </w:r>
      <w:r w:rsidR="00AA61CF" w:rsidRPr="00C12279">
        <w:rPr>
          <w:rFonts w:ascii="Times New Roman" w:hAnsi="Times New Roman" w:cs="Times New Roman"/>
          <w:sz w:val="24"/>
          <w:szCs w:val="24"/>
        </w:rPr>
        <w:t xml:space="preserve"> in December 2012 and end in February 2013 (w</w:t>
      </w:r>
      <w:r w:rsidR="005A73C7" w:rsidRPr="00C12279">
        <w:rPr>
          <w:rFonts w:ascii="Times New Roman" w:hAnsi="Times New Roman" w:cs="Times New Roman"/>
          <w:sz w:val="24"/>
          <w:szCs w:val="24"/>
        </w:rPr>
        <w:t xml:space="preserve">rongly stated as 2012 p 29 </w:t>
      </w:r>
      <w:r w:rsidR="00664A2D" w:rsidRPr="00C12279">
        <w:rPr>
          <w:rFonts w:ascii="Times New Roman" w:hAnsi="Times New Roman" w:cs="Times New Roman"/>
          <w:sz w:val="24"/>
          <w:szCs w:val="24"/>
        </w:rPr>
        <w:t>but corrected on diagram on p 40 of exh 4</w:t>
      </w:r>
      <w:r w:rsidR="00AA1603" w:rsidRPr="00C12279">
        <w:rPr>
          <w:rFonts w:ascii="Times New Roman" w:hAnsi="Times New Roman" w:cs="Times New Roman"/>
          <w:sz w:val="24"/>
          <w:szCs w:val="24"/>
        </w:rPr>
        <w:t xml:space="preserve"> dated 18 Octo</w:t>
      </w:r>
      <w:r w:rsidR="005A73C7" w:rsidRPr="00C12279">
        <w:rPr>
          <w:rFonts w:ascii="Times New Roman" w:hAnsi="Times New Roman" w:cs="Times New Roman"/>
          <w:sz w:val="24"/>
          <w:szCs w:val="24"/>
        </w:rPr>
        <w:t xml:space="preserve">ber 2012). </w:t>
      </w:r>
      <w:r w:rsidR="00664A2D" w:rsidRPr="00C12279">
        <w:rPr>
          <w:rFonts w:ascii="Times New Roman" w:hAnsi="Times New Roman" w:cs="Times New Roman"/>
          <w:sz w:val="24"/>
          <w:szCs w:val="24"/>
        </w:rPr>
        <w:t xml:space="preserve">The audit time table on p40 </w:t>
      </w:r>
      <w:r w:rsidR="005A73C7" w:rsidRPr="00C12279">
        <w:rPr>
          <w:rFonts w:ascii="Times New Roman" w:hAnsi="Times New Roman" w:cs="Times New Roman"/>
          <w:sz w:val="24"/>
          <w:szCs w:val="24"/>
        </w:rPr>
        <w:t xml:space="preserve">of exh 4 was </w:t>
      </w:r>
      <w:r w:rsidR="00664A2D" w:rsidRPr="00C12279">
        <w:rPr>
          <w:rFonts w:ascii="Times New Roman" w:hAnsi="Times New Roman" w:cs="Times New Roman"/>
          <w:sz w:val="24"/>
          <w:szCs w:val="24"/>
        </w:rPr>
        <w:t xml:space="preserve">at variance with the evidence of the two witnesses called by the appellant that the substantive </w:t>
      </w:r>
      <w:r w:rsidR="005A73C7" w:rsidRPr="00C12279">
        <w:rPr>
          <w:rFonts w:ascii="Times New Roman" w:hAnsi="Times New Roman" w:cs="Times New Roman"/>
          <w:sz w:val="24"/>
          <w:szCs w:val="24"/>
        </w:rPr>
        <w:t xml:space="preserve">audit covering the first 11 months </w:t>
      </w:r>
      <w:r w:rsidR="00664A2D" w:rsidRPr="00C12279">
        <w:rPr>
          <w:rFonts w:ascii="Times New Roman" w:hAnsi="Times New Roman" w:cs="Times New Roman"/>
          <w:sz w:val="24"/>
          <w:szCs w:val="24"/>
        </w:rPr>
        <w:t xml:space="preserve">took place in 2012 </w:t>
      </w:r>
      <w:r w:rsidR="005A73C7" w:rsidRPr="00C12279">
        <w:rPr>
          <w:rFonts w:ascii="Times New Roman" w:hAnsi="Times New Roman" w:cs="Times New Roman"/>
          <w:sz w:val="24"/>
          <w:szCs w:val="24"/>
        </w:rPr>
        <w:t>and only mop up audits were done in 2013. The auditors</w:t>
      </w:r>
      <w:r w:rsidR="00664A2D" w:rsidRPr="00C12279">
        <w:rPr>
          <w:rFonts w:ascii="Times New Roman" w:hAnsi="Times New Roman" w:cs="Times New Roman"/>
          <w:sz w:val="24"/>
          <w:szCs w:val="24"/>
        </w:rPr>
        <w:t xml:space="preserve"> projected that </w:t>
      </w:r>
      <w:r w:rsidR="005A73C7" w:rsidRPr="00C12279">
        <w:rPr>
          <w:rFonts w:ascii="Times New Roman" w:hAnsi="Times New Roman" w:cs="Times New Roman"/>
          <w:sz w:val="24"/>
          <w:szCs w:val="24"/>
        </w:rPr>
        <w:t xml:space="preserve">meetings with management would be held </w:t>
      </w:r>
      <w:r w:rsidR="00664A2D" w:rsidRPr="00C12279">
        <w:rPr>
          <w:rFonts w:ascii="Times New Roman" w:hAnsi="Times New Roman" w:cs="Times New Roman"/>
          <w:sz w:val="24"/>
          <w:szCs w:val="24"/>
        </w:rPr>
        <w:t xml:space="preserve">in December 2012 and January 2013 </w:t>
      </w:r>
      <w:r w:rsidR="005A73C7" w:rsidRPr="00C12279">
        <w:rPr>
          <w:rFonts w:ascii="Times New Roman" w:hAnsi="Times New Roman" w:cs="Times New Roman"/>
          <w:sz w:val="24"/>
          <w:szCs w:val="24"/>
        </w:rPr>
        <w:t>while planning and risk assessment and the compilation of the fi</w:t>
      </w:r>
      <w:r w:rsidR="00664A2D" w:rsidRPr="00C12279">
        <w:rPr>
          <w:rFonts w:ascii="Times New Roman" w:hAnsi="Times New Roman" w:cs="Times New Roman"/>
          <w:sz w:val="24"/>
          <w:szCs w:val="24"/>
        </w:rPr>
        <w:t xml:space="preserve">nancial statements and </w:t>
      </w:r>
      <w:r w:rsidR="005A73C7" w:rsidRPr="00C12279">
        <w:rPr>
          <w:rFonts w:ascii="Times New Roman" w:hAnsi="Times New Roman" w:cs="Times New Roman"/>
          <w:sz w:val="24"/>
          <w:szCs w:val="24"/>
        </w:rPr>
        <w:t xml:space="preserve">the </w:t>
      </w:r>
      <w:r w:rsidR="00664A2D" w:rsidRPr="00C12279">
        <w:rPr>
          <w:rFonts w:ascii="Times New Roman" w:hAnsi="Times New Roman" w:cs="Times New Roman"/>
          <w:sz w:val="24"/>
          <w:szCs w:val="24"/>
        </w:rPr>
        <w:t>tax review</w:t>
      </w:r>
      <w:r w:rsidR="005A73C7" w:rsidRPr="00C12279">
        <w:rPr>
          <w:rFonts w:ascii="Times New Roman" w:hAnsi="Times New Roman" w:cs="Times New Roman"/>
          <w:sz w:val="24"/>
          <w:szCs w:val="24"/>
        </w:rPr>
        <w:t xml:space="preserve"> would be done </w:t>
      </w:r>
      <w:r w:rsidR="00664A2D" w:rsidRPr="00C12279">
        <w:rPr>
          <w:rFonts w:ascii="Times New Roman" w:hAnsi="Times New Roman" w:cs="Times New Roman"/>
          <w:sz w:val="24"/>
          <w:szCs w:val="24"/>
        </w:rPr>
        <w:t xml:space="preserve">in February and </w:t>
      </w:r>
      <w:r w:rsidR="005A73C7" w:rsidRPr="00C12279">
        <w:rPr>
          <w:rFonts w:ascii="Times New Roman" w:hAnsi="Times New Roman" w:cs="Times New Roman"/>
          <w:sz w:val="24"/>
          <w:szCs w:val="24"/>
        </w:rPr>
        <w:t>the presentation of management reports and the</w:t>
      </w:r>
      <w:r w:rsidR="00664A2D" w:rsidRPr="00C12279">
        <w:rPr>
          <w:rFonts w:ascii="Times New Roman" w:hAnsi="Times New Roman" w:cs="Times New Roman"/>
          <w:sz w:val="24"/>
          <w:szCs w:val="24"/>
        </w:rPr>
        <w:t xml:space="preserve"> distribution of </w:t>
      </w:r>
      <w:r w:rsidR="007E5394" w:rsidRPr="00C12279">
        <w:rPr>
          <w:rFonts w:ascii="Times New Roman" w:hAnsi="Times New Roman" w:cs="Times New Roman"/>
          <w:sz w:val="24"/>
          <w:szCs w:val="24"/>
        </w:rPr>
        <w:t xml:space="preserve">the </w:t>
      </w:r>
      <w:r w:rsidR="00664A2D" w:rsidRPr="00C12279">
        <w:rPr>
          <w:rFonts w:ascii="Times New Roman" w:hAnsi="Times New Roman" w:cs="Times New Roman"/>
          <w:sz w:val="24"/>
          <w:szCs w:val="24"/>
        </w:rPr>
        <w:t xml:space="preserve">final audit reports </w:t>
      </w:r>
      <w:r w:rsidR="007E5394" w:rsidRPr="00C12279">
        <w:rPr>
          <w:rFonts w:ascii="Times New Roman" w:hAnsi="Times New Roman" w:cs="Times New Roman"/>
          <w:sz w:val="24"/>
          <w:szCs w:val="24"/>
        </w:rPr>
        <w:t xml:space="preserve">would take place </w:t>
      </w:r>
      <w:r w:rsidR="00664A2D" w:rsidRPr="00C12279">
        <w:rPr>
          <w:rFonts w:ascii="Times New Roman" w:hAnsi="Times New Roman" w:cs="Times New Roman"/>
          <w:sz w:val="24"/>
          <w:szCs w:val="24"/>
        </w:rPr>
        <w:t xml:space="preserve">in March 2013. </w:t>
      </w:r>
    </w:p>
    <w:p w14:paraId="215D3DC4" w14:textId="190072FB" w:rsidR="00290206" w:rsidRPr="00C12279" w:rsidRDefault="001C7A44" w:rsidP="001335C0">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lastRenderedPageBreak/>
        <w:t>T</w:t>
      </w:r>
      <w:r w:rsidR="00E84181" w:rsidRPr="00C12279">
        <w:rPr>
          <w:rFonts w:ascii="Times New Roman" w:hAnsi="Times New Roman" w:cs="Times New Roman"/>
          <w:sz w:val="24"/>
          <w:szCs w:val="24"/>
        </w:rPr>
        <w:t>h</w:t>
      </w:r>
      <w:r w:rsidR="00AE1370">
        <w:rPr>
          <w:rFonts w:ascii="Times New Roman" w:hAnsi="Times New Roman" w:cs="Times New Roman"/>
          <w:sz w:val="24"/>
          <w:szCs w:val="24"/>
        </w:rPr>
        <w:t>e chief investigations officer</w:t>
      </w:r>
      <w:r w:rsidR="00E84181" w:rsidRPr="00C12279">
        <w:rPr>
          <w:rFonts w:ascii="Times New Roman" w:hAnsi="Times New Roman" w:cs="Times New Roman"/>
          <w:sz w:val="24"/>
          <w:szCs w:val="24"/>
        </w:rPr>
        <w:t xml:space="preserve"> </w:t>
      </w:r>
      <w:r w:rsidRPr="00C12279">
        <w:rPr>
          <w:rFonts w:ascii="Times New Roman" w:hAnsi="Times New Roman" w:cs="Times New Roman"/>
          <w:sz w:val="24"/>
          <w:szCs w:val="24"/>
        </w:rPr>
        <w:t xml:space="preserve">testified that </w:t>
      </w:r>
      <w:r w:rsidR="00E84181" w:rsidRPr="00C12279">
        <w:rPr>
          <w:rFonts w:ascii="Times New Roman" w:hAnsi="Times New Roman" w:cs="Times New Roman"/>
          <w:sz w:val="24"/>
          <w:szCs w:val="24"/>
        </w:rPr>
        <w:t>provision</w:t>
      </w:r>
      <w:r w:rsidRPr="00C12279">
        <w:rPr>
          <w:rFonts w:ascii="Times New Roman" w:hAnsi="Times New Roman" w:cs="Times New Roman"/>
          <w:sz w:val="24"/>
          <w:szCs w:val="24"/>
        </w:rPr>
        <w:t xml:space="preserve">s denoted </w:t>
      </w:r>
      <w:r w:rsidR="00E84181" w:rsidRPr="00C12279">
        <w:rPr>
          <w:rFonts w:ascii="Times New Roman" w:hAnsi="Times New Roman" w:cs="Times New Roman"/>
          <w:sz w:val="24"/>
          <w:szCs w:val="24"/>
        </w:rPr>
        <w:t xml:space="preserve">an impending service that </w:t>
      </w:r>
      <w:r w:rsidRPr="00C12279">
        <w:rPr>
          <w:rFonts w:ascii="Times New Roman" w:hAnsi="Times New Roman" w:cs="Times New Roman"/>
          <w:sz w:val="24"/>
          <w:szCs w:val="24"/>
        </w:rPr>
        <w:t xml:space="preserve">was accounted in the year of assessment </w:t>
      </w:r>
      <w:r w:rsidR="00E84181" w:rsidRPr="00C12279">
        <w:rPr>
          <w:rFonts w:ascii="Times New Roman" w:hAnsi="Times New Roman" w:cs="Times New Roman"/>
          <w:sz w:val="24"/>
          <w:szCs w:val="24"/>
        </w:rPr>
        <w:t>under the accounting prudence concept</w:t>
      </w:r>
      <w:r w:rsidRPr="00C12279">
        <w:rPr>
          <w:rFonts w:ascii="Times New Roman" w:hAnsi="Times New Roman" w:cs="Times New Roman"/>
          <w:sz w:val="24"/>
          <w:szCs w:val="24"/>
        </w:rPr>
        <w:t xml:space="preserve">. </w:t>
      </w:r>
      <w:r w:rsidR="00E84181" w:rsidRPr="00C12279">
        <w:rPr>
          <w:rFonts w:ascii="Times New Roman" w:hAnsi="Times New Roman" w:cs="Times New Roman"/>
          <w:sz w:val="24"/>
          <w:szCs w:val="24"/>
        </w:rPr>
        <w:t xml:space="preserve"> </w:t>
      </w:r>
      <w:r w:rsidRPr="00C12279">
        <w:rPr>
          <w:rFonts w:ascii="Times New Roman" w:hAnsi="Times New Roman" w:cs="Times New Roman"/>
          <w:sz w:val="24"/>
          <w:szCs w:val="24"/>
        </w:rPr>
        <w:t>He however</w:t>
      </w:r>
      <w:r w:rsidR="003A172C">
        <w:rPr>
          <w:rFonts w:ascii="Times New Roman" w:hAnsi="Times New Roman" w:cs="Times New Roman"/>
          <w:sz w:val="24"/>
          <w:szCs w:val="24"/>
        </w:rPr>
        <w:t>,</w:t>
      </w:r>
      <w:r w:rsidRPr="00C12279">
        <w:rPr>
          <w:rFonts w:ascii="Times New Roman" w:hAnsi="Times New Roman" w:cs="Times New Roman"/>
          <w:sz w:val="24"/>
          <w:szCs w:val="24"/>
        </w:rPr>
        <w:t xml:space="preserve"> indicated that</w:t>
      </w:r>
      <w:r w:rsidR="00E84181" w:rsidRPr="00C12279">
        <w:rPr>
          <w:rFonts w:ascii="Times New Roman" w:hAnsi="Times New Roman" w:cs="Times New Roman"/>
          <w:sz w:val="24"/>
          <w:szCs w:val="24"/>
        </w:rPr>
        <w:t xml:space="preserve"> such provisions </w:t>
      </w:r>
      <w:r w:rsidRPr="00C12279">
        <w:rPr>
          <w:rFonts w:ascii="Times New Roman" w:hAnsi="Times New Roman" w:cs="Times New Roman"/>
          <w:sz w:val="24"/>
          <w:szCs w:val="24"/>
        </w:rPr>
        <w:t>were treated as</w:t>
      </w:r>
      <w:r w:rsidR="00E84181" w:rsidRPr="00C12279">
        <w:rPr>
          <w:rFonts w:ascii="Times New Roman" w:hAnsi="Times New Roman" w:cs="Times New Roman"/>
          <w:sz w:val="24"/>
          <w:szCs w:val="24"/>
        </w:rPr>
        <w:t xml:space="preserve"> reserve funds </w:t>
      </w:r>
      <w:r w:rsidR="00852C42" w:rsidRPr="00C12279">
        <w:rPr>
          <w:rFonts w:ascii="Times New Roman" w:hAnsi="Times New Roman" w:cs="Times New Roman"/>
          <w:sz w:val="24"/>
          <w:szCs w:val="24"/>
        </w:rPr>
        <w:t xml:space="preserve">which were not deductible in the year of assessment but </w:t>
      </w:r>
      <w:r w:rsidR="00737F65" w:rsidRPr="00C12279">
        <w:rPr>
          <w:rFonts w:ascii="Times New Roman" w:hAnsi="Times New Roman" w:cs="Times New Roman"/>
          <w:sz w:val="24"/>
          <w:szCs w:val="24"/>
        </w:rPr>
        <w:t>in the following year being the year on which they were incurred</w:t>
      </w:r>
      <w:r w:rsidR="00852C42" w:rsidRPr="00C12279">
        <w:rPr>
          <w:rFonts w:ascii="Times New Roman" w:hAnsi="Times New Roman" w:cs="Times New Roman"/>
          <w:sz w:val="24"/>
          <w:szCs w:val="24"/>
        </w:rPr>
        <w:t>. The testimony of the chief investigati</w:t>
      </w:r>
      <w:r w:rsidR="00737F65" w:rsidRPr="00C12279">
        <w:rPr>
          <w:rFonts w:ascii="Times New Roman" w:hAnsi="Times New Roman" w:cs="Times New Roman"/>
          <w:sz w:val="24"/>
          <w:szCs w:val="24"/>
        </w:rPr>
        <w:t>ons officer that the real audit encompassed</w:t>
      </w:r>
      <w:r w:rsidR="004D0AB4" w:rsidRPr="00C12279">
        <w:rPr>
          <w:rFonts w:ascii="Times New Roman" w:hAnsi="Times New Roman" w:cs="Times New Roman"/>
          <w:sz w:val="24"/>
          <w:szCs w:val="24"/>
        </w:rPr>
        <w:t xml:space="preserve"> </w:t>
      </w:r>
      <w:r w:rsidR="006B1E4E" w:rsidRPr="00C12279">
        <w:rPr>
          <w:rFonts w:ascii="Times New Roman" w:hAnsi="Times New Roman" w:cs="Times New Roman"/>
          <w:sz w:val="24"/>
          <w:szCs w:val="24"/>
        </w:rPr>
        <w:t>the compilation of the statement of financial position, statement of comprehensive income, statement of changes in equity and cash flows</w:t>
      </w:r>
      <w:r w:rsidR="00FF31BE" w:rsidRPr="00C12279">
        <w:rPr>
          <w:rFonts w:ascii="Times New Roman" w:hAnsi="Times New Roman" w:cs="Times New Roman"/>
          <w:sz w:val="24"/>
          <w:szCs w:val="24"/>
        </w:rPr>
        <w:t xml:space="preserve"> and thereafter the invoicing for the work done was confirmed by the auditors</w:t>
      </w:r>
      <w:r w:rsidR="00737F65" w:rsidRPr="00C12279">
        <w:rPr>
          <w:rFonts w:ascii="Times New Roman" w:hAnsi="Times New Roman" w:cs="Times New Roman"/>
          <w:sz w:val="24"/>
          <w:szCs w:val="24"/>
        </w:rPr>
        <w:t xml:space="preserve"> engagement letters and </w:t>
      </w:r>
      <w:r w:rsidR="00FF31BE" w:rsidRPr="00C12279">
        <w:rPr>
          <w:rFonts w:ascii="Times New Roman" w:hAnsi="Times New Roman" w:cs="Times New Roman"/>
          <w:sz w:val="24"/>
          <w:szCs w:val="24"/>
        </w:rPr>
        <w:t>projections</w:t>
      </w:r>
      <w:r w:rsidR="006B1E4E" w:rsidRPr="00C12279">
        <w:rPr>
          <w:rFonts w:ascii="Times New Roman" w:hAnsi="Times New Roman" w:cs="Times New Roman"/>
          <w:sz w:val="24"/>
          <w:szCs w:val="24"/>
        </w:rPr>
        <w:t xml:space="preserve">. </w:t>
      </w:r>
      <w:r w:rsidR="00FF31BE" w:rsidRPr="00C12279">
        <w:rPr>
          <w:rFonts w:ascii="Times New Roman" w:hAnsi="Times New Roman" w:cs="Times New Roman"/>
          <w:sz w:val="24"/>
          <w:szCs w:val="24"/>
        </w:rPr>
        <w:t xml:space="preserve">The essence of </w:t>
      </w:r>
      <w:r w:rsidR="0017516D" w:rsidRPr="00C12279">
        <w:rPr>
          <w:rFonts w:ascii="Times New Roman" w:hAnsi="Times New Roman" w:cs="Times New Roman"/>
          <w:sz w:val="24"/>
          <w:szCs w:val="24"/>
        </w:rPr>
        <w:t>his testimony was that by agreement of the parties the liability to pay</w:t>
      </w:r>
      <w:r w:rsidR="00FF31BE" w:rsidRPr="00C12279">
        <w:rPr>
          <w:rFonts w:ascii="Times New Roman" w:hAnsi="Times New Roman" w:cs="Times New Roman"/>
          <w:sz w:val="24"/>
          <w:szCs w:val="24"/>
        </w:rPr>
        <w:t xml:space="preserve"> was incurred </w:t>
      </w:r>
      <w:r w:rsidR="00904BEF" w:rsidRPr="00C12279">
        <w:rPr>
          <w:rFonts w:ascii="Times New Roman" w:hAnsi="Times New Roman" w:cs="Times New Roman"/>
          <w:sz w:val="24"/>
          <w:szCs w:val="24"/>
        </w:rPr>
        <w:t>on the dates on which each stage of the contract was performed and not on the date on which the contract of engagement was entered into. My reading of the contract</w:t>
      </w:r>
      <w:r w:rsidR="0083363D" w:rsidRPr="00C12279">
        <w:rPr>
          <w:rFonts w:ascii="Times New Roman" w:hAnsi="Times New Roman" w:cs="Times New Roman"/>
          <w:sz w:val="24"/>
          <w:szCs w:val="24"/>
        </w:rPr>
        <w:t>s</w:t>
      </w:r>
      <w:r w:rsidR="00904BEF" w:rsidRPr="00C12279">
        <w:rPr>
          <w:rFonts w:ascii="Times New Roman" w:hAnsi="Times New Roman" w:cs="Times New Roman"/>
          <w:sz w:val="24"/>
          <w:szCs w:val="24"/>
        </w:rPr>
        <w:t xml:space="preserve"> of engagement is that the appellant incurred inchoate liability to pay at each stage of performance and an absolute liability to do so on the date on which </w:t>
      </w:r>
      <w:r w:rsidR="00F62E10" w:rsidRPr="00C12279">
        <w:rPr>
          <w:rFonts w:ascii="Times New Roman" w:hAnsi="Times New Roman" w:cs="Times New Roman"/>
          <w:sz w:val="24"/>
          <w:szCs w:val="24"/>
        </w:rPr>
        <w:t>performance was completed</w:t>
      </w:r>
      <w:r w:rsidR="00742958" w:rsidRPr="00C12279">
        <w:rPr>
          <w:rFonts w:ascii="Times New Roman" w:hAnsi="Times New Roman" w:cs="Times New Roman"/>
          <w:sz w:val="24"/>
          <w:szCs w:val="24"/>
        </w:rPr>
        <w:t xml:space="preserve"> and the amount</w:t>
      </w:r>
      <w:r w:rsidR="0083363D" w:rsidRPr="00C12279">
        <w:rPr>
          <w:rFonts w:ascii="Times New Roman" w:hAnsi="Times New Roman" w:cs="Times New Roman"/>
          <w:sz w:val="24"/>
          <w:szCs w:val="24"/>
        </w:rPr>
        <w:t xml:space="preserve"> actually expended</w:t>
      </w:r>
      <w:r w:rsidR="00742958" w:rsidRPr="00C12279">
        <w:rPr>
          <w:rFonts w:ascii="Times New Roman" w:hAnsi="Times New Roman" w:cs="Times New Roman"/>
          <w:sz w:val="24"/>
          <w:szCs w:val="24"/>
        </w:rPr>
        <w:t xml:space="preserve"> quant</w:t>
      </w:r>
      <w:r w:rsidR="0083363D" w:rsidRPr="00C12279">
        <w:rPr>
          <w:rFonts w:ascii="Times New Roman" w:hAnsi="Times New Roman" w:cs="Times New Roman"/>
          <w:sz w:val="24"/>
          <w:szCs w:val="24"/>
        </w:rPr>
        <w:t>ified and brought into account</w:t>
      </w:r>
      <w:r w:rsidR="00F62E10" w:rsidRPr="00C12279">
        <w:rPr>
          <w:rFonts w:ascii="Times New Roman" w:hAnsi="Times New Roman" w:cs="Times New Roman"/>
          <w:sz w:val="24"/>
          <w:szCs w:val="24"/>
        </w:rPr>
        <w:t xml:space="preserve">. </w:t>
      </w:r>
      <w:r w:rsidR="00D924DC" w:rsidRPr="00C12279">
        <w:rPr>
          <w:rFonts w:ascii="Times New Roman" w:hAnsi="Times New Roman" w:cs="Times New Roman"/>
          <w:sz w:val="24"/>
          <w:szCs w:val="24"/>
        </w:rPr>
        <w:t xml:space="preserve">The onus </w:t>
      </w:r>
      <w:r w:rsidR="00FF31BE" w:rsidRPr="00C12279">
        <w:rPr>
          <w:rFonts w:ascii="Times New Roman" w:hAnsi="Times New Roman" w:cs="Times New Roman"/>
          <w:sz w:val="24"/>
          <w:szCs w:val="24"/>
        </w:rPr>
        <w:t xml:space="preserve">to show when the audit commenced and when it was completed lay on the taxpayer. </w:t>
      </w:r>
    </w:p>
    <w:p w14:paraId="1B73796E" w14:textId="4C06A682" w:rsidR="004D4AC8" w:rsidRPr="00C12279" w:rsidRDefault="000D09A8" w:rsidP="00AD6517">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principle of law that </w:t>
      </w:r>
      <w:r w:rsidR="00153B26" w:rsidRPr="00C12279">
        <w:rPr>
          <w:rFonts w:ascii="Times New Roman" w:hAnsi="Times New Roman" w:cs="Times New Roman"/>
          <w:sz w:val="24"/>
          <w:szCs w:val="24"/>
        </w:rPr>
        <w:t xml:space="preserve">Lewis JP appears to have approved </w:t>
      </w:r>
      <w:r w:rsidR="00322437" w:rsidRPr="00C12279">
        <w:rPr>
          <w:rFonts w:ascii="Times New Roman" w:hAnsi="Times New Roman" w:cs="Times New Roman"/>
          <w:sz w:val="24"/>
          <w:szCs w:val="24"/>
        </w:rPr>
        <w:t xml:space="preserve">in </w:t>
      </w:r>
      <w:r w:rsidR="00322437" w:rsidRPr="00C12279">
        <w:rPr>
          <w:rFonts w:ascii="Times New Roman" w:hAnsi="Times New Roman" w:cs="Times New Roman"/>
          <w:i/>
          <w:sz w:val="24"/>
          <w:szCs w:val="24"/>
        </w:rPr>
        <w:t xml:space="preserve">Commissioner of Tax </w:t>
      </w:r>
      <w:r w:rsidR="00322437" w:rsidRPr="001335C0">
        <w:rPr>
          <w:rFonts w:ascii="Times New Roman" w:hAnsi="Times New Roman" w:cs="Times New Roman"/>
          <w:sz w:val="24"/>
          <w:szCs w:val="24"/>
        </w:rPr>
        <w:t>v</w:t>
      </w:r>
      <w:r w:rsidR="00322437" w:rsidRPr="00C12279">
        <w:rPr>
          <w:rFonts w:ascii="Times New Roman" w:hAnsi="Times New Roman" w:cs="Times New Roman"/>
          <w:i/>
          <w:sz w:val="24"/>
          <w:szCs w:val="24"/>
        </w:rPr>
        <w:t xml:space="preserve"> A</w:t>
      </w:r>
      <w:r w:rsidR="00322437" w:rsidRPr="00C12279">
        <w:rPr>
          <w:rFonts w:ascii="Times New Roman" w:hAnsi="Times New Roman" w:cs="Times New Roman"/>
          <w:sz w:val="24"/>
          <w:szCs w:val="24"/>
        </w:rPr>
        <w:t xml:space="preserve"> , </w:t>
      </w:r>
      <w:r w:rsidR="00322437" w:rsidRPr="00C12279">
        <w:rPr>
          <w:rFonts w:ascii="Times New Roman" w:hAnsi="Times New Roman" w:cs="Times New Roman"/>
          <w:i/>
          <w:sz w:val="24"/>
          <w:szCs w:val="24"/>
        </w:rPr>
        <w:t>supra,</w:t>
      </w:r>
      <w:r w:rsidR="00322437" w:rsidRPr="00C12279">
        <w:rPr>
          <w:rFonts w:ascii="Times New Roman" w:hAnsi="Times New Roman" w:cs="Times New Roman"/>
          <w:sz w:val="24"/>
          <w:szCs w:val="24"/>
        </w:rPr>
        <w:t xml:space="preserve"> at 415G-G-H by reference to the two Australian cases of </w:t>
      </w:r>
      <w:r w:rsidR="00437226" w:rsidRPr="00C12279">
        <w:rPr>
          <w:rFonts w:ascii="Times New Roman" w:hAnsi="Times New Roman" w:cs="Times New Roman"/>
          <w:i/>
          <w:sz w:val="24"/>
          <w:szCs w:val="24"/>
        </w:rPr>
        <w:t>Federal Commissioner of Taxation v James Flood (Pty) Ltd</w:t>
      </w:r>
      <w:r w:rsidR="00437226" w:rsidRPr="00C12279">
        <w:rPr>
          <w:rFonts w:ascii="Times New Roman" w:hAnsi="Times New Roman" w:cs="Times New Roman"/>
          <w:sz w:val="24"/>
          <w:szCs w:val="24"/>
        </w:rPr>
        <w:t xml:space="preserve"> (1953) 88 CLR </w:t>
      </w:r>
      <w:r w:rsidR="001517A6" w:rsidRPr="00C12279">
        <w:rPr>
          <w:rFonts w:ascii="Times New Roman" w:hAnsi="Times New Roman" w:cs="Times New Roman"/>
          <w:sz w:val="24"/>
          <w:szCs w:val="24"/>
        </w:rPr>
        <w:t xml:space="preserve">493 and </w:t>
      </w:r>
      <w:r w:rsidR="001517A6" w:rsidRPr="00C12279">
        <w:rPr>
          <w:rFonts w:ascii="Times New Roman" w:hAnsi="Times New Roman" w:cs="Times New Roman"/>
          <w:i/>
          <w:sz w:val="24"/>
          <w:szCs w:val="24"/>
        </w:rPr>
        <w:t xml:space="preserve">Nevill &amp; Co Ltd </w:t>
      </w:r>
      <w:r w:rsidR="001517A6" w:rsidRPr="001335C0">
        <w:rPr>
          <w:rFonts w:ascii="Times New Roman" w:hAnsi="Times New Roman" w:cs="Times New Roman"/>
          <w:sz w:val="24"/>
          <w:szCs w:val="24"/>
        </w:rPr>
        <w:t>v</w:t>
      </w:r>
      <w:r w:rsidR="001517A6" w:rsidRPr="00C12279">
        <w:rPr>
          <w:rFonts w:ascii="Times New Roman" w:hAnsi="Times New Roman" w:cs="Times New Roman"/>
          <w:i/>
          <w:sz w:val="24"/>
          <w:szCs w:val="24"/>
        </w:rPr>
        <w:t xml:space="preserve"> Federal Commissioner of Taxation </w:t>
      </w:r>
      <w:r w:rsidR="001517A6" w:rsidRPr="00C12279">
        <w:rPr>
          <w:rFonts w:ascii="Times New Roman" w:hAnsi="Times New Roman" w:cs="Times New Roman"/>
          <w:sz w:val="24"/>
          <w:szCs w:val="24"/>
        </w:rPr>
        <w:t xml:space="preserve">and the English case of </w:t>
      </w:r>
      <w:r w:rsidR="001517A6" w:rsidRPr="00C12279">
        <w:rPr>
          <w:rFonts w:ascii="Times New Roman" w:hAnsi="Times New Roman" w:cs="Times New Roman"/>
          <w:i/>
          <w:sz w:val="24"/>
          <w:szCs w:val="24"/>
        </w:rPr>
        <w:t xml:space="preserve">Edward Collins and Son Ltd </w:t>
      </w:r>
      <w:r w:rsidR="001517A6" w:rsidRPr="001335C0">
        <w:rPr>
          <w:rFonts w:ascii="Times New Roman" w:hAnsi="Times New Roman" w:cs="Times New Roman"/>
          <w:sz w:val="24"/>
          <w:szCs w:val="24"/>
        </w:rPr>
        <w:t>v</w:t>
      </w:r>
      <w:r w:rsidR="001517A6" w:rsidRPr="00C12279">
        <w:rPr>
          <w:rFonts w:ascii="Times New Roman" w:hAnsi="Times New Roman" w:cs="Times New Roman"/>
          <w:i/>
          <w:sz w:val="24"/>
          <w:szCs w:val="24"/>
        </w:rPr>
        <w:t xml:space="preserve"> IRC</w:t>
      </w:r>
      <w:r w:rsidR="001517A6" w:rsidRPr="00C12279">
        <w:rPr>
          <w:rFonts w:ascii="Times New Roman" w:hAnsi="Times New Roman" w:cs="Times New Roman"/>
          <w:sz w:val="24"/>
          <w:szCs w:val="24"/>
        </w:rPr>
        <w:t xml:space="preserve"> 12 TC 773 at 783 </w:t>
      </w:r>
      <w:r w:rsidR="00322437" w:rsidRPr="00C12279">
        <w:rPr>
          <w:rFonts w:ascii="Times New Roman" w:hAnsi="Times New Roman" w:cs="Times New Roman"/>
          <w:sz w:val="24"/>
          <w:szCs w:val="24"/>
        </w:rPr>
        <w:t xml:space="preserve">was that an expenditure or loss arising from the terms and conditions set out in a contract is incurred when the  contracted work is performed. </w:t>
      </w:r>
      <w:r w:rsidR="004D4AC8" w:rsidRPr="00C12279">
        <w:rPr>
          <w:rFonts w:ascii="Times New Roman" w:hAnsi="Times New Roman" w:cs="Times New Roman"/>
          <w:sz w:val="24"/>
          <w:szCs w:val="24"/>
        </w:rPr>
        <w:t xml:space="preserve">This view is supported by the underlined words by </w:t>
      </w:r>
      <w:r w:rsidR="004D4AC8" w:rsidRPr="001335C0">
        <w:rPr>
          <w:rFonts w:ascii="Times New Roman" w:hAnsi="Times New Roman" w:cs="Times New Roman"/>
          <w:smallCaps/>
          <w:sz w:val="24"/>
          <w:szCs w:val="24"/>
        </w:rPr>
        <w:t>Watermeyer AJP</w:t>
      </w:r>
      <w:r w:rsidR="004D4AC8" w:rsidRPr="00C12279">
        <w:rPr>
          <w:rFonts w:ascii="Times New Roman" w:hAnsi="Times New Roman" w:cs="Times New Roman"/>
          <w:sz w:val="24"/>
          <w:szCs w:val="24"/>
        </w:rPr>
        <w:t xml:space="preserve"> in </w:t>
      </w:r>
      <w:r w:rsidR="004D4AC8" w:rsidRPr="00C12279">
        <w:rPr>
          <w:rFonts w:ascii="Times New Roman" w:hAnsi="Times New Roman" w:cs="Times New Roman"/>
          <w:i/>
          <w:sz w:val="24"/>
          <w:szCs w:val="24"/>
        </w:rPr>
        <w:t xml:space="preserve">Port Elizabeth Electric Tramway Co Ltd </w:t>
      </w:r>
      <w:r w:rsidR="004D4AC8" w:rsidRPr="001335C0">
        <w:rPr>
          <w:rFonts w:ascii="Times New Roman" w:hAnsi="Times New Roman" w:cs="Times New Roman"/>
          <w:sz w:val="24"/>
          <w:szCs w:val="24"/>
        </w:rPr>
        <w:t xml:space="preserve">v </w:t>
      </w:r>
      <w:r w:rsidR="004D4AC8" w:rsidRPr="00C12279">
        <w:rPr>
          <w:rFonts w:ascii="Times New Roman" w:hAnsi="Times New Roman" w:cs="Times New Roman"/>
          <w:i/>
          <w:sz w:val="24"/>
          <w:szCs w:val="24"/>
        </w:rPr>
        <w:t xml:space="preserve">CIR </w:t>
      </w:r>
      <w:r w:rsidR="004D4AC8" w:rsidRPr="00C12279">
        <w:rPr>
          <w:rFonts w:ascii="Times New Roman" w:hAnsi="Times New Roman" w:cs="Times New Roman"/>
          <w:sz w:val="24"/>
          <w:szCs w:val="24"/>
        </w:rPr>
        <w:t xml:space="preserve"> 8 SATC 13 (1936 CPD 241 who at p 15 that:</w:t>
      </w:r>
    </w:p>
    <w:p w14:paraId="4EC2ABA2" w14:textId="77777777" w:rsidR="00EB3577" w:rsidRPr="00C12279" w:rsidRDefault="004D4AC8" w:rsidP="001335C0">
      <w:pPr>
        <w:spacing w:line="240" w:lineRule="auto"/>
        <w:ind w:left="720"/>
        <w:jc w:val="both"/>
        <w:rPr>
          <w:rFonts w:ascii="Times New Roman" w:hAnsi="Times New Roman" w:cs="Times New Roman"/>
          <w:sz w:val="24"/>
          <w:szCs w:val="24"/>
        </w:rPr>
      </w:pPr>
      <w:r w:rsidRPr="00C12279">
        <w:rPr>
          <w:rFonts w:ascii="Times New Roman" w:hAnsi="Times New Roman" w:cs="Times New Roman"/>
          <w:sz w:val="24"/>
          <w:szCs w:val="24"/>
        </w:rPr>
        <w:t>“</w:t>
      </w:r>
      <w:r w:rsidRPr="001335C0">
        <w:rPr>
          <w:rFonts w:ascii="Times New Roman" w:hAnsi="Times New Roman" w:cs="Times New Roman"/>
        </w:rPr>
        <w:t xml:space="preserve">But expenses “actually incurred” cannot mean actually paid”. So long as the liability to pay them actually has been incurred they may be deductible. </w:t>
      </w:r>
      <w:r w:rsidRPr="001335C0">
        <w:rPr>
          <w:rFonts w:ascii="Times New Roman" w:hAnsi="Times New Roman" w:cs="Times New Roman"/>
          <w:u w:val="single"/>
        </w:rPr>
        <w:t>For instance, a trader may at the end of the income tax year owe money for stock purchases in the course of the year or for services rendered to him. He has not paid such liabilities but they are deductible</w:t>
      </w:r>
      <w:r w:rsidRPr="00C12279">
        <w:rPr>
          <w:rFonts w:ascii="Times New Roman" w:hAnsi="Times New Roman" w:cs="Times New Roman"/>
          <w:sz w:val="24"/>
          <w:szCs w:val="24"/>
        </w:rPr>
        <w:t xml:space="preserve">.”(My underlining for emphasis) </w:t>
      </w:r>
    </w:p>
    <w:p w14:paraId="6CBD5CC7" w14:textId="1B349B66" w:rsidR="004E15CC" w:rsidRPr="001335C0" w:rsidRDefault="004D4AC8" w:rsidP="001335C0">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clear principle arising from these cases is that the unconditional obligation to pay is incurred when the work is done or the services are rendered. </w:t>
      </w:r>
      <w:r w:rsidR="004E15CC" w:rsidRPr="00C12279">
        <w:rPr>
          <w:rFonts w:ascii="Times New Roman" w:hAnsi="Times New Roman" w:cs="Times New Roman"/>
          <w:sz w:val="24"/>
          <w:szCs w:val="24"/>
        </w:rPr>
        <w:t xml:space="preserve"> </w:t>
      </w:r>
      <w:r w:rsidR="00EB3577" w:rsidRPr="00C12279">
        <w:rPr>
          <w:rFonts w:ascii="Times New Roman" w:hAnsi="Times New Roman" w:cs="Times New Roman"/>
          <w:sz w:val="24"/>
          <w:szCs w:val="24"/>
        </w:rPr>
        <w:t>In my view, the provisions made in respect of the audit fees constituted a contingent liability, the performance of which was “impending, threatened or expected” in the future.</w:t>
      </w:r>
      <w:r w:rsidR="004E15CC" w:rsidRPr="00C12279">
        <w:rPr>
          <w:rFonts w:ascii="Times New Roman" w:hAnsi="Times New Roman" w:cs="Times New Roman"/>
          <w:sz w:val="24"/>
          <w:szCs w:val="24"/>
        </w:rPr>
        <w:t xml:space="preserve"> The appellant wrongly sought to deduct them in the years in which the provisions were made.</w:t>
      </w:r>
    </w:p>
    <w:p w14:paraId="1A0B3F95" w14:textId="77777777" w:rsidR="004E15CC" w:rsidRPr="00C12279" w:rsidRDefault="007728DA" w:rsidP="007370F3">
      <w:pPr>
        <w:jc w:val="both"/>
        <w:rPr>
          <w:rFonts w:ascii="Times New Roman" w:hAnsi="Times New Roman" w:cs="Times New Roman"/>
          <w:i/>
          <w:sz w:val="24"/>
          <w:szCs w:val="24"/>
        </w:rPr>
      </w:pPr>
      <w:r w:rsidRPr="00C12279">
        <w:rPr>
          <w:rFonts w:ascii="Times New Roman" w:hAnsi="Times New Roman" w:cs="Times New Roman"/>
          <w:i/>
          <w:sz w:val="24"/>
          <w:szCs w:val="24"/>
        </w:rPr>
        <w:lastRenderedPageBreak/>
        <w:t>The practice generally prevailing</w:t>
      </w:r>
    </w:p>
    <w:p w14:paraId="54F61ADA" w14:textId="7E518640" w:rsidR="00840757" w:rsidRPr="00C12279" w:rsidRDefault="00840757" w:rsidP="001335C0">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 must point out that this alternative ground was not raised by the appellant in the objection letter and cannot be considered unless leave, based on agreement or good cause has been granted in terms of s 65 (4) of the Income Tax Act. The appellant did not </w:t>
      </w:r>
      <w:r w:rsidR="00DF54FC" w:rsidRPr="00C12279">
        <w:rPr>
          <w:rFonts w:ascii="Times New Roman" w:hAnsi="Times New Roman" w:cs="Times New Roman"/>
          <w:sz w:val="24"/>
          <w:szCs w:val="24"/>
        </w:rPr>
        <w:t>seek leave</w:t>
      </w:r>
      <w:r w:rsidRPr="00C12279">
        <w:rPr>
          <w:rFonts w:ascii="Times New Roman" w:hAnsi="Times New Roman" w:cs="Times New Roman"/>
          <w:sz w:val="24"/>
          <w:szCs w:val="24"/>
        </w:rPr>
        <w:t xml:space="preserve"> and none was granted</w:t>
      </w:r>
      <w:r w:rsidR="00DF54FC" w:rsidRPr="00C12279">
        <w:rPr>
          <w:rFonts w:ascii="Times New Roman" w:hAnsi="Times New Roman" w:cs="Times New Roman"/>
          <w:sz w:val="24"/>
          <w:szCs w:val="24"/>
        </w:rPr>
        <w:t xml:space="preserve">. I decided to deal with the point simply because it raised an important issue regarding the use of the Assessors’ Handbook in determining the existence of a practice generally prevailing in the Commissioner’s office. </w:t>
      </w:r>
    </w:p>
    <w:p w14:paraId="1C2B837D" w14:textId="5ABDD31E" w:rsidR="00660549" w:rsidRPr="00C12279" w:rsidRDefault="00660549" w:rsidP="001335C0">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ITC 1495 (1991) 53 SATC 216 (T) at 225 Melamet J relied on the </w:t>
      </w:r>
      <w:r w:rsidRPr="00C12279">
        <w:rPr>
          <w:rFonts w:ascii="Times New Roman" w:hAnsi="Times New Roman" w:cs="Times New Roman"/>
          <w:i/>
          <w:sz w:val="24"/>
          <w:szCs w:val="24"/>
        </w:rPr>
        <w:t xml:space="preserve">Shorter Oxford English Dictionary </w:t>
      </w:r>
      <w:r w:rsidRPr="00C12279">
        <w:rPr>
          <w:rFonts w:ascii="Times New Roman" w:hAnsi="Times New Roman" w:cs="Times New Roman"/>
          <w:sz w:val="24"/>
          <w:szCs w:val="24"/>
        </w:rPr>
        <w:t>in defining the phrase “practice gen</w:t>
      </w:r>
      <w:r w:rsidR="000B2CA9" w:rsidRPr="00C12279">
        <w:rPr>
          <w:rFonts w:ascii="Times New Roman" w:hAnsi="Times New Roman" w:cs="Times New Roman"/>
          <w:sz w:val="24"/>
          <w:szCs w:val="24"/>
        </w:rPr>
        <w:t xml:space="preserve">erally prevailing” as a common habitual action </w:t>
      </w:r>
      <w:r w:rsidRPr="00C12279">
        <w:rPr>
          <w:rFonts w:ascii="Times New Roman" w:hAnsi="Times New Roman" w:cs="Times New Roman"/>
          <w:sz w:val="24"/>
          <w:szCs w:val="24"/>
        </w:rPr>
        <w:t>authorised, approved and ap</w:t>
      </w:r>
      <w:r w:rsidR="00F5785F" w:rsidRPr="00C12279">
        <w:rPr>
          <w:rFonts w:ascii="Times New Roman" w:hAnsi="Times New Roman" w:cs="Times New Roman"/>
          <w:sz w:val="24"/>
          <w:szCs w:val="24"/>
        </w:rPr>
        <w:t>plied by the Commissioner. It was</w:t>
      </w:r>
      <w:r w:rsidRPr="00C12279">
        <w:rPr>
          <w:rFonts w:ascii="Times New Roman" w:hAnsi="Times New Roman" w:cs="Times New Roman"/>
          <w:sz w:val="24"/>
          <w:szCs w:val="24"/>
        </w:rPr>
        <w:t xml:space="preserve"> common cause</w:t>
      </w:r>
      <w:r w:rsidR="00F5785F" w:rsidRPr="00C12279">
        <w:rPr>
          <w:rFonts w:ascii="Times New Roman" w:hAnsi="Times New Roman" w:cs="Times New Roman"/>
          <w:sz w:val="24"/>
          <w:szCs w:val="24"/>
        </w:rPr>
        <w:t xml:space="preserve"> that the onus lay</w:t>
      </w:r>
      <w:r w:rsidRPr="00C12279">
        <w:rPr>
          <w:rFonts w:ascii="Times New Roman" w:hAnsi="Times New Roman" w:cs="Times New Roman"/>
          <w:sz w:val="24"/>
          <w:szCs w:val="24"/>
        </w:rPr>
        <w:t xml:space="preserve"> on the taxpayer to prove </w:t>
      </w:r>
      <w:r w:rsidR="00F5785F" w:rsidRPr="00C12279">
        <w:rPr>
          <w:rFonts w:ascii="Times New Roman" w:hAnsi="Times New Roman" w:cs="Times New Roman"/>
          <w:sz w:val="24"/>
          <w:szCs w:val="24"/>
        </w:rPr>
        <w:t>the existence of such a practice. The appellant relied on the testimony of the tax consultant and an extract</w:t>
      </w:r>
      <w:r w:rsidRPr="00C12279">
        <w:rPr>
          <w:rFonts w:ascii="Times New Roman" w:hAnsi="Times New Roman" w:cs="Times New Roman"/>
          <w:sz w:val="24"/>
          <w:szCs w:val="24"/>
        </w:rPr>
        <w:t xml:space="preserve"> from the </w:t>
      </w:r>
      <w:r w:rsidR="00A0051E" w:rsidRPr="00C12279">
        <w:rPr>
          <w:rFonts w:ascii="Times New Roman" w:hAnsi="Times New Roman" w:cs="Times New Roman"/>
          <w:sz w:val="24"/>
          <w:szCs w:val="24"/>
        </w:rPr>
        <w:t>Commissioner’s Assessors’</w:t>
      </w:r>
      <w:r w:rsidRPr="00C12279">
        <w:rPr>
          <w:rFonts w:ascii="Times New Roman" w:hAnsi="Times New Roman" w:cs="Times New Roman"/>
          <w:sz w:val="24"/>
          <w:szCs w:val="24"/>
        </w:rPr>
        <w:t xml:space="preserve"> Handbook</w:t>
      </w:r>
      <w:r w:rsidR="00BE5F9D" w:rsidRPr="00C12279">
        <w:rPr>
          <w:rFonts w:ascii="Times New Roman" w:hAnsi="Times New Roman" w:cs="Times New Roman"/>
          <w:sz w:val="24"/>
          <w:szCs w:val="24"/>
        </w:rPr>
        <w:t xml:space="preserve">, a private and confidential </w:t>
      </w:r>
      <w:r w:rsidR="00041B5D" w:rsidRPr="00C12279">
        <w:rPr>
          <w:rFonts w:ascii="Times New Roman" w:hAnsi="Times New Roman" w:cs="Times New Roman"/>
          <w:sz w:val="24"/>
          <w:szCs w:val="24"/>
        </w:rPr>
        <w:t>internal document issued</w:t>
      </w:r>
      <w:r w:rsidR="00BE5F9D" w:rsidRPr="00C12279">
        <w:rPr>
          <w:rFonts w:ascii="Times New Roman" w:hAnsi="Times New Roman" w:cs="Times New Roman"/>
          <w:sz w:val="24"/>
          <w:szCs w:val="24"/>
        </w:rPr>
        <w:t xml:space="preserve"> by the respondent </w:t>
      </w:r>
      <w:r w:rsidR="00FD0E8E" w:rsidRPr="00C12279">
        <w:rPr>
          <w:rFonts w:ascii="Times New Roman" w:hAnsi="Times New Roman" w:cs="Times New Roman"/>
          <w:sz w:val="24"/>
          <w:szCs w:val="24"/>
        </w:rPr>
        <w:t xml:space="preserve">for the guidance of his employees in applying the provisions of the Income Tax Act. </w:t>
      </w:r>
    </w:p>
    <w:p w14:paraId="34F6DBA6" w14:textId="56155349" w:rsidR="00CC1E6D" w:rsidRPr="00C12279" w:rsidRDefault="007728DA" w:rsidP="001335C0">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appellan</w:t>
      </w:r>
      <w:r w:rsidR="007378F3" w:rsidRPr="00C12279">
        <w:rPr>
          <w:rFonts w:ascii="Times New Roman" w:hAnsi="Times New Roman" w:cs="Times New Roman"/>
          <w:sz w:val="24"/>
          <w:szCs w:val="24"/>
        </w:rPr>
        <w:t>t’s first witness introduced</w:t>
      </w:r>
      <w:r w:rsidRPr="00C12279">
        <w:rPr>
          <w:rFonts w:ascii="Times New Roman" w:hAnsi="Times New Roman" w:cs="Times New Roman"/>
          <w:sz w:val="24"/>
          <w:szCs w:val="24"/>
        </w:rPr>
        <w:t xml:space="preserve"> para 145 (</w:t>
      </w:r>
      <w:r w:rsidR="00B31DE6" w:rsidRPr="00C12279">
        <w:rPr>
          <w:rFonts w:ascii="Times New Roman" w:hAnsi="Times New Roman" w:cs="Times New Roman"/>
          <w:sz w:val="24"/>
          <w:szCs w:val="24"/>
        </w:rPr>
        <w:t>e)</w:t>
      </w:r>
      <w:r w:rsidRPr="00C12279">
        <w:rPr>
          <w:rFonts w:ascii="Times New Roman" w:hAnsi="Times New Roman" w:cs="Times New Roman"/>
          <w:sz w:val="24"/>
          <w:szCs w:val="24"/>
        </w:rPr>
        <w:t xml:space="preserve"> of the Assessor’s Handbook into evidence</w:t>
      </w:r>
      <w:r w:rsidR="004162B5" w:rsidRPr="00C12279">
        <w:rPr>
          <w:rFonts w:ascii="Times New Roman" w:hAnsi="Times New Roman" w:cs="Times New Roman"/>
          <w:sz w:val="24"/>
          <w:szCs w:val="24"/>
        </w:rPr>
        <w:t xml:space="preserve"> notwithstanding that the appellant had cited its contents in its letter of 19 June 2014</w:t>
      </w:r>
      <w:r w:rsidRPr="00C12279">
        <w:rPr>
          <w:rFonts w:ascii="Times New Roman" w:hAnsi="Times New Roman" w:cs="Times New Roman"/>
          <w:sz w:val="24"/>
          <w:szCs w:val="24"/>
        </w:rPr>
        <w:t xml:space="preserve">. </w:t>
      </w:r>
      <w:r w:rsidR="00B31DE6" w:rsidRPr="00C12279">
        <w:rPr>
          <w:rFonts w:ascii="Times New Roman" w:hAnsi="Times New Roman" w:cs="Times New Roman"/>
          <w:sz w:val="24"/>
          <w:szCs w:val="24"/>
        </w:rPr>
        <w:t xml:space="preserve">She </w:t>
      </w:r>
      <w:r w:rsidR="00A0051E" w:rsidRPr="00C12279">
        <w:rPr>
          <w:rFonts w:ascii="Times New Roman" w:hAnsi="Times New Roman" w:cs="Times New Roman"/>
          <w:sz w:val="24"/>
          <w:szCs w:val="24"/>
        </w:rPr>
        <w:t xml:space="preserve">worked for the respondent as an assessor between 1995 and 2005 and </w:t>
      </w:r>
      <w:r w:rsidR="00FA6F68" w:rsidRPr="00C12279">
        <w:rPr>
          <w:rFonts w:ascii="Times New Roman" w:hAnsi="Times New Roman" w:cs="Times New Roman"/>
          <w:sz w:val="24"/>
          <w:szCs w:val="24"/>
        </w:rPr>
        <w:t xml:space="preserve">as an investigator </w:t>
      </w:r>
      <w:r w:rsidR="00DB7C9C" w:rsidRPr="00C12279">
        <w:rPr>
          <w:rFonts w:ascii="Times New Roman" w:hAnsi="Times New Roman" w:cs="Times New Roman"/>
          <w:sz w:val="24"/>
          <w:szCs w:val="24"/>
        </w:rPr>
        <w:t xml:space="preserve">for a few months </w:t>
      </w:r>
      <w:r w:rsidR="00FA6F68" w:rsidRPr="00C12279">
        <w:rPr>
          <w:rFonts w:ascii="Times New Roman" w:hAnsi="Times New Roman" w:cs="Times New Roman"/>
          <w:sz w:val="24"/>
          <w:szCs w:val="24"/>
        </w:rPr>
        <w:t xml:space="preserve">before resigning in 2006. She runs her own tax consultancy.  </w:t>
      </w:r>
      <w:r w:rsidR="0079578E" w:rsidRPr="00C12279">
        <w:rPr>
          <w:rFonts w:ascii="Times New Roman" w:hAnsi="Times New Roman" w:cs="Times New Roman"/>
          <w:sz w:val="24"/>
          <w:szCs w:val="24"/>
        </w:rPr>
        <w:t>It was common cause that s</w:t>
      </w:r>
      <w:r w:rsidR="00FA6F68" w:rsidRPr="00C12279">
        <w:rPr>
          <w:rFonts w:ascii="Times New Roman" w:hAnsi="Times New Roman" w:cs="Times New Roman"/>
          <w:sz w:val="24"/>
          <w:szCs w:val="24"/>
        </w:rPr>
        <w:t>elf-assessments were introduced by legislation on 1 January 2007</w:t>
      </w:r>
      <w:r w:rsidR="00DB7C9C" w:rsidRPr="00C12279">
        <w:rPr>
          <w:rFonts w:ascii="Times New Roman" w:hAnsi="Times New Roman" w:cs="Times New Roman"/>
          <w:sz w:val="24"/>
          <w:szCs w:val="24"/>
        </w:rPr>
        <w:t xml:space="preserve">. Her testimony was based on her personal experience as a tax consultant and the contents of para 145 (e) </w:t>
      </w:r>
      <w:r w:rsidR="00A0051E" w:rsidRPr="00C12279">
        <w:rPr>
          <w:rFonts w:ascii="Times New Roman" w:hAnsi="Times New Roman" w:cs="Times New Roman"/>
          <w:sz w:val="24"/>
          <w:szCs w:val="24"/>
        </w:rPr>
        <w:t>of the Assessor</w:t>
      </w:r>
      <w:r w:rsidR="00DB7C9C" w:rsidRPr="00C12279">
        <w:rPr>
          <w:rFonts w:ascii="Times New Roman" w:hAnsi="Times New Roman" w:cs="Times New Roman"/>
          <w:sz w:val="24"/>
          <w:szCs w:val="24"/>
        </w:rPr>
        <w:t>s</w:t>
      </w:r>
      <w:r w:rsidR="00A0051E" w:rsidRPr="00C12279">
        <w:rPr>
          <w:rFonts w:ascii="Times New Roman" w:hAnsi="Times New Roman" w:cs="Times New Roman"/>
          <w:sz w:val="24"/>
          <w:szCs w:val="24"/>
        </w:rPr>
        <w:t>’</w:t>
      </w:r>
      <w:r w:rsidR="00DB7C9C" w:rsidRPr="00C12279">
        <w:rPr>
          <w:rFonts w:ascii="Times New Roman" w:hAnsi="Times New Roman" w:cs="Times New Roman"/>
          <w:sz w:val="24"/>
          <w:szCs w:val="24"/>
        </w:rPr>
        <w:t xml:space="preserve"> Handbook</w:t>
      </w:r>
      <w:r w:rsidR="00FD0E8E" w:rsidRPr="00C12279">
        <w:rPr>
          <w:rFonts w:ascii="Times New Roman" w:hAnsi="Times New Roman" w:cs="Times New Roman"/>
          <w:sz w:val="24"/>
          <w:szCs w:val="24"/>
        </w:rPr>
        <w:t>.</w:t>
      </w:r>
      <w:r w:rsidR="00CC1E6D" w:rsidRPr="00C12279">
        <w:rPr>
          <w:rFonts w:ascii="Times New Roman" w:hAnsi="Times New Roman" w:cs="Times New Roman"/>
          <w:sz w:val="24"/>
          <w:szCs w:val="24"/>
        </w:rPr>
        <w:t xml:space="preserve"> </w:t>
      </w:r>
      <w:r w:rsidR="004162B5" w:rsidRPr="00C12279">
        <w:rPr>
          <w:rFonts w:ascii="Times New Roman" w:hAnsi="Times New Roman" w:cs="Times New Roman"/>
          <w:sz w:val="24"/>
          <w:szCs w:val="24"/>
        </w:rPr>
        <w:t>An ex</w:t>
      </w:r>
      <w:r w:rsidR="00A0051E" w:rsidRPr="00C12279">
        <w:rPr>
          <w:rFonts w:ascii="Times New Roman" w:hAnsi="Times New Roman" w:cs="Times New Roman"/>
          <w:sz w:val="24"/>
          <w:szCs w:val="24"/>
        </w:rPr>
        <w:t xml:space="preserve">tract of the relevant paragraph, which </w:t>
      </w:r>
      <w:r w:rsidR="004162B5" w:rsidRPr="00C12279">
        <w:rPr>
          <w:rFonts w:ascii="Times New Roman" w:hAnsi="Times New Roman" w:cs="Times New Roman"/>
          <w:sz w:val="24"/>
          <w:szCs w:val="24"/>
        </w:rPr>
        <w:t xml:space="preserve">was </w:t>
      </w:r>
      <w:r w:rsidR="007F0A63" w:rsidRPr="00C12279">
        <w:rPr>
          <w:rFonts w:ascii="Times New Roman" w:hAnsi="Times New Roman" w:cs="Times New Roman"/>
          <w:sz w:val="24"/>
          <w:szCs w:val="24"/>
        </w:rPr>
        <w:t xml:space="preserve">reluctantly </w:t>
      </w:r>
      <w:r w:rsidR="004162B5" w:rsidRPr="00C12279">
        <w:rPr>
          <w:rFonts w:ascii="Times New Roman" w:hAnsi="Times New Roman" w:cs="Times New Roman"/>
          <w:sz w:val="24"/>
          <w:szCs w:val="24"/>
        </w:rPr>
        <w:t xml:space="preserve">produced by the </w:t>
      </w:r>
      <w:r w:rsidR="007F0A63" w:rsidRPr="00C12279">
        <w:rPr>
          <w:rFonts w:ascii="Times New Roman" w:hAnsi="Times New Roman" w:cs="Times New Roman"/>
          <w:sz w:val="24"/>
          <w:szCs w:val="24"/>
        </w:rPr>
        <w:t xml:space="preserve">respondent by </w:t>
      </w:r>
      <w:r w:rsidR="00FD0E8E" w:rsidRPr="00C12279">
        <w:rPr>
          <w:rFonts w:ascii="Times New Roman" w:hAnsi="Times New Roman" w:cs="Times New Roman"/>
          <w:sz w:val="24"/>
          <w:szCs w:val="24"/>
        </w:rPr>
        <w:t xml:space="preserve">order of Court </w:t>
      </w:r>
      <w:r w:rsidR="007F0A63" w:rsidRPr="00C12279">
        <w:rPr>
          <w:rFonts w:ascii="Times New Roman" w:hAnsi="Times New Roman" w:cs="Times New Roman"/>
          <w:sz w:val="24"/>
          <w:szCs w:val="24"/>
        </w:rPr>
        <w:t>at the hearing reads:</w:t>
      </w:r>
    </w:p>
    <w:p w14:paraId="63913F50" w14:textId="77777777" w:rsidR="004162B5" w:rsidRPr="001335C0" w:rsidRDefault="004162B5" w:rsidP="001335C0">
      <w:pPr>
        <w:ind w:left="720"/>
        <w:jc w:val="both"/>
        <w:rPr>
          <w:rFonts w:ascii="Times New Roman" w:hAnsi="Times New Roman" w:cs="Times New Roman"/>
        </w:rPr>
      </w:pPr>
      <w:r w:rsidRPr="001335C0">
        <w:rPr>
          <w:rFonts w:ascii="Times New Roman" w:hAnsi="Times New Roman" w:cs="Times New Roman"/>
        </w:rPr>
        <w:t>“[145]</w:t>
      </w:r>
      <w:r w:rsidRPr="001335C0">
        <w:rPr>
          <w:rFonts w:ascii="Times New Roman" w:hAnsi="Times New Roman" w:cs="Times New Roman"/>
        </w:rPr>
        <w:tab/>
        <w:t>this subsection details the expenses which a client is not entitled to deduct from his income. The deductions not allowed are:</w:t>
      </w:r>
    </w:p>
    <w:p w14:paraId="5636D5C6" w14:textId="6F73A2B8" w:rsidR="004162B5" w:rsidRPr="001335C0" w:rsidRDefault="004162B5" w:rsidP="007370F3">
      <w:pPr>
        <w:ind w:left="2160" w:hanging="720"/>
        <w:jc w:val="both"/>
        <w:rPr>
          <w:rFonts w:ascii="Times New Roman" w:hAnsi="Times New Roman" w:cs="Times New Roman"/>
        </w:rPr>
      </w:pPr>
      <w:r w:rsidRPr="001335C0">
        <w:rPr>
          <w:rFonts w:ascii="Times New Roman" w:hAnsi="Times New Roman" w:cs="Times New Roman"/>
        </w:rPr>
        <w:t>(e)</w:t>
      </w:r>
      <w:r w:rsidRPr="001335C0">
        <w:rPr>
          <w:rFonts w:ascii="Times New Roman" w:hAnsi="Times New Roman" w:cs="Times New Roman"/>
        </w:rPr>
        <w:tab/>
      </w:r>
      <w:r w:rsidR="00197BCE" w:rsidRPr="001335C0">
        <w:rPr>
          <w:rFonts w:ascii="Times New Roman" w:hAnsi="Times New Roman" w:cs="Times New Roman"/>
        </w:rPr>
        <w:t>Income</w:t>
      </w:r>
      <w:r w:rsidRPr="001335C0">
        <w:rPr>
          <w:rFonts w:ascii="Times New Roman" w:hAnsi="Times New Roman" w:cs="Times New Roman"/>
        </w:rPr>
        <w:t xml:space="preserve"> taken to a reserve fund or capitalised in any way. In practice this paragraph is not applied to specific reserves created in respect of leave pay, directors’ fees, bonuses and the like. Such reserves and provisions will be allowable deductions if-</w:t>
      </w:r>
    </w:p>
    <w:p w14:paraId="10B3F47C" w14:textId="77777777" w:rsidR="004162B5" w:rsidRPr="001335C0" w:rsidRDefault="004162B5" w:rsidP="007370F3">
      <w:pPr>
        <w:ind w:left="2880" w:hanging="720"/>
        <w:jc w:val="both"/>
        <w:rPr>
          <w:rFonts w:ascii="Times New Roman" w:hAnsi="Times New Roman" w:cs="Times New Roman"/>
        </w:rPr>
      </w:pPr>
      <w:r w:rsidRPr="001335C0">
        <w:rPr>
          <w:rFonts w:ascii="Times New Roman" w:hAnsi="Times New Roman" w:cs="Times New Roman"/>
        </w:rPr>
        <w:t>(i)</w:t>
      </w:r>
      <w:r w:rsidRPr="001335C0">
        <w:rPr>
          <w:rFonts w:ascii="Times New Roman" w:hAnsi="Times New Roman" w:cs="Times New Roman"/>
        </w:rPr>
        <w:tab/>
        <w:t xml:space="preserve">the amounts are voted on or before the date of the relative accounts or the annual general meeting at which they were considered; and </w:t>
      </w:r>
    </w:p>
    <w:p w14:paraId="62B6ED92" w14:textId="77777777" w:rsidR="004162B5" w:rsidRPr="001335C0" w:rsidRDefault="004162B5" w:rsidP="007370F3">
      <w:pPr>
        <w:ind w:left="2880" w:hanging="720"/>
        <w:jc w:val="both"/>
        <w:rPr>
          <w:rFonts w:ascii="Times New Roman" w:hAnsi="Times New Roman" w:cs="Times New Roman"/>
        </w:rPr>
      </w:pPr>
      <w:r w:rsidRPr="001335C0">
        <w:rPr>
          <w:rFonts w:ascii="Times New Roman" w:hAnsi="Times New Roman" w:cs="Times New Roman"/>
        </w:rPr>
        <w:t>(ii)</w:t>
      </w:r>
      <w:r w:rsidRPr="001335C0">
        <w:rPr>
          <w:rFonts w:ascii="Times New Roman" w:hAnsi="Times New Roman" w:cs="Times New Roman"/>
        </w:rPr>
        <w:tab/>
        <w:t>the income is taxable in the year of assessment following that in which it is allowed as a deduction.”</w:t>
      </w:r>
    </w:p>
    <w:p w14:paraId="1EC4E08B" w14:textId="44F907EC" w:rsidR="004162B5" w:rsidRPr="00C12279" w:rsidRDefault="004162B5" w:rsidP="007370F3">
      <w:pPr>
        <w:ind w:left="2160"/>
        <w:jc w:val="both"/>
        <w:rPr>
          <w:rFonts w:ascii="Times New Roman" w:hAnsi="Times New Roman" w:cs="Times New Roman"/>
          <w:sz w:val="24"/>
          <w:szCs w:val="24"/>
        </w:rPr>
      </w:pPr>
      <w:r w:rsidRPr="001335C0">
        <w:rPr>
          <w:rFonts w:ascii="Times New Roman" w:hAnsi="Times New Roman" w:cs="Times New Roman"/>
        </w:rPr>
        <w:t>Similarly amounts due in terms of some in</w:t>
      </w:r>
      <w:r w:rsidR="00197BCE" w:rsidRPr="001335C0">
        <w:rPr>
          <w:rFonts w:ascii="Times New Roman" w:hAnsi="Times New Roman" w:cs="Times New Roman"/>
        </w:rPr>
        <w:t xml:space="preserve">dustrial law or regulations are </w:t>
      </w:r>
      <w:r w:rsidRPr="001335C0">
        <w:rPr>
          <w:rFonts w:ascii="Times New Roman" w:hAnsi="Times New Roman" w:cs="Times New Roman"/>
        </w:rPr>
        <w:t>treated as allowable deductions having been properly incurred during the year of assessment. In no circumstances however are provisions for anticipated or contin</w:t>
      </w:r>
      <w:r w:rsidR="009638E2" w:rsidRPr="001335C0">
        <w:rPr>
          <w:rFonts w:ascii="Times New Roman" w:hAnsi="Times New Roman" w:cs="Times New Roman"/>
        </w:rPr>
        <w:t>g</w:t>
      </w:r>
      <w:r w:rsidRPr="001335C0">
        <w:rPr>
          <w:rFonts w:ascii="Times New Roman" w:hAnsi="Times New Roman" w:cs="Times New Roman"/>
        </w:rPr>
        <w:t xml:space="preserve">ent losses or expenditure allowed as deductions. Thus a car dealer </w:t>
      </w:r>
      <w:r w:rsidRPr="001335C0">
        <w:rPr>
          <w:rFonts w:ascii="Times New Roman" w:hAnsi="Times New Roman" w:cs="Times New Roman"/>
        </w:rPr>
        <w:lastRenderedPageBreak/>
        <w:t>cannot be allowed to deduct anticipated expenses to be incurred after his year end on free services still to be given on cars sold before the year end-but see s 15 (2) hh)  (paragraph [148D])</w:t>
      </w:r>
      <w:r w:rsidRPr="00C12279">
        <w:rPr>
          <w:rFonts w:ascii="Times New Roman" w:hAnsi="Times New Roman" w:cs="Times New Roman"/>
          <w:sz w:val="24"/>
          <w:szCs w:val="24"/>
        </w:rPr>
        <w:t>.</w:t>
      </w:r>
      <w:r w:rsidR="000F5C1E" w:rsidRPr="00C12279">
        <w:rPr>
          <w:rFonts w:ascii="Times New Roman" w:hAnsi="Times New Roman" w:cs="Times New Roman"/>
          <w:sz w:val="24"/>
          <w:szCs w:val="24"/>
        </w:rPr>
        <w:t xml:space="preserve"> </w:t>
      </w:r>
    </w:p>
    <w:p w14:paraId="673B521B" w14:textId="62820FE5" w:rsidR="00634C8C" w:rsidRPr="00C12279" w:rsidRDefault="00207385" w:rsidP="001335C0">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At </w:t>
      </w:r>
      <w:r w:rsidR="003337EB" w:rsidRPr="00C12279">
        <w:rPr>
          <w:rFonts w:ascii="Times New Roman" w:hAnsi="Times New Roman" w:cs="Times New Roman"/>
          <w:sz w:val="24"/>
          <w:szCs w:val="24"/>
        </w:rPr>
        <w:t xml:space="preserve">the </w:t>
      </w:r>
      <w:r w:rsidRPr="00C12279">
        <w:rPr>
          <w:rFonts w:ascii="Times New Roman" w:hAnsi="Times New Roman" w:cs="Times New Roman"/>
          <w:sz w:val="24"/>
          <w:szCs w:val="24"/>
        </w:rPr>
        <w:t xml:space="preserve">commencement of her testimony she stated that the respondent’s current practice was to disallow </w:t>
      </w:r>
      <w:r w:rsidR="00B17DCA" w:rsidRPr="00C12279">
        <w:rPr>
          <w:rFonts w:ascii="Times New Roman" w:hAnsi="Times New Roman" w:cs="Times New Roman"/>
          <w:sz w:val="24"/>
          <w:szCs w:val="24"/>
        </w:rPr>
        <w:t xml:space="preserve">provisions for audit fees. She then changed her evidence and thereafter maintained in both her remaining evidence in chief and under cross examination that the respondent </w:t>
      </w:r>
      <w:r w:rsidR="00BC783F" w:rsidRPr="00C12279">
        <w:rPr>
          <w:rFonts w:ascii="Times New Roman" w:hAnsi="Times New Roman" w:cs="Times New Roman"/>
          <w:sz w:val="24"/>
          <w:szCs w:val="24"/>
        </w:rPr>
        <w:t xml:space="preserve">consistently </w:t>
      </w:r>
      <w:r w:rsidR="00634C8C" w:rsidRPr="00C12279">
        <w:rPr>
          <w:rFonts w:ascii="Times New Roman" w:hAnsi="Times New Roman" w:cs="Times New Roman"/>
          <w:sz w:val="24"/>
          <w:szCs w:val="24"/>
        </w:rPr>
        <w:t>allowed provisions for audit fees</w:t>
      </w:r>
      <w:r w:rsidR="00BC783F" w:rsidRPr="00C12279">
        <w:rPr>
          <w:rFonts w:ascii="Times New Roman" w:hAnsi="Times New Roman" w:cs="Times New Roman"/>
          <w:sz w:val="24"/>
          <w:szCs w:val="24"/>
        </w:rPr>
        <w:t xml:space="preserve"> and leave pay in the tax year to which they related</w:t>
      </w:r>
      <w:r w:rsidR="00B17DCA" w:rsidRPr="00C12279">
        <w:rPr>
          <w:rFonts w:ascii="Times New Roman" w:hAnsi="Times New Roman" w:cs="Times New Roman"/>
          <w:sz w:val="24"/>
          <w:szCs w:val="24"/>
        </w:rPr>
        <w:t xml:space="preserve"> and added them </w:t>
      </w:r>
      <w:r w:rsidR="00F14BC5" w:rsidRPr="00C12279">
        <w:rPr>
          <w:rFonts w:ascii="Times New Roman" w:hAnsi="Times New Roman" w:cs="Times New Roman"/>
          <w:sz w:val="24"/>
          <w:szCs w:val="24"/>
        </w:rPr>
        <w:t xml:space="preserve">back to income in </w:t>
      </w:r>
      <w:r w:rsidR="00B17DCA" w:rsidRPr="00C12279">
        <w:rPr>
          <w:rFonts w:ascii="Times New Roman" w:hAnsi="Times New Roman" w:cs="Times New Roman"/>
          <w:sz w:val="24"/>
          <w:szCs w:val="24"/>
        </w:rPr>
        <w:t>the following tax year after they were</w:t>
      </w:r>
      <w:r w:rsidR="00F14BC5" w:rsidRPr="00C12279">
        <w:rPr>
          <w:rFonts w:ascii="Times New Roman" w:hAnsi="Times New Roman" w:cs="Times New Roman"/>
          <w:sz w:val="24"/>
          <w:szCs w:val="24"/>
        </w:rPr>
        <w:t xml:space="preserve"> approved at the Annual General Meeting</w:t>
      </w:r>
      <w:r w:rsidR="00634C8C" w:rsidRPr="00C12279">
        <w:rPr>
          <w:rFonts w:ascii="Times New Roman" w:hAnsi="Times New Roman" w:cs="Times New Roman"/>
          <w:sz w:val="24"/>
          <w:szCs w:val="24"/>
        </w:rPr>
        <w:t xml:space="preserve">. </w:t>
      </w:r>
      <w:r w:rsidR="00761152" w:rsidRPr="00C12279">
        <w:rPr>
          <w:rFonts w:ascii="Times New Roman" w:hAnsi="Times New Roman" w:cs="Times New Roman"/>
          <w:sz w:val="24"/>
          <w:szCs w:val="24"/>
        </w:rPr>
        <w:t xml:space="preserve"> She did not know how the appellant </w:t>
      </w:r>
      <w:r w:rsidR="00B17DCA" w:rsidRPr="00C12279">
        <w:rPr>
          <w:rFonts w:ascii="Times New Roman" w:hAnsi="Times New Roman" w:cs="Times New Roman"/>
          <w:sz w:val="24"/>
          <w:szCs w:val="24"/>
        </w:rPr>
        <w:t xml:space="preserve">carried out its business and tax obligations </w:t>
      </w:r>
      <w:r w:rsidR="00761152" w:rsidRPr="00C12279">
        <w:rPr>
          <w:rFonts w:ascii="Times New Roman" w:hAnsi="Times New Roman" w:cs="Times New Roman"/>
          <w:sz w:val="24"/>
          <w:szCs w:val="24"/>
        </w:rPr>
        <w:t>but relied on her experience with other similarly placed corporates to postulate the general period auditors were engaged and the duration of such audits. She indicated t</w:t>
      </w:r>
      <w:r w:rsidR="00A96AE9" w:rsidRPr="00C12279">
        <w:rPr>
          <w:rFonts w:ascii="Times New Roman" w:hAnsi="Times New Roman" w:cs="Times New Roman"/>
          <w:sz w:val="24"/>
          <w:szCs w:val="24"/>
        </w:rPr>
        <w:t xml:space="preserve">hat audits generally </w:t>
      </w:r>
      <w:r w:rsidR="00761152" w:rsidRPr="00C12279">
        <w:rPr>
          <w:rFonts w:ascii="Times New Roman" w:hAnsi="Times New Roman" w:cs="Times New Roman"/>
          <w:sz w:val="24"/>
          <w:szCs w:val="24"/>
        </w:rPr>
        <w:t xml:space="preserve">commenced in November and ended in the subsequent financial year. </w:t>
      </w:r>
    </w:p>
    <w:p w14:paraId="09F04C67" w14:textId="65022637" w:rsidR="009675BA" w:rsidRPr="00C12279" w:rsidRDefault="00D90BF6" w:rsidP="001335C0">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regards to the </w:t>
      </w:r>
      <w:r w:rsidR="00413598" w:rsidRPr="00C12279">
        <w:rPr>
          <w:rFonts w:ascii="Times New Roman" w:hAnsi="Times New Roman" w:cs="Times New Roman"/>
          <w:sz w:val="24"/>
          <w:szCs w:val="24"/>
        </w:rPr>
        <w:t xml:space="preserve">generally prevailing </w:t>
      </w:r>
      <w:r w:rsidRPr="00C12279">
        <w:rPr>
          <w:rFonts w:ascii="Times New Roman" w:hAnsi="Times New Roman" w:cs="Times New Roman"/>
          <w:sz w:val="24"/>
          <w:szCs w:val="24"/>
        </w:rPr>
        <w:t>practice followed by the respondent</w:t>
      </w:r>
      <w:r w:rsidR="00413598" w:rsidRPr="00C12279">
        <w:rPr>
          <w:rFonts w:ascii="Times New Roman" w:hAnsi="Times New Roman" w:cs="Times New Roman"/>
          <w:sz w:val="24"/>
          <w:szCs w:val="24"/>
        </w:rPr>
        <w:t>, the chief investigations officer averred that both prior to an</w:t>
      </w:r>
      <w:r w:rsidR="006D590D" w:rsidRPr="00C12279">
        <w:rPr>
          <w:rFonts w:ascii="Times New Roman" w:hAnsi="Times New Roman" w:cs="Times New Roman"/>
          <w:sz w:val="24"/>
          <w:szCs w:val="24"/>
        </w:rPr>
        <w:t>d after 2007 provisions for leave pay</w:t>
      </w:r>
      <w:r w:rsidR="00413598" w:rsidRPr="00C12279">
        <w:rPr>
          <w:rFonts w:ascii="Times New Roman" w:hAnsi="Times New Roman" w:cs="Times New Roman"/>
          <w:sz w:val="24"/>
          <w:szCs w:val="24"/>
        </w:rPr>
        <w:t xml:space="preserve"> and audit fees were not allowable deductions in the tax years in which they were made</w:t>
      </w:r>
      <w:r w:rsidR="00E31033" w:rsidRPr="00C12279">
        <w:rPr>
          <w:rFonts w:ascii="Times New Roman" w:hAnsi="Times New Roman" w:cs="Times New Roman"/>
          <w:sz w:val="24"/>
          <w:szCs w:val="24"/>
        </w:rPr>
        <w:t xml:space="preserve"> or at all despite the impression portrayed in the extract</w:t>
      </w:r>
      <w:r w:rsidR="00D57AAF">
        <w:rPr>
          <w:rFonts w:ascii="Times New Roman" w:hAnsi="Times New Roman" w:cs="Times New Roman"/>
          <w:sz w:val="24"/>
          <w:szCs w:val="24"/>
        </w:rPr>
        <w:t xml:space="preserve"> that </w:t>
      </w:r>
      <w:r w:rsidR="00BE3CFB" w:rsidRPr="00C12279">
        <w:rPr>
          <w:rFonts w:ascii="Times New Roman" w:hAnsi="Times New Roman" w:cs="Times New Roman"/>
          <w:sz w:val="24"/>
          <w:szCs w:val="24"/>
        </w:rPr>
        <w:t>they were allowable</w:t>
      </w:r>
      <w:r w:rsidR="00413598" w:rsidRPr="00C12279">
        <w:rPr>
          <w:rFonts w:ascii="Times New Roman" w:hAnsi="Times New Roman" w:cs="Times New Roman"/>
          <w:sz w:val="24"/>
          <w:szCs w:val="24"/>
        </w:rPr>
        <w:t xml:space="preserve">. The respondent regarded them as reserve funds that could not be deducted by virtue of the provisions of s 16 (1) (e) of the Income Tax Act.  </w:t>
      </w:r>
      <w:r w:rsidR="005E5041" w:rsidRPr="00C12279">
        <w:rPr>
          <w:rFonts w:ascii="Times New Roman" w:hAnsi="Times New Roman" w:cs="Times New Roman"/>
          <w:sz w:val="24"/>
          <w:szCs w:val="24"/>
        </w:rPr>
        <w:t>He stated that prior to the 2007 amendment, the respondent’s assessors would examine each</w:t>
      </w:r>
      <w:r w:rsidR="006D590D" w:rsidRPr="00C12279">
        <w:rPr>
          <w:rFonts w:ascii="Times New Roman" w:hAnsi="Times New Roman" w:cs="Times New Roman"/>
          <w:sz w:val="24"/>
          <w:szCs w:val="24"/>
        </w:rPr>
        <w:t xml:space="preserve"> return but this practice </w:t>
      </w:r>
      <w:r w:rsidR="005E5041" w:rsidRPr="00C12279">
        <w:rPr>
          <w:rFonts w:ascii="Times New Roman" w:hAnsi="Times New Roman" w:cs="Times New Roman"/>
          <w:sz w:val="24"/>
          <w:szCs w:val="24"/>
        </w:rPr>
        <w:t>disappeared with the advent of self-assessments.  He</w:t>
      </w:r>
      <w:r w:rsidR="00AA1407" w:rsidRPr="00C12279">
        <w:rPr>
          <w:rFonts w:ascii="Times New Roman" w:hAnsi="Times New Roman" w:cs="Times New Roman"/>
          <w:sz w:val="24"/>
          <w:szCs w:val="24"/>
        </w:rPr>
        <w:t xml:space="preserve"> further averred that one of the unintended consequences of self-assessments was that prov</w:t>
      </w:r>
      <w:r w:rsidR="005E5041" w:rsidRPr="00C12279">
        <w:rPr>
          <w:rFonts w:ascii="Times New Roman" w:hAnsi="Times New Roman" w:cs="Times New Roman"/>
          <w:sz w:val="24"/>
          <w:szCs w:val="24"/>
        </w:rPr>
        <w:t xml:space="preserve">isions such as the ones in issue </w:t>
      </w:r>
      <w:r w:rsidR="00AA1407" w:rsidRPr="00C12279">
        <w:rPr>
          <w:rFonts w:ascii="Times New Roman" w:hAnsi="Times New Roman" w:cs="Times New Roman"/>
          <w:sz w:val="24"/>
          <w:szCs w:val="24"/>
        </w:rPr>
        <w:t>could</w:t>
      </w:r>
      <w:r w:rsidR="005E5041" w:rsidRPr="00C12279">
        <w:rPr>
          <w:rFonts w:ascii="Times New Roman" w:hAnsi="Times New Roman" w:cs="Times New Roman"/>
          <w:sz w:val="24"/>
          <w:szCs w:val="24"/>
        </w:rPr>
        <w:t>,</w:t>
      </w:r>
      <w:r w:rsidR="00AA1407" w:rsidRPr="00C12279">
        <w:rPr>
          <w:rFonts w:ascii="Times New Roman" w:hAnsi="Times New Roman" w:cs="Times New Roman"/>
          <w:sz w:val="24"/>
          <w:szCs w:val="24"/>
        </w:rPr>
        <w:t xml:space="preserve"> </w:t>
      </w:r>
      <w:r w:rsidR="00706163" w:rsidRPr="00C12279">
        <w:rPr>
          <w:rFonts w:ascii="Times New Roman" w:hAnsi="Times New Roman" w:cs="Times New Roman"/>
          <w:sz w:val="24"/>
          <w:szCs w:val="24"/>
        </w:rPr>
        <w:t xml:space="preserve">until a corrective </w:t>
      </w:r>
      <w:r w:rsidR="006D590D" w:rsidRPr="00C12279">
        <w:rPr>
          <w:rFonts w:ascii="Times New Roman" w:hAnsi="Times New Roman" w:cs="Times New Roman"/>
          <w:sz w:val="24"/>
          <w:szCs w:val="24"/>
        </w:rPr>
        <w:t>audit was undertaken</w:t>
      </w:r>
      <w:r w:rsidR="005E5041" w:rsidRPr="00C12279">
        <w:rPr>
          <w:rFonts w:ascii="Times New Roman" w:hAnsi="Times New Roman" w:cs="Times New Roman"/>
          <w:sz w:val="24"/>
          <w:szCs w:val="24"/>
        </w:rPr>
        <w:t xml:space="preserve"> within the statutory period of six years, </w:t>
      </w:r>
      <w:r w:rsidR="00706163" w:rsidRPr="00C12279">
        <w:rPr>
          <w:rFonts w:ascii="Times New Roman" w:hAnsi="Times New Roman" w:cs="Times New Roman"/>
          <w:sz w:val="24"/>
          <w:szCs w:val="24"/>
        </w:rPr>
        <w:t xml:space="preserve">escape notice and </w:t>
      </w:r>
      <w:r w:rsidR="005E5041" w:rsidRPr="00C12279">
        <w:rPr>
          <w:rFonts w:ascii="Times New Roman" w:hAnsi="Times New Roman" w:cs="Times New Roman"/>
          <w:sz w:val="24"/>
          <w:szCs w:val="24"/>
        </w:rPr>
        <w:t xml:space="preserve">in the absence of an audit </w:t>
      </w:r>
      <w:r w:rsidR="00706163" w:rsidRPr="00C12279">
        <w:rPr>
          <w:rFonts w:ascii="Times New Roman" w:hAnsi="Times New Roman" w:cs="Times New Roman"/>
          <w:sz w:val="24"/>
          <w:szCs w:val="24"/>
        </w:rPr>
        <w:t xml:space="preserve">would </w:t>
      </w:r>
      <w:r w:rsidR="005E5041" w:rsidRPr="00C12279">
        <w:rPr>
          <w:rFonts w:ascii="Times New Roman" w:hAnsi="Times New Roman" w:cs="Times New Roman"/>
          <w:sz w:val="24"/>
          <w:szCs w:val="24"/>
        </w:rPr>
        <w:t>remain</w:t>
      </w:r>
      <w:r w:rsidR="00706163" w:rsidRPr="00C12279">
        <w:rPr>
          <w:rFonts w:ascii="Times New Roman" w:hAnsi="Times New Roman" w:cs="Times New Roman"/>
          <w:sz w:val="24"/>
          <w:szCs w:val="24"/>
        </w:rPr>
        <w:t>ed</w:t>
      </w:r>
      <w:r w:rsidR="005E5041" w:rsidRPr="00C12279">
        <w:rPr>
          <w:rFonts w:ascii="Times New Roman" w:hAnsi="Times New Roman" w:cs="Times New Roman"/>
          <w:sz w:val="24"/>
          <w:szCs w:val="24"/>
        </w:rPr>
        <w:t xml:space="preserve"> undetected</w:t>
      </w:r>
      <w:r w:rsidR="009C5F2A" w:rsidRPr="00C12279">
        <w:rPr>
          <w:rFonts w:ascii="Times New Roman" w:hAnsi="Times New Roman" w:cs="Times New Roman"/>
          <w:sz w:val="24"/>
          <w:szCs w:val="24"/>
        </w:rPr>
        <w:t xml:space="preserve"> and become final and conclusive.</w:t>
      </w:r>
      <w:r w:rsidR="00393B6A" w:rsidRPr="00C12279">
        <w:rPr>
          <w:rFonts w:ascii="Times New Roman" w:hAnsi="Times New Roman" w:cs="Times New Roman"/>
          <w:sz w:val="24"/>
          <w:szCs w:val="24"/>
        </w:rPr>
        <w:t xml:space="preserve"> The r</w:t>
      </w:r>
      <w:r w:rsidR="004A64A4" w:rsidRPr="00C12279">
        <w:rPr>
          <w:rFonts w:ascii="Times New Roman" w:hAnsi="Times New Roman" w:cs="Times New Roman"/>
          <w:sz w:val="24"/>
          <w:szCs w:val="24"/>
        </w:rPr>
        <w:t>espondent regarded the Assessor</w:t>
      </w:r>
      <w:r w:rsidR="00393B6A" w:rsidRPr="00C12279">
        <w:rPr>
          <w:rFonts w:ascii="Times New Roman" w:hAnsi="Times New Roman" w:cs="Times New Roman"/>
          <w:sz w:val="24"/>
          <w:szCs w:val="24"/>
        </w:rPr>
        <w:t>s</w:t>
      </w:r>
      <w:r w:rsidR="004A64A4" w:rsidRPr="00C12279">
        <w:rPr>
          <w:rFonts w:ascii="Times New Roman" w:hAnsi="Times New Roman" w:cs="Times New Roman"/>
          <w:sz w:val="24"/>
          <w:szCs w:val="24"/>
        </w:rPr>
        <w:t>’</w:t>
      </w:r>
      <w:r w:rsidR="00393B6A" w:rsidRPr="00C12279">
        <w:rPr>
          <w:rFonts w:ascii="Times New Roman" w:hAnsi="Times New Roman" w:cs="Times New Roman"/>
          <w:sz w:val="24"/>
          <w:szCs w:val="24"/>
        </w:rPr>
        <w:t xml:space="preserve"> Handbook as a private and confidential </w:t>
      </w:r>
      <w:r w:rsidR="00E31033" w:rsidRPr="00C12279">
        <w:rPr>
          <w:rFonts w:ascii="Times New Roman" w:hAnsi="Times New Roman" w:cs="Times New Roman"/>
          <w:sz w:val="24"/>
          <w:szCs w:val="24"/>
        </w:rPr>
        <w:t>and not a public or policy document or even a tax ruling, wh</w:t>
      </w:r>
      <w:r w:rsidR="004A64A4" w:rsidRPr="00C12279">
        <w:rPr>
          <w:rFonts w:ascii="Times New Roman" w:hAnsi="Times New Roman" w:cs="Times New Roman"/>
          <w:sz w:val="24"/>
          <w:szCs w:val="24"/>
        </w:rPr>
        <w:t>ich could establish a practice. He maintained that the</w:t>
      </w:r>
      <w:r w:rsidR="00FF3164" w:rsidRPr="00C12279">
        <w:rPr>
          <w:rFonts w:ascii="Times New Roman" w:hAnsi="Times New Roman" w:cs="Times New Roman"/>
          <w:sz w:val="24"/>
          <w:szCs w:val="24"/>
        </w:rPr>
        <w:t xml:space="preserve"> practice of the Commissioner was that all deductions for leave pay and audit fees provisions were not allow</w:t>
      </w:r>
      <w:r w:rsidR="00D32491" w:rsidRPr="00C12279">
        <w:rPr>
          <w:rFonts w:ascii="Times New Roman" w:hAnsi="Times New Roman" w:cs="Times New Roman"/>
          <w:sz w:val="24"/>
          <w:szCs w:val="24"/>
        </w:rPr>
        <w:t>able.</w:t>
      </w:r>
      <w:r w:rsidR="00FF3164" w:rsidRPr="00C12279">
        <w:rPr>
          <w:rFonts w:ascii="Times New Roman" w:hAnsi="Times New Roman" w:cs="Times New Roman"/>
          <w:sz w:val="24"/>
          <w:szCs w:val="24"/>
        </w:rPr>
        <w:t xml:space="preserve">  </w:t>
      </w:r>
    </w:p>
    <w:p w14:paraId="5C221EFC" w14:textId="639E8E8C" w:rsidR="00A40D74" w:rsidRPr="00C12279" w:rsidRDefault="00FF228E" w:rsidP="001335C0">
      <w:pPr>
        <w:spacing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answ</w:t>
      </w:r>
      <w:r w:rsidR="00FD4734" w:rsidRPr="00C12279">
        <w:rPr>
          <w:rFonts w:ascii="Times New Roman" w:hAnsi="Times New Roman" w:cs="Times New Roman"/>
          <w:sz w:val="24"/>
          <w:szCs w:val="24"/>
        </w:rPr>
        <w:t xml:space="preserve">er </w:t>
      </w:r>
      <w:r w:rsidR="00F034B7" w:rsidRPr="00C12279">
        <w:rPr>
          <w:rFonts w:ascii="Times New Roman" w:hAnsi="Times New Roman" w:cs="Times New Roman"/>
          <w:sz w:val="24"/>
          <w:szCs w:val="24"/>
        </w:rPr>
        <w:t xml:space="preserve">as </w:t>
      </w:r>
      <w:r w:rsidR="00FD4734" w:rsidRPr="00C12279">
        <w:rPr>
          <w:rFonts w:ascii="Times New Roman" w:hAnsi="Times New Roman" w:cs="Times New Roman"/>
          <w:sz w:val="24"/>
          <w:szCs w:val="24"/>
        </w:rPr>
        <w:t xml:space="preserve">to whether paragraph 145 </w:t>
      </w:r>
      <w:r w:rsidRPr="00C12279">
        <w:rPr>
          <w:rFonts w:ascii="Times New Roman" w:hAnsi="Times New Roman" w:cs="Times New Roman"/>
          <w:sz w:val="24"/>
          <w:szCs w:val="24"/>
        </w:rPr>
        <w:t xml:space="preserve">(e) constitutes a practice generally prevailing in the Commissioner’s office is provided by section 37A (11) to (13) </w:t>
      </w:r>
      <w:r w:rsidR="00AF79A4" w:rsidRPr="00C12279">
        <w:rPr>
          <w:rFonts w:ascii="Times New Roman" w:hAnsi="Times New Roman" w:cs="Times New Roman"/>
          <w:sz w:val="24"/>
          <w:szCs w:val="24"/>
        </w:rPr>
        <w:t xml:space="preserve">of the Income Tax Act </w:t>
      </w:r>
      <w:r w:rsidRPr="00C12279">
        <w:rPr>
          <w:rFonts w:ascii="Times New Roman" w:hAnsi="Times New Roman" w:cs="Times New Roman"/>
          <w:sz w:val="24"/>
          <w:szCs w:val="24"/>
        </w:rPr>
        <w:t>and para 4 (6), and 5 (3) to the Fourth Schedule of the Revenue Authority Act.  Section 37A</w:t>
      </w:r>
      <w:r w:rsidR="00A40D74" w:rsidRPr="00C12279">
        <w:rPr>
          <w:rFonts w:ascii="Times New Roman" w:hAnsi="Times New Roman" w:cs="Times New Roman"/>
          <w:sz w:val="24"/>
          <w:szCs w:val="24"/>
        </w:rPr>
        <w:t xml:space="preserve"> (11) to (13)</w:t>
      </w:r>
      <w:r w:rsidR="00602FEB" w:rsidRPr="00C12279">
        <w:rPr>
          <w:rFonts w:ascii="Times New Roman" w:hAnsi="Times New Roman" w:cs="Times New Roman"/>
          <w:sz w:val="24"/>
          <w:szCs w:val="24"/>
        </w:rPr>
        <w:t xml:space="preserve"> </w:t>
      </w:r>
      <w:r w:rsidR="00420A18" w:rsidRPr="00C12279">
        <w:rPr>
          <w:rFonts w:ascii="Times New Roman" w:hAnsi="Times New Roman" w:cs="Times New Roman"/>
          <w:sz w:val="24"/>
          <w:szCs w:val="24"/>
        </w:rPr>
        <w:t xml:space="preserve">of the Income Tax Act </w:t>
      </w:r>
      <w:r w:rsidR="00602FEB" w:rsidRPr="00C12279">
        <w:rPr>
          <w:rFonts w:ascii="Times New Roman" w:hAnsi="Times New Roman" w:cs="Times New Roman"/>
          <w:sz w:val="24"/>
          <w:szCs w:val="24"/>
        </w:rPr>
        <w:t>stipulate</w:t>
      </w:r>
      <w:r w:rsidR="00A40D74" w:rsidRPr="00C12279">
        <w:rPr>
          <w:rFonts w:ascii="Times New Roman" w:hAnsi="Times New Roman" w:cs="Times New Roman"/>
          <w:sz w:val="24"/>
          <w:szCs w:val="24"/>
        </w:rPr>
        <w:t xml:space="preserve"> that:</w:t>
      </w:r>
    </w:p>
    <w:p w14:paraId="1B35F88F" w14:textId="6A96894C" w:rsidR="00C062B2" w:rsidRPr="001335C0" w:rsidRDefault="00A40D74" w:rsidP="007370F3">
      <w:pPr>
        <w:autoSpaceDE w:val="0"/>
        <w:autoSpaceDN w:val="0"/>
        <w:adjustRightInd w:val="0"/>
        <w:spacing w:after="0" w:line="240" w:lineRule="auto"/>
        <w:ind w:left="1440" w:hanging="720"/>
        <w:jc w:val="both"/>
        <w:rPr>
          <w:rFonts w:ascii="Times New Roman" w:hAnsi="Times New Roman" w:cs="Times New Roman"/>
        </w:rPr>
      </w:pPr>
      <w:r w:rsidRPr="00C12279">
        <w:rPr>
          <w:rFonts w:ascii="Times New Roman" w:hAnsi="Times New Roman" w:cs="Times New Roman"/>
          <w:sz w:val="24"/>
          <w:szCs w:val="24"/>
        </w:rPr>
        <w:lastRenderedPageBreak/>
        <w:t xml:space="preserve"> </w:t>
      </w:r>
      <w:r w:rsidR="00C062B2" w:rsidRPr="001335C0">
        <w:rPr>
          <w:rFonts w:ascii="Times New Roman" w:hAnsi="Times New Roman" w:cs="Times New Roman"/>
        </w:rPr>
        <w:t xml:space="preserve">“(11) </w:t>
      </w:r>
      <w:r w:rsidR="00C062B2" w:rsidRPr="001335C0">
        <w:rPr>
          <w:rFonts w:ascii="Times New Roman" w:hAnsi="Times New Roman" w:cs="Times New Roman"/>
        </w:rPr>
        <w:tab/>
        <w:t>where a specified taxpayer has furnished a return in terms of subsection (1), the taxpayer’s return of income is treated as an assessment served on the taxpayer by the Commissioner-General on the due date for the furnishing of the return or on the actual date of furnishing the return, whichever is the later.</w:t>
      </w:r>
    </w:p>
    <w:p w14:paraId="008D4185" w14:textId="77777777" w:rsidR="00C062B2" w:rsidRPr="001335C0" w:rsidRDefault="00C062B2" w:rsidP="007370F3">
      <w:pPr>
        <w:autoSpaceDE w:val="0"/>
        <w:autoSpaceDN w:val="0"/>
        <w:adjustRightInd w:val="0"/>
        <w:spacing w:after="0" w:line="240" w:lineRule="auto"/>
        <w:ind w:left="1440" w:hanging="720"/>
        <w:jc w:val="both"/>
        <w:rPr>
          <w:rFonts w:ascii="Times New Roman" w:hAnsi="Times New Roman" w:cs="Times New Roman"/>
        </w:rPr>
      </w:pPr>
      <w:r w:rsidRPr="001335C0">
        <w:rPr>
          <w:rFonts w:ascii="Times New Roman" w:hAnsi="Times New Roman" w:cs="Times New Roman"/>
        </w:rPr>
        <w:t>(12)</w:t>
      </w:r>
      <w:r w:rsidRPr="001335C0">
        <w:rPr>
          <w:rFonts w:ascii="Times New Roman" w:hAnsi="Times New Roman" w:cs="Times New Roman"/>
        </w:rPr>
        <w:tab/>
        <w:t>Notwithstanding subsection (1), the Commissioner-General may make an assessment under section 46 and 47 on a specified taxpayer in any case in which the Commissioner-General considers necessary.</w:t>
      </w:r>
    </w:p>
    <w:p w14:paraId="46174E4D" w14:textId="77777777" w:rsidR="00C062B2" w:rsidRPr="001335C0" w:rsidRDefault="00C062B2" w:rsidP="007370F3">
      <w:pPr>
        <w:autoSpaceDE w:val="0"/>
        <w:autoSpaceDN w:val="0"/>
        <w:adjustRightInd w:val="0"/>
        <w:spacing w:after="0" w:line="240" w:lineRule="auto"/>
        <w:ind w:left="1440" w:hanging="720"/>
        <w:jc w:val="both"/>
        <w:rPr>
          <w:rFonts w:ascii="Times New Roman" w:hAnsi="Times New Roman" w:cs="Times New Roman"/>
        </w:rPr>
      </w:pPr>
      <w:r w:rsidRPr="001335C0">
        <w:rPr>
          <w:rFonts w:ascii="Times New Roman" w:hAnsi="Times New Roman" w:cs="Times New Roman"/>
        </w:rPr>
        <w:t xml:space="preserve">(13) </w:t>
      </w:r>
      <w:r w:rsidRPr="001335C0">
        <w:rPr>
          <w:rFonts w:ascii="Times New Roman" w:hAnsi="Times New Roman" w:cs="Times New Roman"/>
        </w:rPr>
        <w:tab/>
        <w:t>Where the Commissioner-General raises an assessment in terms of subsection (12), the Commissioner-General shall include with the assessment a statement of reasons as to why the Commissioner-General considered it necessary to make such an assessment.</w:t>
      </w:r>
    </w:p>
    <w:p w14:paraId="0723C8A7" w14:textId="7105EBF9" w:rsidR="00C062B2" w:rsidRPr="001335C0" w:rsidRDefault="00C062B2" w:rsidP="007370F3">
      <w:pPr>
        <w:ind w:left="720" w:firstLine="720"/>
        <w:jc w:val="both"/>
        <w:rPr>
          <w:rFonts w:ascii="Times New Roman" w:hAnsi="Times New Roman" w:cs="Times New Roman"/>
        </w:rPr>
      </w:pPr>
      <w:r w:rsidRPr="001335C0">
        <w:rPr>
          <w:rFonts w:ascii="Times New Roman" w:hAnsi="Times New Roman" w:cs="Times New Roman"/>
        </w:rPr>
        <w:t>[Section inserted by Act 12 of 2006]</w:t>
      </w:r>
      <w:r w:rsidR="001335C0">
        <w:rPr>
          <w:rFonts w:ascii="Times New Roman" w:hAnsi="Times New Roman" w:cs="Times New Roman"/>
        </w:rPr>
        <w:t>.”</w:t>
      </w:r>
    </w:p>
    <w:p w14:paraId="3960C391" w14:textId="5D9AF7AB" w:rsidR="00B8398F" w:rsidRPr="00C12279" w:rsidRDefault="007820A9" w:rsidP="001335C0">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w:t>
      </w:r>
      <w:r w:rsidR="004D65A9" w:rsidRPr="00C12279">
        <w:rPr>
          <w:rFonts w:ascii="Times New Roman" w:hAnsi="Times New Roman" w:cs="Times New Roman"/>
          <w:sz w:val="24"/>
          <w:szCs w:val="24"/>
        </w:rPr>
        <w:t>seems to me that subs (12)</w:t>
      </w:r>
      <w:r w:rsidRPr="00C12279">
        <w:rPr>
          <w:rFonts w:ascii="Times New Roman" w:hAnsi="Times New Roman" w:cs="Times New Roman"/>
          <w:sz w:val="24"/>
          <w:szCs w:val="24"/>
        </w:rPr>
        <w:t xml:space="preserve"> allows the Commissioner to reopen an assessment such as the self-assessment</w:t>
      </w:r>
      <w:r w:rsidR="00DC08AD" w:rsidRPr="00C12279">
        <w:rPr>
          <w:rFonts w:ascii="Times New Roman" w:hAnsi="Times New Roman" w:cs="Times New Roman"/>
          <w:sz w:val="24"/>
          <w:szCs w:val="24"/>
        </w:rPr>
        <w:t>s in question</w:t>
      </w:r>
      <w:r w:rsidRPr="00C12279">
        <w:rPr>
          <w:rFonts w:ascii="Times New Roman" w:hAnsi="Times New Roman" w:cs="Times New Roman"/>
          <w:sz w:val="24"/>
          <w:szCs w:val="24"/>
        </w:rPr>
        <w:t xml:space="preserve"> provided he is not precluded from doing so by </w:t>
      </w:r>
      <w:r w:rsidR="00B8398F" w:rsidRPr="00C12279">
        <w:rPr>
          <w:rFonts w:ascii="Times New Roman" w:hAnsi="Times New Roman" w:cs="Times New Roman"/>
          <w:sz w:val="24"/>
          <w:szCs w:val="24"/>
        </w:rPr>
        <w:t>either proviso (i),</w:t>
      </w:r>
      <w:r w:rsidRPr="00C12279">
        <w:rPr>
          <w:rFonts w:ascii="Times New Roman" w:hAnsi="Times New Roman" w:cs="Times New Roman"/>
          <w:sz w:val="24"/>
          <w:szCs w:val="24"/>
        </w:rPr>
        <w:t xml:space="preserve"> (ii)</w:t>
      </w:r>
      <w:r w:rsidR="00B8398F" w:rsidRPr="00C12279">
        <w:rPr>
          <w:rFonts w:ascii="Times New Roman" w:hAnsi="Times New Roman" w:cs="Times New Roman"/>
          <w:sz w:val="24"/>
          <w:szCs w:val="24"/>
        </w:rPr>
        <w:t xml:space="preserve"> or (iii) of s 47(1).</w:t>
      </w:r>
      <w:r w:rsidRPr="00C12279">
        <w:rPr>
          <w:rFonts w:ascii="Times New Roman" w:hAnsi="Times New Roman" w:cs="Times New Roman"/>
          <w:sz w:val="24"/>
          <w:szCs w:val="24"/>
        </w:rPr>
        <w:t xml:space="preserve">  The 6 year prescription prescribed in proviso (ii) </w:t>
      </w:r>
      <w:r w:rsidR="00B8398F" w:rsidRPr="00C12279">
        <w:rPr>
          <w:rFonts w:ascii="Times New Roman" w:hAnsi="Times New Roman" w:cs="Times New Roman"/>
          <w:sz w:val="24"/>
          <w:szCs w:val="24"/>
        </w:rPr>
        <w:t>and proviso (iii) do</w:t>
      </w:r>
      <w:r w:rsidRPr="00C12279">
        <w:rPr>
          <w:rFonts w:ascii="Times New Roman" w:hAnsi="Times New Roman" w:cs="Times New Roman"/>
          <w:sz w:val="24"/>
          <w:szCs w:val="24"/>
        </w:rPr>
        <w:t xml:space="preserve"> not apply to each of the provisions under consideration. The first proviso if proved on a balance of probabilities by the taxpayer would preclude such a reopeni</w:t>
      </w:r>
      <w:r w:rsidR="00B8398F" w:rsidRPr="00C12279">
        <w:rPr>
          <w:rFonts w:ascii="Times New Roman" w:hAnsi="Times New Roman" w:cs="Times New Roman"/>
          <w:sz w:val="24"/>
          <w:szCs w:val="24"/>
        </w:rPr>
        <w:t xml:space="preserve">ng.  </w:t>
      </w:r>
      <w:r w:rsidRPr="00C12279">
        <w:rPr>
          <w:rFonts w:ascii="Times New Roman" w:hAnsi="Times New Roman" w:cs="Times New Roman"/>
          <w:sz w:val="24"/>
          <w:szCs w:val="24"/>
        </w:rPr>
        <w:t>The appell</w:t>
      </w:r>
      <w:r w:rsidR="00B96880" w:rsidRPr="00C12279">
        <w:rPr>
          <w:rFonts w:ascii="Times New Roman" w:hAnsi="Times New Roman" w:cs="Times New Roman"/>
          <w:sz w:val="24"/>
          <w:szCs w:val="24"/>
        </w:rPr>
        <w:t>ant maintained that para 145</w:t>
      </w:r>
      <w:r w:rsidRPr="00C12279">
        <w:rPr>
          <w:rFonts w:ascii="Times New Roman" w:hAnsi="Times New Roman" w:cs="Times New Roman"/>
          <w:sz w:val="24"/>
          <w:szCs w:val="24"/>
        </w:rPr>
        <w:t xml:space="preserve"> (e) </w:t>
      </w:r>
      <w:r w:rsidR="004D65A9" w:rsidRPr="00C12279">
        <w:rPr>
          <w:rFonts w:ascii="Times New Roman" w:hAnsi="Times New Roman" w:cs="Times New Roman"/>
          <w:sz w:val="24"/>
          <w:szCs w:val="24"/>
        </w:rPr>
        <w:t>of the Assessor</w:t>
      </w:r>
      <w:r w:rsidR="00B96880" w:rsidRPr="00C12279">
        <w:rPr>
          <w:rFonts w:ascii="Times New Roman" w:hAnsi="Times New Roman" w:cs="Times New Roman"/>
          <w:sz w:val="24"/>
          <w:szCs w:val="24"/>
        </w:rPr>
        <w:t>s</w:t>
      </w:r>
      <w:r w:rsidR="004D65A9" w:rsidRPr="00C12279">
        <w:rPr>
          <w:rFonts w:ascii="Times New Roman" w:hAnsi="Times New Roman" w:cs="Times New Roman"/>
          <w:sz w:val="24"/>
          <w:szCs w:val="24"/>
        </w:rPr>
        <w:t>’</w:t>
      </w:r>
      <w:r w:rsidR="00B96880" w:rsidRPr="00C12279">
        <w:rPr>
          <w:rFonts w:ascii="Times New Roman" w:hAnsi="Times New Roman" w:cs="Times New Roman"/>
          <w:sz w:val="24"/>
          <w:szCs w:val="24"/>
        </w:rPr>
        <w:t xml:space="preserve"> Handbook </w:t>
      </w:r>
      <w:r w:rsidR="00B8398F" w:rsidRPr="00C12279">
        <w:rPr>
          <w:rFonts w:ascii="Times New Roman" w:hAnsi="Times New Roman" w:cs="Times New Roman"/>
          <w:sz w:val="24"/>
          <w:szCs w:val="24"/>
        </w:rPr>
        <w:t>established such a practice.  Para 4 (6) to the Revenue Authority Act deals with bin</w:t>
      </w:r>
      <w:r w:rsidR="00B96880" w:rsidRPr="00C12279">
        <w:rPr>
          <w:rFonts w:ascii="Times New Roman" w:hAnsi="Times New Roman" w:cs="Times New Roman"/>
          <w:sz w:val="24"/>
          <w:szCs w:val="24"/>
        </w:rPr>
        <w:t>ding rulings while para 5 (3) of</w:t>
      </w:r>
      <w:r w:rsidR="00B8398F" w:rsidRPr="00C12279">
        <w:rPr>
          <w:rFonts w:ascii="Times New Roman" w:hAnsi="Times New Roman" w:cs="Times New Roman"/>
          <w:sz w:val="24"/>
          <w:szCs w:val="24"/>
        </w:rPr>
        <w:t xml:space="preserve"> the same Act deals with non-bindi</w:t>
      </w:r>
      <w:r w:rsidR="00C43A90" w:rsidRPr="00C12279">
        <w:rPr>
          <w:rFonts w:ascii="Times New Roman" w:hAnsi="Times New Roman" w:cs="Times New Roman"/>
          <w:sz w:val="24"/>
          <w:szCs w:val="24"/>
        </w:rPr>
        <w:t>ng rulings.  They stipulate that</w:t>
      </w:r>
      <w:r w:rsidR="00B8398F" w:rsidRPr="00C12279">
        <w:rPr>
          <w:rFonts w:ascii="Times New Roman" w:hAnsi="Times New Roman" w:cs="Times New Roman"/>
          <w:sz w:val="24"/>
          <w:szCs w:val="24"/>
        </w:rPr>
        <w:t>:</w:t>
      </w:r>
    </w:p>
    <w:p w14:paraId="057E68B7" w14:textId="47780EC7" w:rsidR="00B8398F" w:rsidRPr="00C12279" w:rsidRDefault="00B8398F" w:rsidP="007370F3">
      <w:pPr>
        <w:autoSpaceDE w:val="0"/>
        <w:autoSpaceDN w:val="0"/>
        <w:adjustRightInd w:val="0"/>
        <w:spacing w:after="0" w:line="240" w:lineRule="auto"/>
        <w:ind w:left="1440" w:hanging="720"/>
        <w:jc w:val="both"/>
        <w:rPr>
          <w:rFonts w:ascii="Times New Roman" w:hAnsi="Times New Roman" w:cs="Times New Roman"/>
          <w:sz w:val="24"/>
          <w:szCs w:val="24"/>
        </w:rPr>
      </w:pPr>
      <w:r w:rsidRPr="00C12279">
        <w:rPr>
          <w:rFonts w:ascii="Times New Roman" w:hAnsi="Times New Roman" w:cs="Times New Roman"/>
          <w:sz w:val="24"/>
          <w:szCs w:val="24"/>
        </w:rPr>
        <w:t xml:space="preserve"> </w:t>
      </w:r>
      <w:r w:rsidRPr="001335C0">
        <w:rPr>
          <w:rFonts w:ascii="Times New Roman" w:hAnsi="Times New Roman" w:cs="Times New Roman"/>
        </w:rPr>
        <w:t xml:space="preserve">“(6) </w:t>
      </w:r>
      <w:r w:rsidRPr="001335C0">
        <w:rPr>
          <w:rFonts w:ascii="Times New Roman" w:hAnsi="Times New Roman" w:cs="Times New Roman"/>
        </w:rPr>
        <w:tab/>
        <w:t>A publication or other written statement issued by the Commissioner- General does not have any binding effect unless it is an advance tax ruling</w:t>
      </w:r>
      <w:r w:rsidRPr="00C12279">
        <w:rPr>
          <w:rFonts w:ascii="Times New Roman" w:hAnsi="Times New Roman" w:cs="Times New Roman"/>
          <w:sz w:val="24"/>
          <w:szCs w:val="24"/>
        </w:rPr>
        <w:t xml:space="preserve">.” </w:t>
      </w:r>
    </w:p>
    <w:p w14:paraId="0B884E52" w14:textId="2EB9C37F" w:rsidR="00B8398F" w:rsidRPr="00C12279" w:rsidRDefault="00B8398F" w:rsidP="007370F3">
      <w:pPr>
        <w:autoSpaceDE w:val="0"/>
        <w:autoSpaceDN w:val="0"/>
        <w:adjustRightInd w:val="0"/>
        <w:spacing w:after="0" w:line="240" w:lineRule="auto"/>
        <w:jc w:val="both"/>
        <w:rPr>
          <w:rFonts w:ascii="Times New Roman" w:hAnsi="Times New Roman" w:cs="Times New Roman"/>
          <w:sz w:val="24"/>
          <w:szCs w:val="24"/>
        </w:rPr>
      </w:pPr>
      <w:r w:rsidRPr="00C12279">
        <w:rPr>
          <w:rFonts w:ascii="Times New Roman" w:hAnsi="Times New Roman" w:cs="Times New Roman"/>
          <w:sz w:val="24"/>
          <w:szCs w:val="24"/>
        </w:rPr>
        <w:t>And 5 (3)</w:t>
      </w:r>
    </w:p>
    <w:p w14:paraId="63DBCCEB" w14:textId="6F58407E" w:rsidR="00B8398F" w:rsidRPr="00C12279" w:rsidRDefault="00B8398F" w:rsidP="007370F3">
      <w:pPr>
        <w:autoSpaceDE w:val="0"/>
        <w:autoSpaceDN w:val="0"/>
        <w:adjustRightInd w:val="0"/>
        <w:spacing w:after="0" w:line="240" w:lineRule="auto"/>
        <w:ind w:left="1440" w:hanging="720"/>
        <w:jc w:val="both"/>
        <w:rPr>
          <w:rFonts w:ascii="Times New Roman" w:hAnsi="Times New Roman" w:cs="Times New Roman"/>
          <w:sz w:val="24"/>
          <w:szCs w:val="24"/>
        </w:rPr>
      </w:pPr>
      <w:r w:rsidRPr="001335C0">
        <w:rPr>
          <w:rFonts w:ascii="Times New Roman" w:hAnsi="Times New Roman" w:cs="Times New Roman"/>
        </w:rPr>
        <w:t>“</w:t>
      </w:r>
      <w:r w:rsidR="003C06B7" w:rsidRPr="001335C0">
        <w:rPr>
          <w:rFonts w:ascii="Times New Roman" w:hAnsi="Times New Roman" w:cs="Times New Roman"/>
        </w:rPr>
        <w:t xml:space="preserve">(3) </w:t>
      </w:r>
      <w:r w:rsidR="003C06B7" w:rsidRPr="001335C0">
        <w:rPr>
          <w:rFonts w:ascii="Times New Roman" w:hAnsi="Times New Roman" w:cs="Times New Roman"/>
        </w:rPr>
        <w:tab/>
        <w:t xml:space="preserve">Any written statement issued by the Commissioner-General interpreting or applying the Income Tax Act [ </w:t>
      </w:r>
      <w:r w:rsidR="003C06B7" w:rsidRPr="001335C0">
        <w:rPr>
          <w:rFonts w:ascii="Times New Roman" w:hAnsi="Times New Roman" w:cs="Times New Roman"/>
          <w:i/>
          <w:iCs/>
        </w:rPr>
        <w:t>Chapter 23:06</w:t>
      </w:r>
      <w:r w:rsidR="003C06B7" w:rsidRPr="001335C0">
        <w:rPr>
          <w:rFonts w:ascii="Times New Roman" w:hAnsi="Times New Roman" w:cs="Times New Roman"/>
        </w:rPr>
        <w:t>] prior to the 1st January, 2007, or any other relevant Act prior to the 1st January, 2009, is to be treated as and have the effect of a nonbinding private opinion, unless the Commissioner-General prescribes otherwise in writing</w:t>
      </w:r>
      <w:r w:rsidR="003C06B7" w:rsidRPr="00C12279">
        <w:rPr>
          <w:rFonts w:ascii="Times New Roman" w:hAnsi="Times New Roman" w:cs="Times New Roman"/>
          <w:sz w:val="24"/>
          <w:szCs w:val="24"/>
        </w:rPr>
        <w:t>.”</w:t>
      </w:r>
    </w:p>
    <w:p w14:paraId="1786F034" w14:textId="278DB95A" w:rsidR="00B8398F" w:rsidRPr="00C12279" w:rsidRDefault="00B8398F" w:rsidP="007370F3">
      <w:pPr>
        <w:autoSpaceDE w:val="0"/>
        <w:autoSpaceDN w:val="0"/>
        <w:adjustRightInd w:val="0"/>
        <w:spacing w:after="0" w:line="240" w:lineRule="auto"/>
        <w:jc w:val="both"/>
        <w:rPr>
          <w:rFonts w:ascii="Times New Roman" w:hAnsi="Times New Roman" w:cs="Times New Roman"/>
          <w:sz w:val="24"/>
          <w:szCs w:val="24"/>
        </w:rPr>
      </w:pPr>
      <w:r w:rsidRPr="00C12279">
        <w:rPr>
          <w:rFonts w:ascii="Times New Roman" w:hAnsi="Times New Roman" w:cs="Times New Roman"/>
          <w:sz w:val="24"/>
          <w:szCs w:val="24"/>
        </w:rPr>
        <w:tab/>
      </w:r>
    </w:p>
    <w:p w14:paraId="7CDAF4AB" w14:textId="7A8C0F95" w:rsidR="00E97558" w:rsidRPr="00C12279" w:rsidRDefault="003C06B7" w:rsidP="001335C0">
      <w:pPr>
        <w:spacing w:after="0" w:line="360" w:lineRule="auto"/>
        <w:ind w:firstLine="720"/>
        <w:jc w:val="both"/>
        <w:rPr>
          <w:rFonts w:ascii="Times New Roman" w:hAnsi="Times New Roman" w:cs="Times New Roman"/>
          <w:b/>
          <w:sz w:val="24"/>
          <w:szCs w:val="24"/>
          <w:u w:val="single"/>
        </w:rPr>
      </w:pPr>
      <w:r w:rsidRPr="00C12279">
        <w:rPr>
          <w:rFonts w:ascii="Times New Roman" w:hAnsi="Times New Roman" w:cs="Times New Roman"/>
          <w:sz w:val="24"/>
          <w:szCs w:val="24"/>
        </w:rPr>
        <w:t>It was common c</w:t>
      </w:r>
      <w:r w:rsidR="00B96880" w:rsidRPr="00C12279">
        <w:rPr>
          <w:rFonts w:ascii="Times New Roman" w:hAnsi="Times New Roman" w:cs="Times New Roman"/>
          <w:sz w:val="24"/>
          <w:szCs w:val="24"/>
        </w:rPr>
        <w:t>ause that the extract from the A</w:t>
      </w:r>
      <w:r w:rsidRPr="00C12279">
        <w:rPr>
          <w:rFonts w:ascii="Times New Roman" w:hAnsi="Times New Roman" w:cs="Times New Roman"/>
          <w:sz w:val="24"/>
          <w:szCs w:val="24"/>
        </w:rPr>
        <w:t>ssessor</w:t>
      </w:r>
      <w:r w:rsidR="00B96880" w:rsidRPr="00C12279">
        <w:rPr>
          <w:rFonts w:ascii="Times New Roman" w:hAnsi="Times New Roman" w:cs="Times New Roman"/>
          <w:sz w:val="24"/>
          <w:szCs w:val="24"/>
        </w:rPr>
        <w:t>’s H</w:t>
      </w:r>
      <w:r w:rsidRPr="00C12279">
        <w:rPr>
          <w:rFonts w:ascii="Times New Roman" w:hAnsi="Times New Roman" w:cs="Times New Roman"/>
          <w:sz w:val="24"/>
          <w:szCs w:val="24"/>
        </w:rPr>
        <w:t xml:space="preserve">andbook was neither an advance tax ruling nor a non-binding private opinion issued by the Commissioner to a taxpayer. </w:t>
      </w:r>
      <w:r w:rsidR="008C15B5" w:rsidRPr="00C12279">
        <w:rPr>
          <w:rFonts w:ascii="Times New Roman" w:hAnsi="Times New Roman" w:cs="Times New Roman"/>
          <w:sz w:val="24"/>
          <w:szCs w:val="24"/>
        </w:rPr>
        <w:t xml:space="preserve">Nor did it meet the prescribed </w:t>
      </w:r>
      <w:r w:rsidR="00062376" w:rsidRPr="00C12279">
        <w:rPr>
          <w:rFonts w:ascii="Times New Roman" w:hAnsi="Times New Roman" w:cs="Times New Roman"/>
          <w:sz w:val="24"/>
          <w:szCs w:val="24"/>
        </w:rPr>
        <w:t>requirements for</w:t>
      </w:r>
      <w:r w:rsidR="00C43A90" w:rsidRPr="00C12279">
        <w:rPr>
          <w:rFonts w:ascii="Times New Roman" w:hAnsi="Times New Roman" w:cs="Times New Roman"/>
          <w:sz w:val="24"/>
          <w:szCs w:val="24"/>
        </w:rPr>
        <w:t xml:space="preserve"> a general binding ruling </w:t>
      </w:r>
      <w:r w:rsidR="008C15B5" w:rsidRPr="00C12279">
        <w:rPr>
          <w:rFonts w:ascii="Times New Roman" w:hAnsi="Times New Roman" w:cs="Times New Roman"/>
          <w:sz w:val="24"/>
          <w:szCs w:val="24"/>
        </w:rPr>
        <w:t xml:space="preserve">or a private binding </w:t>
      </w:r>
      <w:r w:rsidR="00062376" w:rsidRPr="00C12279">
        <w:rPr>
          <w:rFonts w:ascii="Times New Roman" w:hAnsi="Times New Roman" w:cs="Times New Roman"/>
          <w:sz w:val="24"/>
          <w:szCs w:val="24"/>
        </w:rPr>
        <w:t>ruling in</w:t>
      </w:r>
      <w:r w:rsidR="008C15B5" w:rsidRPr="00C12279">
        <w:rPr>
          <w:rFonts w:ascii="Times New Roman" w:hAnsi="Times New Roman" w:cs="Times New Roman"/>
          <w:sz w:val="24"/>
          <w:szCs w:val="24"/>
        </w:rPr>
        <w:t xml:space="preserve"> paras 10 (3) and 11(5), respectively</w:t>
      </w:r>
      <w:r w:rsidR="007E0031">
        <w:rPr>
          <w:rFonts w:ascii="Times New Roman" w:hAnsi="Times New Roman" w:cs="Times New Roman"/>
          <w:sz w:val="24"/>
          <w:szCs w:val="24"/>
        </w:rPr>
        <w:t>,</w:t>
      </w:r>
      <w:r w:rsidR="008C15B5" w:rsidRPr="00C12279">
        <w:rPr>
          <w:rFonts w:ascii="Times New Roman" w:hAnsi="Times New Roman" w:cs="Times New Roman"/>
          <w:sz w:val="24"/>
          <w:szCs w:val="24"/>
        </w:rPr>
        <w:t xml:space="preserve"> to the Fourth</w:t>
      </w:r>
      <w:r w:rsidR="00062376" w:rsidRPr="00C12279">
        <w:rPr>
          <w:rFonts w:ascii="Times New Roman" w:hAnsi="Times New Roman" w:cs="Times New Roman"/>
          <w:sz w:val="24"/>
          <w:szCs w:val="24"/>
        </w:rPr>
        <w:t xml:space="preserve"> Schedule in question.</w:t>
      </w:r>
      <w:r w:rsidR="008C15B5" w:rsidRPr="00C12279">
        <w:rPr>
          <w:rFonts w:ascii="Times New Roman" w:hAnsi="Times New Roman" w:cs="Times New Roman"/>
          <w:sz w:val="24"/>
          <w:szCs w:val="24"/>
        </w:rPr>
        <w:t xml:space="preserve"> </w:t>
      </w:r>
      <w:r w:rsidR="00062376" w:rsidRPr="00C12279">
        <w:rPr>
          <w:rFonts w:ascii="Times New Roman" w:hAnsi="Times New Roman" w:cs="Times New Roman"/>
          <w:sz w:val="24"/>
          <w:szCs w:val="24"/>
        </w:rPr>
        <w:t>However, i</w:t>
      </w:r>
      <w:r w:rsidRPr="00C12279">
        <w:rPr>
          <w:rFonts w:ascii="Times New Roman" w:hAnsi="Times New Roman" w:cs="Times New Roman"/>
          <w:sz w:val="24"/>
          <w:szCs w:val="24"/>
        </w:rPr>
        <w:t>t could liberally be interpreted to fall into the category of “any written statement issued by the Commissioner</w:t>
      </w:r>
      <w:r w:rsidR="00B96880" w:rsidRPr="00C12279">
        <w:rPr>
          <w:rFonts w:ascii="Times New Roman" w:hAnsi="Times New Roman" w:cs="Times New Roman"/>
          <w:sz w:val="24"/>
          <w:szCs w:val="24"/>
        </w:rPr>
        <w:t xml:space="preserve"> interpreting or applying the Income Tax Act</w:t>
      </w:r>
      <w:r w:rsidR="00756EA7" w:rsidRPr="00C12279">
        <w:rPr>
          <w:rFonts w:ascii="Times New Roman" w:hAnsi="Times New Roman" w:cs="Times New Roman"/>
          <w:i/>
          <w:sz w:val="24"/>
          <w:szCs w:val="24"/>
        </w:rPr>
        <w:t xml:space="preserve"> [Chapter 23:07]</w:t>
      </w:r>
      <w:r w:rsidR="00756EA7" w:rsidRPr="00C12279">
        <w:rPr>
          <w:rFonts w:ascii="Times New Roman" w:hAnsi="Times New Roman" w:cs="Times New Roman"/>
          <w:sz w:val="24"/>
          <w:szCs w:val="24"/>
        </w:rPr>
        <w:t xml:space="preserve"> prior to 1 January 2007</w:t>
      </w:r>
      <w:r w:rsidRPr="00C12279">
        <w:rPr>
          <w:rFonts w:ascii="Times New Roman" w:hAnsi="Times New Roman" w:cs="Times New Roman"/>
          <w:sz w:val="24"/>
          <w:szCs w:val="24"/>
        </w:rPr>
        <w:t xml:space="preserve">” contemplated by para 5 (3) above. The evidence of the first witness of the appellant </w:t>
      </w:r>
      <w:r w:rsidR="00062376" w:rsidRPr="00C12279">
        <w:rPr>
          <w:rFonts w:ascii="Times New Roman" w:hAnsi="Times New Roman" w:cs="Times New Roman"/>
          <w:sz w:val="24"/>
          <w:szCs w:val="24"/>
        </w:rPr>
        <w:t>attested</w:t>
      </w:r>
      <w:r w:rsidRPr="00C12279">
        <w:rPr>
          <w:rFonts w:ascii="Times New Roman" w:hAnsi="Times New Roman" w:cs="Times New Roman"/>
          <w:sz w:val="24"/>
          <w:szCs w:val="24"/>
        </w:rPr>
        <w:t xml:space="preserve"> to its existence </w:t>
      </w:r>
      <w:r w:rsidR="00062376" w:rsidRPr="00C12279">
        <w:rPr>
          <w:rFonts w:ascii="Times New Roman" w:hAnsi="Times New Roman" w:cs="Times New Roman"/>
          <w:sz w:val="24"/>
          <w:szCs w:val="24"/>
        </w:rPr>
        <w:t xml:space="preserve">during the time of her employment with the respondent, </w:t>
      </w:r>
      <w:r w:rsidR="00A04609" w:rsidRPr="00C12279">
        <w:rPr>
          <w:rFonts w:ascii="Times New Roman" w:hAnsi="Times New Roman" w:cs="Times New Roman"/>
          <w:sz w:val="24"/>
          <w:szCs w:val="24"/>
        </w:rPr>
        <w:t>prior to 1 January 2007.  It would therefore have the effect of a non-binding</w:t>
      </w:r>
      <w:r w:rsidR="0084073B" w:rsidRPr="00C12279">
        <w:rPr>
          <w:rFonts w:ascii="Times New Roman" w:hAnsi="Times New Roman" w:cs="Times New Roman"/>
          <w:sz w:val="24"/>
          <w:szCs w:val="24"/>
        </w:rPr>
        <w:t xml:space="preserve"> private opinion which in terms of para 5 (2) “may not be cited in any proceeding before the Commissioner-General or the courts other than a proceeding involving the person to whom </w:t>
      </w:r>
      <w:r w:rsidR="0084073B" w:rsidRPr="00C12279">
        <w:rPr>
          <w:rFonts w:ascii="Times New Roman" w:hAnsi="Times New Roman" w:cs="Times New Roman"/>
          <w:sz w:val="24"/>
          <w:szCs w:val="24"/>
        </w:rPr>
        <w:lastRenderedPageBreak/>
        <w:t>the nonbinding private opinion was issued.” It was common cause that the extract in the Commissioner’s handbook was never issued to any taxpayer let alone the appellant. It was therefore remiss of the appellant to seek to rely on it to establish a practice generally prevailing in the respondent’s office. By operation of law, the appellant is precluded from relying on it to establish a generally prevailing practice.</w:t>
      </w:r>
      <w:r w:rsidR="00773D10" w:rsidRPr="00C12279">
        <w:rPr>
          <w:rFonts w:ascii="Times New Roman" w:hAnsi="Times New Roman" w:cs="Times New Roman"/>
          <w:sz w:val="24"/>
          <w:szCs w:val="24"/>
        </w:rPr>
        <w:t xml:space="preserve"> Although distinguishable on the facts and contentions of law, to the extent that </w:t>
      </w:r>
      <w:r w:rsidR="00773D10" w:rsidRPr="00C12279">
        <w:rPr>
          <w:rFonts w:ascii="Times New Roman" w:hAnsi="Times New Roman" w:cs="Times New Roman"/>
          <w:i/>
          <w:sz w:val="24"/>
          <w:szCs w:val="24"/>
        </w:rPr>
        <w:t xml:space="preserve">Commissioner of Taxes </w:t>
      </w:r>
      <w:r w:rsidR="00773D10" w:rsidRPr="001335C0">
        <w:rPr>
          <w:rFonts w:ascii="Times New Roman" w:hAnsi="Times New Roman" w:cs="Times New Roman"/>
          <w:sz w:val="24"/>
          <w:szCs w:val="24"/>
        </w:rPr>
        <w:t>v</w:t>
      </w:r>
      <w:r w:rsidR="00773D10" w:rsidRPr="00C12279">
        <w:rPr>
          <w:rFonts w:ascii="Times New Roman" w:hAnsi="Times New Roman" w:cs="Times New Roman"/>
          <w:i/>
          <w:sz w:val="24"/>
          <w:szCs w:val="24"/>
        </w:rPr>
        <w:t xml:space="preserve"> Astra Holdings (Pvt) Ltd t/a Puzey and Payne</w:t>
      </w:r>
      <w:r w:rsidR="00773D10" w:rsidRPr="00C12279">
        <w:rPr>
          <w:rFonts w:ascii="Times New Roman" w:hAnsi="Times New Roman" w:cs="Times New Roman"/>
          <w:sz w:val="24"/>
          <w:szCs w:val="24"/>
        </w:rPr>
        <w:t xml:space="preserve">  2003 (1) ZLR 417 (SC) was decided on the principle of “the operation of law” the resp</w:t>
      </w:r>
      <w:r w:rsidR="00756EA7" w:rsidRPr="00C12279">
        <w:rPr>
          <w:rFonts w:ascii="Times New Roman" w:hAnsi="Times New Roman" w:cs="Times New Roman"/>
          <w:sz w:val="24"/>
          <w:szCs w:val="24"/>
        </w:rPr>
        <w:t xml:space="preserve">ondent was correct to rely on that case </w:t>
      </w:r>
      <w:r w:rsidR="00773D10" w:rsidRPr="00C12279">
        <w:rPr>
          <w:rFonts w:ascii="Times New Roman" w:hAnsi="Times New Roman" w:cs="Times New Roman"/>
          <w:sz w:val="24"/>
          <w:szCs w:val="24"/>
        </w:rPr>
        <w:t xml:space="preserve">for the proposition that the Commissioner was bound to act in terms of the law of the land to collect all tax properly due to the fiscus and not </w:t>
      </w:r>
      <w:r w:rsidR="00756EA7" w:rsidRPr="00C12279">
        <w:rPr>
          <w:rFonts w:ascii="Times New Roman" w:hAnsi="Times New Roman" w:cs="Times New Roman"/>
          <w:sz w:val="24"/>
          <w:szCs w:val="24"/>
        </w:rPr>
        <w:t xml:space="preserve">untax the taxpayer on the basis of his </w:t>
      </w:r>
      <w:r w:rsidR="00111410" w:rsidRPr="00C12279">
        <w:rPr>
          <w:rFonts w:ascii="Times New Roman" w:hAnsi="Times New Roman" w:cs="Times New Roman"/>
          <w:sz w:val="24"/>
          <w:szCs w:val="24"/>
        </w:rPr>
        <w:t xml:space="preserve">own </w:t>
      </w:r>
      <w:r w:rsidR="00C43A90" w:rsidRPr="00C12279">
        <w:rPr>
          <w:rFonts w:ascii="Times New Roman" w:hAnsi="Times New Roman" w:cs="Times New Roman"/>
          <w:sz w:val="24"/>
          <w:szCs w:val="24"/>
        </w:rPr>
        <w:t>misinterpretation of the law</w:t>
      </w:r>
      <w:r w:rsidR="00756EA7" w:rsidRPr="00C12279">
        <w:rPr>
          <w:rFonts w:ascii="Times New Roman" w:hAnsi="Times New Roman" w:cs="Times New Roman"/>
          <w:sz w:val="24"/>
          <w:szCs w:val="24"/>
        </w:rPr>
        <w:t xml:space="preserve">. </w:t>
      </w:r>
      <w:r w:rsidR="00773D10" w:rsidRPr="00C12279">
        <w:rPr>
          <w:rFonts w:ascii="Times New Roman" w:hAnsi="Times New Roman" w:cs="Times New Roman"/>
          <w:sz w:val="24"/>
          <w:szCs w:val="24"/>
        </w:rPr>
        <w:t xml:space="preserve">  </w:t>
      </w:r>
    </w:p>
    <w:p w14:paraId="24AB14F4" w14:textId="299C57F6" w:rsidR="000B153E" w:rsidRPr="00C12279" w:rsidRDefault="0084073B" w:rsidP="001335C0">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other evidence excluding the extract that was led by the appellant’s witnesses in the face of the denials of the chief investigations officer</w:t>
      </w:r>
      <w:r w:rsidR="00502AB6" w:rsidRPr="00C12279">
        <w:rPr>
          <w:rFonts w:ascii="Times New Roman" w:hAnsi="Times New Roman" w:cs="Times New Roman"/>
          <w:sz w:val="24"/>
          <w:szCs w:val="24"/>
        </w:rPr>
        <w:t xml:space="preserve"> as to its existence, </w:t>
      </w:r>
      <w:r w:rsidRPr="00C12279">
        <w:rPr>
          <w:rFonts w:ascii="Times New Roman" w:hAnsi="Times New Roman" w:cs="Times New Roman"/>
          <w:sz w:val="24"/>
          <w:szCs w:val="24"/>
        </w:rPr>
        <w:t>fai</w:t>
      </w:r>
      <w:r w:rsidR="00502AB6" w:rsidRPr="00C12279">
        <w:rPr>
          <w:rFonts w:ascii="Times New Roman" w:hAnsi="Times New Roman" w:cs="Times New Roman"/>
          <w:sz w:val="24"/>
          <w:szCs w:val="24"/>
        </w:rPr>
        <w:t xml:space="preserve">led to establish </w:t>
      </w:r>
      <w:r w:rsidR="00620982" w:rsidRPr="00C12279">
        <w:rPr>
          <w:rFonts w:ascii="Times New Roman" w:hAnsi="Times New Roman" w:cs="Times New Roman"/>
          <w:sz w:val="24"/>
          <w:szCs w:val="24"/>
        </w:rPr>
        <w:t xml:space="preserve">that </w:t>
      </w:r>
      <w:r w:rsidR="00502AB6" w:rsidRPr="00C12279">
        <w:rPr>
          <w:rFonts w:ascii="Times New Roman" w:hAnsi="Times New Roman" w:cs="Times New Roman"/>
          <w:sz w:val="24"/>
          <w:szCs w:val="24"/>
        </w:rPr>
        <w:t>such a practice</w:t>
      </w:r>
      <w:r w:rsidR="00620982" w:rsidRPr="00C12279">
        <w:rPr>
          <w:rFonts w:ascii="Times New Roman" w:hAnsi="Times New Roman" w:cs="Times New Roman"/>
          <w:sz w:val="24"/>
          <w:szCs w:val="24"/>
        </w:rPr>
        <w:t xml:space="preserve"> had</w:t>
      </w:r>
      <w:r w:rsidR="000A5575" w:rsidRPr="00C12279">
        <w:rPr>
          <w:rFonts w:ascii="Times New Roman" w:hAnsi="Times New Roman" w:cs="Times New Roman"/>
          <w:sz w:val="24"/>
          <w:szCs w:val="24"/>
        </w:rPr>
        <w:t xml:space="preserve"> been </w:t>
      </w:r>
      <w:r w:rsidR="00B44670" w:rsidRPr="00C12279">
        <w:rPr>
          <w:rFonts w:ascii="Times New Roman" w:hAnsi="Times New Roman" w:cs="Times New Roman"/>
          <w:sz w:val="24"/>
          <w:szCs w:val="24"/>
        </w:rPr>
        <w:t>operating since time immemorial</w:t>
      </w:r>
      <w:r w:rsidR="00502AB6" w:rsidRPr="00C12279">
        <w:rPr>
          <w:rFonts w:ascii="Times New Roman" w:hAnsi="Times New Roman" w:cs="Times New Roman"/>
          <w:sz w:val="24"/>
          <w:szCs w:val="24"/>
        </w:rPr>
        <w:t xml:space="preserve">. </w:t>
      </w:r>
      <w:r w:rsidR="00CB31E8" w:rsidRPr="00C12279">
        <w:rPr>
          <w:rFonts w:ascii="Times New Roman" w:hAnsi="Times New Roman" w:cs="Times New Roman"/>
          <w:sz w:val="24"/>
          <w:szCs w:val="24"/>
        </w:rPr>
        <w:t>T</w:t>
      </w:r>
      <w:r w:rsidR="00E97558" w:rsidRPr="00C12279">
        <w:rPr>
          <w:rFonts w:ascii="Times New Roman" w:hAnsi="Times New Roman" w:cs="Times New Roman"/>
          <w:sz w:val="24"/>
          <w:szCs w:val="24"/>
        </w:rPr>
        <w:t xml:space="preserve">he </w:t>
      </w:r>
      <w:r w:rsidR="00CB31E8" w:rsidRPr="00C12279">
        <w:rPr>
          <w:rFonts w:ascii="Times New Roman" w:hAnsi="Times New Roman" w:cs="Times New Roman"/>
          <w:sz w:val="24"/>
          <w:szCs w:val="24"/>
        </w:rPr>
        <w:t xml:space="preserve">undisputed evidence of the </w:t>
      </w:r>
      <w:r w:rsidR="00E97558" w:rsidRPr="00C12279">
        <w:rPr>
          <w:rFonts w:ascii="Times New Roman" w:hAnsi="Times New Roman" w:cs="Times New Roman"/>
          <w:sz w:val="24"/>
          <w:szCs w:val="24"/>
        </w:rPr>
        <w:t xml:space="preserve">chief investigation officer that </w:t>
      </w:r>
      <w:r w:rsidR="00CB31E8" w:rsidRPr="00C12279">
        <w:rPr>
          <w:rFonts w:ascii="Times New Roman" w:hAnsi="Times New Roman" w:cs="Times New Roman"/>
          <w:sz w:val="24"/>
          <w:szCs w:val="24"/>
        </w:rPr>
        <w:t xml:space="preserve">a </w:t>
      </w:r>
      <w:r w:rsidR="00E97558" w:rsidRPr="00C12279">
        <w:rPr>
          <w:rFonts w:ascii="Times New Roman" w:hAnsi="Times New Roman" w:cs="Times New Roman"/>
          <w:sz w:val="24"/>
          <w:szCs w:val="24"/>
        </w:rPr>
        <w:t xml:space="preserve">practice generally prevailing was communicated in much the same way as a tax ruling and </w:t>
      </w:r>
      <w:r w:rsidR="00CB31E8" w:rsidRPr="00C12279">
        <w:rPr>
          <w:rFonts w:ascii="Times New Roman" w:hAnsi="Times New Roman" w:cs="Times New Roman"/>
          <w:sz w:val="24"/>
          <w:szCs w:val="24"/>
        </w:rPr>
        <w:t xml:space="preserve">that the </w:t>
      </w:r>
      <w:r w:rsidR="00E97558" w:rsidRPr="00C12279">
        <w:rPr>
          <w:rFonts w:ascii="Times New Roman" w:hAnsi="Times New Roman" w:cs="Times New Roman"/>
          <w:sz w:val="24"/>
          <w:szCs w:val="24"/>
        </w:rPr>
        <w:t>Commissione</w:t>
      </w:r>
      <w:r w:rsidR="00CB31E8" w:rsidRPr="00C12279">
        <w:rPr>
          <w:rFonts w:ascii="Times New Roman" w:hAnsi="Times New Roman" w:cs="Times New Roman"/>
          <w:sz w:val="24"/>
          <w:szCs w:val="24"/>
        </w:rPr>
        <w:t>r-General was</w:t>
      </w:r>
      <w:r w:rsidR="00E97558" w:rsidRPr="00C12279">
        <w:rPr>
          <w:rFonts w:ascii="Times New Roman" w:hAnsi="Times New Roman" w:cs="Times New Roman"/>
          <w:sz w:val="24"/>
          <w:szCs w:val="24"/>
        </w:rPr>
        <w:t xml:space="preserve"> working </w:t>
      </w:r>
      <w:r w:rsidR="00CB31E8" w:rsidRPr="00C12279">
        <w:rPr>
          <w:rFonts w:ascii="Times New Roman" w:hAnsi="Times New Roman" w:cs="Times New Roman"/>
          <w:sz w:val="24"/>
          <w:szCs w:val="24"/>
        </w:rPr>
        <w:t xml:space="preserve">with </w:t>
      </w:r>
      <w:r w:rsidR="00E97558" w:rsidRPr="00C12279">
        <w:rPr>
          <w:rFonts w:ascii="Times New Roman" w:hAnsi="Times New Roman" w:cs="Times New Roman"/>
          <w:sz w:val="24"/>
          <w:szCs w:val="24"/>
        </w:rPr>
        <w:t xml:space="preserve">the Institute of Chartered Accountants to come up with such a practice clearly </w:t>
      </w:r>
      <w:r w:rsidR="00CB31E8" w:rsidRPr="00C12279">
        <w:rPr>
          <w:rFonts w:ascii="Times New Roman" w:hAnsi="Times New Roman" w:cs="Times New Roman"/>
          <w:sz w:val="24"/>
          <w:szCs w:val="24"/>
        </w:rPr>
        <w:t>demonstrated that such a practice as alleged by the appellant did not exist.</w:t>
      </w:r>
      <w:r w:rsidR="00E97558" w:rsidRPr="00C12279">
        <w:rPr>
          <w:rFonts w:ascii="Times New Roman" w:hAnsi="Times New Roman" w:cs="Times New Roman"/>
          <w:sz w:val="24"/>
          <w:szCs w:val="24"/>
        </w:rPr>
        <w:t xml:space="preserve"> In any event the appellant should have led </w:t>
      </w:r>
      <w:r w:rsidR="005B4413" w:rsidRPr="00C12279">
        <w:rPr>
          <w:rFonts w:ascii="Times New Roman" w:hAnsi="Times New Roman" w:cs="Times New Roman"/>
          <w:sz w:val="24"/>
          <w:szCs w:val="24"/>
        </w:rPr>
        <w:t xml:space="preserve">cogent and not vague </w:t>
      </w:r>
      <w:r w:rsidR="00E97558" w:rsidRPr="00C12279">
        <w:rPr>
          <w:rFonts w:ascii="Times New Roman" w:hAnsi="Times New Roman" w:cs="Times New Roman"/>
          <w:sz w:val="24"/>
          <w:szCs w:val="24"/>
        </w:rPr>
        <w:t xml:space="preserve">evidence perhaps from other taxpayers on the existence of such a practice. </w:t>
      </w:r>
      <w:r w:rsidR="005B4413" w:rsidRPr="00C12279">
        <w:rPr>
          <w:rFonts w:ascii="Times New Roman" w:hAnsi="Times New Roman" w:cs="Times New Roman"/>
          <w:sz w:val="24"/>
          <w:szCs w:val="24"/>
        </w:rPr>
        <w:t xml:space="preserve">See </w:t>
      </w:r>
      <w:r w:rsidR="005B4413" w:rsidRPr="00C12279">
        <w:rPr>
          <w:rFonts w:ascii="Times New Roman" w:hAnsi="Times New Roman" w:cs="Times New Roman"/>
          <w:i/>
          <w:sz w:val="24"/>
          <w:szCs w:val="24"/>
        </w:rPr>
        <w:t xml:space="preserve">D Bank Ltd </w:t>
      </w:r>
      <w:r w:rsidR="005B4413" w:rsidRPr="001335C0">
        <w:rPr>
          <w:rFonts w:ascii="Times New Roman" w:hAnsi="Times New Roman" w:cs="Times New Roman"/>
          <w:sz w:val="24"/>
          <w:szCs w:val="24"/>
        </w:rPr>
        <w:t>v</w:t>
      </w:r>
      <w:r w:rsidR="005B4413" w:rsidRPr="00C12279">
        <w:rPr>
          <w:rFonts w:ascii="Times New Roman" w:hAnsi="Times New Roman" w:cs="Times New Roman"/>
          <w:i/>
          <w:sz w:val="24"/>
          <w:szCs w:val="24"/>
        </w:rPr>
        <w:t xml:space="preserve"> Zimbabwe Revenue Authority, supra </w:t>
      </w:r>
      <w:r w:rsidR="005B4413" w:rsidRPr="00C12279">
        <w:rPr>
          <w:rFonts w:ascii="Times New Roman" w:hAnsi="Times New Roman" w:cs="Times New Roman"/>
          <w:sz w:val="24"/>
          <w:szCs w:val="24"/>
        </w:rPr>
        <w:t xml:space="preserve">at p 191C. </w:t>
      </w:r>
      <w:r w:rsidR="00E97558" w:rsidRPr="00C12279">
        <w:rPr>
          <w:rFonts w:ascii="Times New Roman" w:hAnsi="Times New Roman" w:cs="Times New Roman"/>
          <w:sz w:val="24"/>
          <w:szCs w:val="24"/>
        </w:rPr>
        <w:t xml:space="preserve">Such a failure satisfies me that the alleged practice does not exist. </w:t>
      </w:r>
      <w:r w:rsidR="00502AB6" w:rsidRPr="00C12279">
        <w:rPr>
          <w:rFonts w:ascii="Times New Roman" w:hAnsi="Times New Roman" w:cs="Times New Roman"/>
          <w:sz w:val="24"/>
          <w:szCs w:val="24"/>
        </w:rPr>
        <w:t xml:space="preserve">The alternative submission advanced by Mr </w:t>
      </w:r>
      <w:r w:rsidR="00502AB6" w:rsidRPr="00C12279">
        <w:rPr>
          <w:rFonts w:ascii="Times New Roman" w:hAnsi="Times New Roman" w:cs="Times New Roman"/>
          <w:i/>
          <w:sz w:val="24"/>
          <w:szCs w:val="24"/>
        </w:rPr>
        <w:t>de Bourbon</w:t>
      </w:r>
      <w:r w:rsidR="00502AB6" w:rsidRPr="00C12279">
        <w:rPr>
          <w:rFonts w:ascii="Times New Roman" w:hAnsi="Times New Roman" w:cs="Times New Roman"/>
          <w:sz w:val="24"/>
          <w:szCs w:val="24"/>
        </w:rPr>
        <w:t xml:space="preserve"> was </w:t>
      </w:r>
      <w:r w:rsidR="00CB31E8" w:rsidRPr="00C12279">
        <w:rPr>
          <w:rFonts w:ascii="Times New Roman" w:hAnsi="Times New Roman" w:cs="Times New Roman"/>
          <w:sz w:val="24"/>
          <w:szCs w:val="24"/>
        </w:rPr>
        <w:t>therefore devoid of</w:t>
      </w:r>
      <w:r w:rsidR="00502AB6" w:rsidRPr="00C12279">
        <w:rPr>
          <w:rFonts w:ascii="Times New Roman" w:hAnsi="Times New Roman" w:cs="Times New Roman"/>
          <w:sz w:val="24"/>
          <w:szCs w:val="24"/>
        </w:rPr>
        <w:t xml:space="preserve"> merit. The respondent acted within the ambit of its statutory powers to reopen the self-assessment returns to readjust the provisions for both leave pay and audit fees.</w:t>
      </w:r>
      <w:r w:rsidR="00B44670" w:rsidRPr="00C12279">
        <w:rPr>
          <w:rFonts w:ascii="Times New Roman" w:hAnsi="Times New Roman" w:cs="Times New Roman"/>
          <w:sz w:val="24"/>
          <w:szCs w:val="24"/>
        </w:rPr>
        <w:t xml:space="preserve"> In my</w:t>
      </w:r>
      <w:r w:rsidR="00620982" w:rsidRPr="00C12279">
        <w:rPr>
          <w:rFonts w:ascii="Times New Roman" w:hAnsi="Times New Roman" w:cs="Times New Roman"/>
          <w:sz w:val="24"/>
          <w:szCs w:val="24"/>
        </w:rPr>
        <w:t xml:space="preserve"> view, that these provisions</w:t>
      </w:r>
      <w:r w:rsidR="00B44670" w:rsidRPr="00C12279">
        <w:rPr>
          <w:rFonts w:ascii="Times New Roman" w:hAnsi="Times New Roman" w:cs="Times New Roman"/>
          <w:sz w:val="24"/>
          <w:szCs w:val="24"/>
        </w:rPr>
        <w:t xml:space="preserve"> were not treated as reserve funds in the financial statements was a mere accounting form that did not</w:t>
      </w:r>
      <w:r w:rsidR="00720FCE" w:rsidRPr="00C12279">
        <w:rPr>
          <w:rFonts w:ascii="Times New Roman" w:hAnsi="Times New Roman" w:cs="Times New Roman"/>
          <w:sz w:val="24"/>
          <w:szCs w:val="24"/>
        </w:rPr>
        <w:t xml:space="preserve"> in substance</w:t>
      </w:r>
      <w:r w:rsidR="00B44670" w:rsidRPr="00C12279">
        <w:rPr>
          <w:rFonts w:ascii="Times New Roman" w:hAnsi="Times New Roman" w:cs="Times New Roman"/>
          <w:sz w:val="24"/>
          <w:szCs w:val="24"/>
        </w:rPr>
        <w:t xml:space="preserve"> affect </w:t>
      </w:r>
      <w:r w:rsidR="00720FCE" w:rsidRPr="00C12279">
        <w:rPr>
          <w:rFonts w:ascii="Times New Roman" w:hAnsi="Times New Roman" w:cs="Times New Roman"/>
          <w:sz w:val="24"/>
          <w:szCs w:val="24"/>
        </w:rPr>
        <w:t>their income tax</w:t>
      </w:r>
      <w:r w:rsidR="00B44670" w:rsidRPr="00C12279">
        <w:rPr>
          <w:rFonts w:ascii="Times New Roman" w:hAnsi="Times New Roman" w:cs="Times New Roman"/>
          <w:sz w:val="24"/>
          <w:szCs w:val="24"/>
        </w:rPr>
        <w:t xml:space="preserve"> </w:t>
      </w:r>
      <w:r w:rsidR="00720FCE" w:rsidRPr="00C12279">
        <w:rPr>
          <w:rFonts w:ascii="Times New Roman" w:hAnsi="Times New Roman" w:cs="Times New Roman"/>
          <w:sz w:val="24"/>
          <w:szCs w:val="24"/>
        </w:rPr>
        <w:t xml:space="preserve">reserve fund </w:t>
      </w:r>
      <w:r w:rsidR="00B44670" w:rsidRPr="00C12279">
        <w:rPr>
          <w:rFonts w:ascii="Times New Roman" w:hAnsi="Times New Roman" w:cs="Times New Roman"/>
          <w:sz w:val="24"/>
          <w:szCs w:val="24"/>
        </w:rPr>
        <w:t>s</w:t>
      </w:r>
      <w:r w:rsidR="00720FCE" w:rsidRPr="00C12279">
        <w:rPr>
          <w:rFonts w:ascii="Times New Roman" w:hAnsi="Times New Roman" w:cs="Times New Roman"/>
          <w:sz w:val="24"/>
          <w:szCs w:val="24"/>
        </w:rPr>
        <w:t>tatus.</w:t>
      </w:r>
      <w:r w:rsidR="00574F67" w:rsidRPr="00C12279">
        <w:rPr>
          <w:rFonts w:ascii="Times New Roman" w:hAnsi="Times New Roman" w:cs="Times New Roman"/>
          <w:sz w:val="24"/>
          <w:szCs w:val="24"/>
        </w:rPr>
        <w:t xml:space="preserve"> As correctly </w:t>
      </w:r>
      <w:r w:rsidR="00515F10" w:rsidRPr="00C12279">
        <w:rPr>
          <w:rFonts w:ascii="Times New Roman" w:hAnsi="Times New Roman" w:cs="Times New Roman"/>
          <w:sz w:val="24"/>
          <w:szCs w:val="24"/>
        </w:rPr>
        <w:t>observed</w:t>
      </w:r>
      <w:r w:rsidR="00574F67" w:rsidRPr="00C12279">
        <w:rPr>
          <w:rFonts w:ascii="Times New Roman" w:hAnsi="Times New Roman" w:cs="Times New Roman"/>
          <w:sz w:val="24"/>
          <w:szCs w:val="24"/>
        </w:rPr>
        <w:t xml:space="preserve"> by the chief investigations officer, </w:t>
      </w:r>
      <w:r w:rsidR="00515F10" w:rsidRPr="00C12279">
        <w:rPr>
          <w:rFonts w:ascii="Times New Roman" w:hAnsi="Times New Roman" w:cs="Times New Roman"/>
          <w:sz w:val="24"/>
          <w:szCs w:val="24"/>
        </w:rPr>
        <w:t>however the appellant treated it in its books of account, a provision was in substance a reserve fund</w:t>
      </w:r>
      <w:r w:rsidR="008F2684" w:rsidRPr="00C12279">
        <w:rPr>
          <w:rFonts w:ascii="Times New Roman" w:hAnsi="Times New Roman" w:cs="Times New Roman"/>
          <w:sz w:val="24"/>
          <w:szCs w:val="24"/>
        </w:rPr>
        <w:t xml:space="preserve">, which could not be claimed in the year of assessment </w:t>
      </w:r>
      <w:r w:rsidR="00A221F9" w:rsidRPr="00C12279">
        <w:rPr>
          <w:rFonts w:ascii="Times New Roman" w:hAnsi="Times New Roman" w:cs="Times New Roman"/>
          <w:sz w:val="24"/>
          <w:szCs w:val="24"/>
        </w:rPr>
        <w:t xml:space="preserve">it was made </w:t>
      </w:r>
      <w:r w:rsidR="008F2684" w:rsidRPr="00C12279">
        <w:rPr>
          <w:rFonts w:ascii="Times New Roman" w:hAnsi="Times New Roman" w:cs="Times New Roman"/>
          <w:sz w:val="24"/>
          <w:szCs w:val="24"/>
        </w:rPr>
        <w:t>by virtue of s 16 (1) (e)</w:t>
      </w:r>
      <w:r w:rsidR="00515F10" w:rsidRPr="00C12279">
        <w:rPr>
          <w:rFonts w:ascii="Times New Roman" w:hAnsi="Times New Roman" w:cs="Times New Roman"/>
          <w:sz w:val="24"/>
          <w:szCs w:val="24"/>
        </w:rPr>
        <w:t>.</w:t>
      </w:r>
    </w:p>
    <w:p w14:paraId="04584E90" w14:textId="6DE74877" w:rsidR="00620982" w:rsidRPr="00C12279" w:rsidRDefault="00EC45C7" w:rsidP="001335C0">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Accordingly, I am satisfied that the respondent correctly disallowed the provisions in question in each of these years. </w:t>
      </w:r>
    </w:p>
    <w:p w14:paraId="6F6FE31E" w14:textId="77777777" w:rsidR="008A6FAB" w:rsidRPr="00C12279" w:rsidRDefault="009A1C95" w:rsidP="007370F3">
      <w:pPr>
        <w:jc w:val="both"/>
        <w:rPr>
          <w:rFonts w:ascii="Times New Roman" w:hAnsi="Times New Roman" w:cs="Times New Roman"/>
          <w:i/>
          <w:sz w:val="24"/>
          <w:szCs w:val="24"/>
        </w:rPr>
      </w:pPr>
      <w:r w:rsidRPr="00C12279">
        <w:rPr>
          <w:rFonts w:ascii="Times New Roman" w:hAnsi="Times New Roman" w:cs="Times New Roman"/>
          <w:i/>
          <w:sz w:val="24"/>
          <w:szCs w:val="24"/>
        </w:rPr>
        <w:t>Penalties</w:t>
      </w:r>
    </w:p>
    <w:p w14:paraId="0E68650F" w14:textId="7316718A" w:rsidR="00164552" w:rsidRPr="00C12279" w:rsidRDefault="001D01B9" w:rsidP="001335C0">
      <w:pPr>
        <w:spacing w:after="0" w:line="360" w:lineRule="auto"/>
        <w:ind w:firstLine="720"/>
        <w:jc w:val="both"/>
        <w:rPr>
          <w:rFonts w:ascii="Times New Roman" w:hAnsi="Times New Roman" w:cs="Times New Roman"/>
          <w:i/>
          <w:sz w:val="24"/>
          <w:szCs w:val="24"/>
        </w:rPr>
      </w:pPr>
      <w:r w:rsidRPr="00C12279">
        <w:rPr>
          <w:rFonts w:ascii="Times New Roman" w:hAnsi="Times New Roman" w:cs="Times New Roman"/>
          <w:b/>
          <w:sz w:val="24"/>
          <w:szCs w:val="24"/>
        </w:rPr>
        <w:t xml:space="preserve"> </w:t>
      </w:r>
      <w:r w:rsidR="00F62D17" w:rsidRPr="00C12279">
        <w:rPr>
          <w:rFonts w:ascii="Times New Roman" w:hAnsi="Times New Roman" w:cs="Times New Roman"/>
          <w:sz w:val="24"/>
          <w:szCs w:val="24"/>
        </w:rPr>
        <w:t>It was common ground that penalties are imposed by virtue of s 46</w:t>
      </w:r>
      <w:r w:rsidR="00164552" w:rsidRPr="00C12279">
        <w:rPr>
          <w:rFonts w:ascii="Times New Roman" w:hAnsi="Times New Roman" w:cs="Times New Roman"/>
          <w:sz w:val="24"/>
          <w:szCs w:val="24"/>
        </w:rPr>
        <w:t xml:space="preserve"> </w:t>
      </w:r>
      <w:r w:rsidR="001B2B12" w:rsidRPr="00C12279">
        <w:rPr>
          <w:rFonts w:ascii="Times New Roman" w:hAnsi="Times New Roman" w:cs="Times New Roman"/>
          <w:sz w:val="24"/>
          <w:szCs w:val="24"/>
        </w:rPr>
        <w:t>of the Income Tax Ac</w:t>
      </w:r>
      <w:r w:rsidR="00020F33" w:rsidRPr="00C12279">
        <w:rPr>
          <w:rFonts w:ascii="Times New Roman" w:hAnsi="Times New Roman" w:cs="Times New Roman"/>
          <w:sz w:val="24"/>
          <w:szCs w:val="24"/>
        </w:rPr>
        <w:t>t</w:t>
      </w:r>
      <w:r w:rsidR="001B2B12" w:rsidRPr="00C12279">
        <w:rPr>
          <w:rFonts w:ascii="Times New Roman" w:hAnsi="Times New Roman" w:cs="Times New Roman"/>
          <w:sz w:val="24"/>
          <w:szCs w:val="24"/>
        </w:rPr>
        <w:t xml:space="preserve"> and in the present matter were derived from subs (1) (b) and (c), (4) and (6)</w:t>
      </w:r>
      <w:r w:rsidR="00020F33" w:rsidRPr="00C12279">
        <w:rPr>
          <w:rFonts w:ascii="Times New Roman" w:hAnsi="Times New Roman" w:cs="Times New Roman"/>
          <w:sz w:val="24"/>
          <w:szCs w:val="24"/>
        </w:rPr>
        <w:t xml:space="preserve"> of s 46 of the </w:t>
      </w:r>
      <w:r w:rsidR="00020F33" w:rsidRPr="00C12279">
        <w:rPr>
          <w:rFonts w:ascii="Times New Roman" w:hAnsi="Times New Roman" w:cs="Times New Roman"/>
          <w:sz w:val="24"/>
          <w:szCs w:val="24"/>
        </w:rPr>
        <w:lastRenderedPageBreak/>
        <w:t>Income Tax Act.</w:t>
      </w:r>
      <w:r w:rsidR="00164552" w:rsidRPr="00C12279">
        <w:rPr>
          <w:rFonts w:ascii="Times New Roman" w:hAnsi="Times New Roman" w:cs="Times New Roman"/>
          <w:sz w:val="24"/>
          <w:szCs w:val="24"/>
        </w:rPr>
        <w:t xml:space="preserve"> </w:t>
      </w:r>
      <w:r w:rsidR="00A707C9" w:rsidRPr="00C12279">
        <w:rPr>
          <w:rFonts w:ascii="Times New Roman" w:hAnsi="Times New Roman" w:cs="Times New Roman"/>
          <w:sz w:val="24"/>
          <w:szCs w:val="24"/>
        </w:rPr>
        <w:t xml:space="preserve">Initially the respondent imposed 100% penalties but on objection it reduced the penalty on the provisions to 50% and maintained the penalties </w:t>
      </w:r>
      <w:r w:rsidR="00164552" w:rsidRPr="00C12279">
        <w:rPr>
          <w:rFonts w:ascii="Times New Roman" w:hAnsi="Times New Roman" w:cs="Times New Roman"/>
          <w:sz w:val="24"/>
          <w:szCs w:val="24"/>
        </w:rPr>
        <w:t>in respect of the failure to deduct the correct amounts for marketing, promotion and advertising in the purported profit sharing arrangement, the omission to levy interest on subsidiaries and the deduction of management fees</w:t>
      </w:r>
      <w:r w:rsidR="00A707C9" w:rsidRPr="00C12279">
        <w:rPr>
          <w:rFonts w:ascii="Times New Roman" w:hAnsi="Times New Roman" w:cs="Times New Roman"/>
          <w:sz w:val="24"/>
          <w:szCs w:val="24"/>
        </w:rPr>
        <w:t xml:space="preserve"> at 100%.  </w:t>
      </w:r>
      <w:r w:rsidR="00F62D17" w:rsidRPr="00C12279">
        <w:rPr>
          <w:rFonts w:ascii="Times New Roman" w:hAnsi="Times New Roman" w:cs="Times New Roman"/>
          <w:sz w:val="24"/>
          <w:szCs w:val="24"/>
        </w:rPr>
        <w:t xml:space="preserve">The argument advanced by Mr </w:t>
      </w:r>
      <w:r w:rsidR="00F62D17" w:rsidRPr="00C12279">
        <w:rPr>
          <w:rFonts w:ascii="Times New Roman" w:hAnsi="Times New Roman" w:cs="Times New Roman"/>
          <w:i/>
          <w:sz w:val="24"/>
          <w:szCs w:val="24"/>
        </w:rPr>
        <w:t>de Bourbon</w:t>
      </w:r>
      <w:r w:rsidR="00F62D17" w:rsidRPr="00C12279">
        <w:rPr>
          <w:rFonts w:ascii="Times New Roman" w:hAnsi="Times New Roman" w:cs="Times New Roman"/>
          <w:sz w:val="24"/>
          <w:szCs w:val="24"/>
        </w:rPr>
        <w:t xml:space="preserve"> that </w:t>
      </w:r>
      <w:r w:rsidR="001E4E15" w:rsidRPr="00C12279">
        <w:rPr>
          <w:rFonts w:ascii="Times New Roman" w:hAnsi="Times New Roman" w:cs="Times New Roman"/>
          <w:sz w:val="24"/>
          <w:szCs w:val="24"/>
        </w:rPr>
        <w:t>the obligation to pay tax only arose after the adjustments had been invoked under s 24 was incorrect</w:t>
      </w:r>
      <w:r w:rsidR="00F62D17" w:rsidRPr="00C12279">
        <w:rPr>
          <w:rFonts w:ascii="Times New Roman" w:hAnsi="Times New Roman" w:cs="Times New Roman"/>
          <w:sz w:val="24"/>
          <w:szCs w:val="24"/>
        </w:rPr>
        <w:t xml:space="preserve">. S 24 is invoked after </w:t>
      </w:r>
      <w:r w:rsidR="00020F33" w:rsidRPr="00C12279">
        <w:rPr>
          <w:rFonts w:ascii="Times New Roman" w:hAnsi="Times New Roman" w:cs="Times New Roman"/>
          <w:sz w:val="24"/>
          <w:szCs w:val="24"/>
        </w:rPr>
        <w:t xml:space="preserve">the </w:t>
      </w:r>
      <w:r w:rsidR="00F62D17" w:rsidRPr="00C12279">
        <w:rPr>
          <w:rFonts w:ascii="Times New Roman" w:hAnsi="Times New Roman" w:cs="Times New Roman"/>
          <w:sz w:val="24"/>
          <w:szCs w:val="24"/>
        </w:rPr>
        <w:t xml:space="preserve">self-assessment, </w:t>
      </w:r>
      <w:r w:rsidR="00020F33" w:rsidRPr="00C12279">
        <w:rPr>
          <w:rFonts w:ascii="Times New Roman" w:hAnsi="Times New Roman" w:cs="Times New Roman"/>
          <w:sz w:val="24"/>
          <w:szCs w:val="24"/>
        </w:rPr>
        <w:t xml:space="preserve">which is </w:t>
      </w:r>
      <w:r w:rsidR="00F62D17" w:rsidRPr="00C12279">
        <w:rPr>
          <w:rFonts w:ascii="Times New Roman" w:hAnsi="Times New Roman" w:cs="Times New Roman"/>
          <w:sz w:val="24"/>
          <w:szCs w:val="24"/>
        </w:rPr>
        <w:t>deemed to be the assessment by the Commissioner</w:t>
      </w:r>
      <w:r w:rsidR="00020F33" w:rsidRPr="00C12279">
        <w:rPr>
          <w:rFonts w:ascii="Times New Roman" w:hAnsi="Times New Roman" w:cs="Times New Roman"/>
          <w:sz w:val="24"/>
          <w:szCs w:val="24"/>
        </w:rPr>
        <w:t>, has been filed</w:t>
      </w:r>
      <w:r w:rsidR="00F62D17" w:rsidRPr="00C12279">
        <w:rPr>
          <w:rFonts w:ascii="Times New Roman" w:hAnsi="Times New Roman" w:cs="Times New Roman"/>
          <w:sz w:val="24"/>
          <w:szCs w:val="24"/>
        </w:rPr>
        <w:t xml:space="preserve">. </w:t>
      </w:r>
      <w:r w:rsidR="006669B9" w:rsidRPr="00C12279">
        <w:rPr>
          <w:rFonts w:ascii="Times New Roman" w:hAnsi="Times New Roman" w:cs="Times New Roman"/>
          <w:sz w:val="24"/>
          <w:szCs w:val="24"/>
        </w:rPr>
        <w:t xml:space="preserve">The purpose of s 24 is to determine whether the taxpayer paid the correct tax in the self-assessment. </w:t>
      </w:r>
      <w:r w:rsidR="00F62D17" w:rsidRPr="00C12279">
        <w:rPr>
          <w:rFonts w:ascii="Times New Roman" w:hAnsi="Times New Roman" w:cs="Times New Roman"/>
          <w:sz w:val="24"/>
          <w:szCs w:val="24"/>
        </w:rPr>
        <w:t>Any shortfall disclosed by the invocation of s 24 relates to the self-as</w:t>
      </w:r>
      <w:r w:rsidR="006669B9" w:rsidRPr="00C12279">
        <w:rPr>
          <w:rFonts w:ascii="Times New Roman" w:hAnsi="Times New Roman" w:cs="Times New Roman"/>
          <w:sz w:val="24"/>
          <w:szCs w:val="24"/>
        </w:rPr>
        <w:t>sessment and</w:t>
      </w:r>
      <w:r w:rsidR="00F62D17" w:rsidRPr="00C12279">
        <w:rPr>
          <w:rFonts w:ascii="Times New Roman" w:hAnsi="Times New Roman" w:cs="Times New Roman"/>
          <w:sz w:val="24"/>
          <w:szCs w:val="24"/>
        </w:rPr>
        <w:t xml:space="preserve"> not to a new assessment.  In my view, the obligation to pay the correct tax arose when the self-assessment return was made and not at the time of re-assessment when the shortfall was discovered. </w:t>
      </w:r>
      <w:r w:rsidR="00A1045E" w:rsidRPr="00C12279">
        <w:rPr>
          <w:rFonts w:ascii="Times New Roman" w:hAnsi="Times New Roman" w:cs="Times New Roman"/>
          <w:sz w:val="24"/>
          <w:szCs w:val="24"/>
        </w:rPr>
        <w:t xml:space="preserve">Accordingly, the provisions of s 46 </w:t>
      </w:r>
      <w:r w:rsidR="00C6404A" w:rsidRPr="00C12279">
        <w:rPr>
          <w:rFonts w:ascii="Times New Roman" w:hAnsi="Times New Roman" w:cs="Times New Roman"/>
          <w:sz w:val="24"/>
          <w:szCs w:val="24"/>
        </w:rPr>
        <w:t xml:space="preserve">cover the infractions committed by the appellant. </w:t>
      </w:r>
    </w:p>
    <w:p w14:paraId="66B6CEEC" w14:textId="39D276C0" w:rsidR="00261B92" w:rsidRPr="00C12279" w:rsidRDefault="00C6404A" w:rsidP="001335C0">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imposition of penalties at 100% is done only where the appellant is found to have fallen foul of </w:t>
      </w:r>
      <w:r w:rsidR="001B2B12" w:rsidRPr="00C12279">
        <w:rPr>
          <w:rFonts w:ascii="Times New Roman" w:hAnsi="Times New Roman" w:cs="Times New Roman"/>
          <w:sz w:val="24"/>
          <w:szCs w:val="24"/>
        </w:rPr>
        <w:t xml:space="preserve">the provisions of </w:t>
      </w:r>
      <w:r w:rsidRPr="00C12279">
        <w:rPr>
          <w:rFonts w:ascii="Times New Roman" w:hAnsi="Times New Roman" w:cs="Times New Roman"/>
          <w:sz w:val="24"/>
          <w:szCs w:val="24"/>
        </w:rPr>
        <w:t xml:space="preserve">s 46 (6) </w:t>
      </w:r>
      <w:r w:rsidR="001B2B12" w:rsidRPr="00C12279">
        <w:rPr>
          <w:rFonts w:ascii="Times New Roman" w:hAnsi="Times New Roman" w:cs="Times New Roman"/>
          <w:sz w:val="24"/>
          <w:szCs w:val="24"/>
        </w:rPr>
        <w:t xml:space="preserve">of the Income Tax Act </w:t>
      </w:r>
      <w:r w:rsidRPr="00C12279">
        <w:rPr>
          <w:rFonts w:ascii="Times New Roman" w:hAnsi="Times New Roman" w:cs="Times New Roman"/>
          <w:sz w:val="24"/>
          <w:szCs w:val="24"/>
        </w:rPr>
        <w:t>by omitting an amount which should have been included in the return or by rendering an incorrect statement or failing to disclose any relevant fact which results in the payment</w:t>
      </w:r>
      <w:r w:rsidR="00B834AC" w:rsidRPr="00C12279">
        <w:rPr>
          <w:rFonts w:ascii="Times New Roman" w:hAnsi="Times New Roman" w:cs="Times New Roman"/>
          <w:sz w:val="24"/>
          <w:szCs w:val="24"/>
        </w:rPr>
        <w:t xml:space="preserve"> of less tax than</w:t>
      </w:r>
      <w:r w:rsidRPr="00C12279">
        <w:rPr>
          <w:rFonts w:ascii="Times New Roman" w:hAnsi="Times New Roman" w:cs="Times New Roman"/>
          <w:sz w:val="24"/>
          <w:szCs w:val="24"/>
        </w:rPr>
        <w:t xml:space="preserve"> would otherwise be due </w:t>
      </w:r>
      <w:r w:rsidR="00B834AC" w:rsidRPr="00C12279">
        <w:rPr>
          <w:rFonts w:ascii="Times New Roman" w:hAnsi="Times New Roman" w:cs="Times New Roman"/>
          <w:sz w:val="24"/>
          <w:szCs w:val="24"/>
        </w:rPr>
        <w:t>with intent to evade tax. Where such an intention is missing, then the Commissioner or the Court on appeal has a dis</w:t>
      </w:r>
      <w:r w:rsidR="00D83ED7" w:rsidRPr="00C12279">
        <w:rPr>
          <w:rFonts w:ascii="Times New Roman" w:hAnsi="Times New Roman" w:cs="Times New Roman"/>
          <w:sz w:val="24"/>
          <w:szCs w:val="24"/>
        </w:rPr>
        <w:t xml:space="preserve">cretion </w:t>
      </w:r>
      <w:r w:rsidR="004005B1" w:rsidRPr="00C12279">
        <w:rPr>
          <w:rFonts w:ascii="Times New Roman" w:hAnsi="Times New Roman" w:cs="Times New Roman"/>
          <w:sz w:val="24"/>
          <w:szCs w:val="24"/>
        </w:rPr>
        <w:t xml:space="preserve">on the quantum of penalty to impose. </w:t>
      </w:r>
    </w:p>
    <w:p w14:paraId="1BB7ACCA" w14:textId="5A227E0A" w:rsidR="00157D96" w:rsidRPr="00C12279" w:rsidRDefault="001B2B12" w:rsidP="001335C0">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Since this is an appeal in the wider sense I am at large on penalty</w:t>
      </w:r>
      <w:r w:rsidR="0071441E" w:rsidRPr="00C12279">
        <w:rPr>
          <w:rFonts w:ascii="Times New Roman" w:hAnsi="Times New Roman" w:cs="Times New Roman"/>
          <w:sz w:val="24"/>
          <w:szCs w:val="24"/>
        </w:rPr>
        <w:t xml:space="preserve">. </w:t>
      </w:r>
      <w:r w:rsidR="00D96FC9" w:rsidRPr="00C12279">
        <w:rPr>
          <w:rFonts w:ascii="Times New Roman" w:hAnsi="Times New Roman" w:cs="Times New Roman"/>
          <w:sz w:val="24"/>
          <w:szCs w:val="24"/>
        </w:rPr>
        <w:t xml:space="preserve">The appellant was generally a good corporate citizen which paid its fair measure of taxes. It cooperated with the respondent during the 4 year </w:t>
      </w:r>
      <w:r w:rsidR="00AD4653" w:rsidRPr="00C12279">
        <w:rPr>
          <w:rFonts w:ascii="Times New Roman" w:hAnsi="Times New Roman" w:cs="Times New Roman"/>
          <w:sz w:val="24"/>
          <w:szCs w:val="24"/>
        </w:rPr>
        <w:t xml:space="preserve">fatiguing and </w:t>
      </w:r>
      <w:r w:rsidR="00D96FC9" w:rsidRPr="00C12279">
        <w:rPr>
          <w:rFonts w:ascii="Times New Roman" w:hAnsi="Times New Roman" w:cs="Times New Roman"/>
          <w:sz w:val="24"/>
          <w:szCs w:val="24"/>
        </w:rPr>
        <w:t>disruptive</w:t>
      </w:r>
      <w:r w:rsidR="00AD4653" w:rsidRPr="00C12279">
        <w:rPr>
          <w:rFonts w:ascii="Times New Roman" w:hAnsi="Times New Roman" w:cs="Times New Roman"/>
          <w:sz w:val="24"/>
          <w:szCs w:val="24"/>
        </w:rPr>
        <w:t xml:space="preserve"> </w:t>
      </w:r>
      <w:r w:rsidR="00D96FC9" w:rsidRPr="00C12279">
        <w:rPr>
          <w:rFonts w:ascii="Times New Roman" w:hAnsi="Times New Roman" w:cs="Times New Roman"/>
          <w:sz w:val="24"/>
          <w:szCs w:val="24"/>
        </w:rPr>
        <w:t>investigation which took its t</w:t>
      </w:r>
      <w:r w:rsidR="00AD4653" w:rsidRPr="00C12279">
        <w:rPr>
          <w:rFonts w:ascii="Times New Roman" w:hAnsi="Times New Roman" w:cs="Times New Roman"/>
          <w:sz w:val="24"/>
          <w:szCs w:val="24"/>
        </w:rPr>
        <w:t xml:space="preserve">oll on management time and company resources. </w:t>
      </w:r>
      <w:r w:rsidR="001064F6" w:rsidRPr="00C12279">
        <w:rPr>
          <w:rFonts w:ascii="Times New Roman" w:hAnsi="Times New Roman" w:cs="Times New Roman"/>
          <w:sz w:val="24"/>
          <w:szCs w:val="24"/>
        </w:rPr>
        <w:t xml:space="preserve">The objection letter and subsequent letters of 22 September 2014, 27 October 2014 and </w:t>
      </w:r>
      <w:r w:rsidR="003C73D4" w:rsidRPr="00C12279">
        <w:rPr>
          <w:rFonts w:ascii="Times New Roman" w:hAnsi="Times New Roman" w:cs="Times New Roman"/>
          <w:sz w:val="24"/>
          <w:szCs w:val="24"/>
        </w:rPr>
        <w:t xml:space="preserve">14 November 2014 disclosed the financial stress the </w:t>
      </w:r>
      <w:r w:rsidR="00AD4653" w:rsidRPr="00C12279">
        <w:rPr>
          <w:rFonts w:ascii="Times New Roman" w:hAnsi="Times New Roman" w:cs="Times New Roman"/>
          <w:sz w:val="24"/>
          <w:szCs w:val="24"/>
        </w:rPr>
        <w:t xml:space="preserve">appellant </w:t>
      </w:r>
      <w:r w:rsidR="00AD2D41" w:rsidRPr="00C12279">
        <w:rPr>
          <w:rFonts w:ascii="Times New Roman" w:hAnsi="Times New Roman" w:cs="Times New Roman"/>
          <w:sz w:val="24"/>
          <w:szCs w:val="24"/>
        </w:rPr>
        <w:t>experienced</w:t>
      </w:r>
      <w:r w:rsidR="00AD4653" w:rsidRPr="00C12279">
        <w:rPr>
          <w:rFonts w:ascii="Times New Roman" w:hAnsi="Times New Roman" w:cs="Times New Roman"/>
          <w:sz w:val="24"/>
          <w:szCs w:val="24"/>
        </w:rPr>
        <w:t xml:space="preserve"> which contributed to the eventual loss of the franchise </w:t>
      </w:r>
      <w:r w:rsidR="001064F6" w:rsidRPr="00C12279">
        <w:rPr>
          <w:rFonts w:ascii="Times New Roman" w:hAnsi="Times New Roman" w:cs="Times New Roman"/>
          <w:sz w:val="24"/>
          <w:szCs w:val="24"/>
        </w:rPr>
        <w:t>just before the objection was filed with the Commissioner.</w:t>
      </w:r>
      <w:r w:rsidR="00AD4653" w:rsidRPr="00C12279">
        <w:rPr>
          <w:rFonts w:ascii="Times New Roman" w:hAnsi="Times New Roman" w:cs="Times New Roman"/>
          <w:sz w:val="24"/>
          <w:szCs w:val="24"/>
        </w:rPr>
        <w:t xml:space="preserve"> </w:t>
      </w:r>
      <w:r w:rsidR="00261B92" w:rsidRPr="00C12279">
        <w:rPr>
          <w:rFonts w:ascii="Times New Roman" w:hAnsi="Times New Roman" w:cs="Times New Roman"/>
          <w:sz w:val="24"/>
          <w:szCs w:val="24"/>
        </w:rPr>
        <w:t>The appellant’s position on its relationship with two local related parties was only conceded by the respondent’s counsel in his opening remarks at the commencement of the appeal hearin</w:t>
      </w:r>
      <w:r w:rsidR="001064F6" w:rsidRPr="00C12279">
        <w:rPr>
          <w:rFonts w:ascii="Times New Roman" w:hAnsi="Times New Roman" w:cs="Times New Roman"/>
          <w:sz w:val="24"/>
          <w:szCs w:val="24"/>
        </w:rPr>
        <w:t xml:space="preserve">g. </w:t>
      </w:r>
    </w:p>
    <w:p w14:paraId="7A8565DC" w14:textId="7A1CE442" w:rsidR="00CF7221" w:rsidRPr="00C12279" w:rsidRDefault="001064F6" w:rsidP="001335C0">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I am obliged to look into</w:t>
      </w:r>
      <w:r w:rsidR="00FA47D0" w:rsidRPr="00C12279">
        <w:rPr>
          <w:rFonts w:ascii="Times New Roman" w:hAnsi="Times New Roman" w:cs="Times New Roman"/>
          <w:sz w:val="24"/>
          <w:szCs w:val="24"/>
        </w:rPr>
        <w:t xml:space="preserve"> the interest of the wider community. In </w:t>
      </w:r>
      <w:r w:rsidR="00FA47D0" w:rsidRPr="00C12279">
        <w:rPr>
          <w:rFonts w:ascii="Times New Roman" w:hAnsi="Times New Roman" w:cs="Times New Roman"/>
          <w:i/>
          <w:sz w:val="24"/>
          <w:szCs w:val="24"/>
        </w:rPr>
        <w:t xml:space="preserve">Commissioner of Taxes </w:t>
      </w:r>
      <w:r w:rsidR="00FA47D0" w:rsidRPr="00816CB3">
        <w:rPr>
          <w:rFonts w:ascii="Times New Roman" w:hAnsi="Times New Roman" w:cs="Times New Roman"/>
          <w:sz w:val="24"/>
          <w:szCs w:val="24"/>
        </w:rPr>
        <w:t>v</w:t>
      </w:r>
      <w:r w:rsidR="00FA47D0" w:rsidRPr="00C12279">
        <w:rPr>
          <w:rFonts w:ascii="Times New Roman" w:hAnsi="Times New Roman" w:cs="Times New Roman"/>
          <w:i/>
          <w:sz w:val="24"/>
          <w:szCs w:val="24"/>
        </w:rPr>
        <w:t xml:space="preserve"> F</w:t>
      </w:r>
      <w:r w:rsidR="00157D96" w:rsidRPr="00C12279">
        <w:rPr>
          <w:rFonts w:ascii="Times New Roman" w:hAnsi="Times New Roman" w:cs="Times New Roman"/>
          <w:sz w:val="24"/>
          <w:szCs w:val="24"/>
        </w:rPr>
        <w:t xml:space="preserve"> 1976 (1) RLR</w:t>
      </w:r>
      <w:r w:rsidR="00FA47D0" w:rsidRPr="00C12279">
        <w:rPr>
          <w:rFonts w:ascii="Times New Roman" w:hAnsi="Times New Roman" w:cs="Times New Roman"/>
          <w:sz w:val="24"/>
          <w:szCs w:val="24"/>
        </w:rPr>
        <w:t xml:space="preserve"> 106 (AD) at 113</w:t>
      </w:r>
      <w:r w:rsidR="00157D96" w:rsidRPr="00C12279">
        <w:rPr>
          <w:rFonts w:ascii="Times New Roman" w:hAnsi="Times New Roman" w:cs="Times New Roman"/>
          <w:sz w:val="24"/>
          <w:szCs w:val="24"/>
        </w:rPr>
        <w:t>D</w:t>
      </w:r>
      <w:r w:rsidR="00FA47D0" w:rsidRPr="00C12279">
        <w:rPr>
          <w:rFonts w:ascii="Times New Roman" w:hAnsi="Times New Roman" w:cs="Times New Roman"/>
          <w:sz w:val="24"/>
          <w:szCs w:val="24"/>
        </w:rPr>
        <w:t xml:space="preserve"> </w:t>
      </w:r>
      <w:r w:rsidR="00FA47D0" w:rsidRPr="00816CB3">
        <w:rPr>
          <w:rFonts w:ascii="Times New Roman" w:hAnsi="Times New Roman" w:cs="Times New Roman"/>
          <w:smallCaps/>
          <w:sz w:val="24"/>
          <w:szCs w:val="24"/>
        </w:rPr>
        <w:t>Macdonald</w:t>
      </w:r>
      <w:r w:rsidR="00FA47D0" w:rsidRPr="00C12279">
        <w:rPr>
          <w:rFonts w:ascii="Times New Roman" w:hAnsi="Times New Roman" w:cs="Times New Roman"/>
          <w:sz w:val="24"/>
          <w:szCs w:val="24"/>
        </w:rPr>
        <w:t xml:space="preserve"> JP described tax avoidance in strong language as an evil</w:t>
      </w:r>
      <w:r w:rsidR="00157D96" w:rsidRPr="00C12279">
        <w:rPr>
          <w:rFonts w:ascii="Times New Roman" w:hAnsi="Times New Roman" w:cs="Times New Roman"/>
          <w:sz w:val="24"/>
          <w:szCs w:val="24"/>
        </w:rPr>
        <w:t xml:space="preserve">. The </w:t>
      </w:r>
      <w:r w:rsidR="00FA47D0" w:rsidRPr="00C12279">
        <w:rPr>
          <w:rFonts w:ascii="Times New Roman" w:hAnsi="Times New Roman" w:cs="Times New Roman"/>
          <w:sz w:val="24"/>
          <w:szCs w:val="24"/>
        </w:rPr>
        <w:t>imposition of pe</w:t>
      </w:r>
      <w:r w:rsidR="00157D96" w:rsidRPr="00C12279">
        <w:rPr>
          <w:rFonts w:ascii="Times New Roman" w:hAnsi="Times New Roman" w:cs="Times New Roman"/>
          <w:sz w:val="24"/>
          <w:szCs w:val="24"/>
        </w:rPr>
        <w:t xml:space="preserve">nalties in fiscal infractions is predicated on both individual and general deterrence. Every taxpayer is required to shoulder its fair share of the tax burden for the common good. The level of </w:t>
      </w:r>
      <w:r w:rsidR="00F20FA1" w:rsidRPr="00C12279">
        <w:rPr>
          <w:rFonts w:ascii="Times New Roman" w:hAnsi="Times New Roman" w:cs="Times New Roman"/>
          <w:sz w:val="24"/>
          <w:szCs w:val="24"/>
        </w:rPr>
        <w:t>moral turpitude of the taxpayer is</w:t>
      </w:r>
      <w:r w:rsidRPr="00C12279">
        <w:rPr>
          <w:rFonts w:ascii="Times New Roman" w:hAnsi="Times New Roman" w:cs="Times New Roman"/>
          <w:sz w:val="24"/>
          <w:szCs w:val="24"/>
        </w:rPr>
        <w:t xml:space="preserve"> </w:t>
      </w:r>
      <w:r w:rsidRPr="00C12279">
        <w:rPr>
          <w:rFonts w:ascii="Times New Roman" w:hAnsi="Times New Roman" w:cs="Times New Roman"/>
          <w:sz w:val="24"/>
          <w:szCs w:val="24"/>
        </w:rPr>
        <w:lastRenderedPageBreak/>
        <w:t>measured against its</w:t>
      </w:r>
      <w:r w:rsidR="00157D96" w:rsidRPr="00C12279">
        <w:rPr>
          <w:rFonts w:ascii="Times New Roman" w:hAnsi="Times New Roman" w:cs="Times New Roman"/>
          <w:sz w:val="24"/>
          <w:szCs w:val="24"/>
        </w:rPr>
        <w:t xml:space="preserve"> good points </w:t>
      </w:r>
      <w:r w:rsidR="00F20FA1" w:rsidRPr="00C12279">
        <w:rPr>
          <w:rFonts w:ascii="Times New Roman" w:hAnsi="Times New Roman" w:cs="Times New Roman"/>
          <w:sz w:val="24"/>
          <w:szCs w:val="24"/>
        </w:rPr>
        <w:t xml:space="preserve">to arrive at an appropriate penalty. </w:t>
      </w:r>
      <w:r w:rsidR="000A07BF" w:rsidRPr="00C12279">
        <w:rPr>
          <w:rFonts w:ascii="Times New Roman" w:hAnsi="Times New Roman" w:cs="Times New Roman"/>
          <w:sz w:val="24"/>
          <w:szCs w:val="24"/>
        </w:rPr>
        <w:t xml:space="preserve">In the </w:t>
      </w:r>
      <w:r w:rsidR="000A07BF" w:rsidRPr="00C12279">
        <w:rPr>
          <w:rFonts w:ascii="Times New Roman" w:hAnsi="Times New Roman" w:cs="Times New Roman"/>
          <w:i/>
          <w:sz w:val="24"/>
          <w:szCs w:val="24"/>
        </w:rPr>
        <w:t>Elite Wholesale cas</w:t>
      </w:r>
      <w:r w:rsidR="00CF7221" w:rsidRPr="00C12279">
        <w:rPr>
          <w:rFonts w:ascii="Times New Roman" w:hAnsi="Times New Roman" w:cs="Times New Roman"/>
          <w:i/>
          <w:sz w:val="24"/>
          <w:szCs w:val="24"/>
        </w:rPr>
        <w:t>e</w:t>
      </w:r>
      <w:r w:rsidR="000A07BF" w:rsidRPr="00C12279">
        <w:rPr>
          <w:rFonts w:ascii="Times New Roman" w:hAnsi="Times New Roman" w:cs="Times New Roman"/>
          <w:sz w:val="24"/>
          <w:szCs w:val="24"/>
        </w:rPr>
        <w:t xml:space="preserve"> </w:t>
      </w:r>
      <w:r w:rsidR="000A07BF" w:rsidRPr="00816CB3">
        <w:rPr>
          <w:rFonts w:ascii="Times New Roman" w:hAnsi="Times New Roman" w:cs="Times New Roman"/>
          <w:smallCaps/>
          <w:sz w:val="24"/>
          <w:szCs w:val="24"/>
        </w:rPr>
        <w:t xml:space="preserve">Morton </w:t>
      </w:r>
      <w:r w:rsidR="000A07BF" w:rsidRPr="00C12279">
        <w:rPr>
          <w:rFonts w:ascii="Times New Roman" w:hAnsi="Times New Roman" w:cs="Times New Roman"/>
          <w:sz w:val="24"/>
          <w:szCs w:val="24"/>
        </w:rPr>
        <w:t xml:space="preserve">ACJ </w:t>
      </w:r>
      <w:r w:rsidR="001B5E21" w:rsidRPr="00C12279">
        <w:rPr>
          <w:rFonts w:ascii="Times New Roman" w:hAnsi="Times New Roman" w:cs="Times New Roman"/>
          <w:sz w:val="24"/>
          <w:szCs w:val="24"/>
        </w:rPr>
        <w:t>equated “</w:t>
      </w:r>
      <w:r w:rsidR="00CF7221" w:rsidRPr="00C12279">
        <w:rPr>
          <w:rFonts w:ascii="Times New Roman" w:hAnsi="Times New Roman" w:cs="Times New Roman"/>
          <w:sz w:val="24"/>
          <w:szCs w:val="24"/>
        </w:rPr>
        <w:t xml:space="preserve">an intention upon the </w:t>
      </w:r>
      <w:r w:rsidR="001B5E21" w:rsidRPr="00C12279">
        <w:rPr>
          <w:rFonts w:ascii="Times New Roman" w:hAnsi="Times New Roman" w:cs="Times New Roman"/>
          <w:sz w:val="24"/>
          <w:szCs w:val="24"/>
        </w:rPr>
        <w:t>part of</w:t>
      </w:r>
      <w:r w:rsidR="00CF7221" w:rsidRPr="00C12279">
        <w:rPr>
          <w:rFonts w:ascii="Times New Roman" w:hAnsi="Times New Roman" w:cs="Times New Roman"/>
          <w:sz w:val="24"/>
          <w:szCs w:val="24"/>
        </w:rPr>
        <w:t xml:space="preserve"> the purchaser or seller to evade assessment or tax</w:t>
      </w:r>
      <w:r w:rsidR="001B5E21" w:rsidRPr="00C12279">
        <w:rPr>
          <w:rFonts w:ascii="Times New Roman" w:hAnsi="Times New Roman" w:cs="Times New Roman"/>
          <w:sz w:val="24"/>
          <w:szCs w:val="24"/>
        </w:rPr>
        <w:t>” with “</w:t>
      </w:r>
      <w:r w:rsidR="00CF7221" w:rsidRPr="00C12279">
        <w:rPr>
          <w:rFonts w:ascii="Times New Roman" w:hAnsi="Times New Roman" w:cs="Times New Roman"/>
          <w:sz w:val="24"/>
          <w:szCs w:val="24"/>
        </w:rPr>
        <w:t>something which shows a lack of good faith or the presence of “moral dis</w:t>
      </w:r>
      <w:r w:rsidR="001B5E21" w:rsidRPr="00C12279">
        <w:rPr>
          <w:rFonts w:ascii="Times New Roman" w:hAnsi="Times New Roman" w:cs="Times New Roman"/>
          <w:sz w:val="24"/>
          <w:szCs w:val="24"/>
        </w:rPr>
        <w:t xml:space="preserve">honesty in the taxpayer’s mind”. </w:t>
      </w:r>
      <w:r w:rsidR="00CF7221" w:rsidRPr="00C12279">
        <w:rPr>
          <w:rFonts w:ascii="Times New Roman" w:hAnsi="Times New Roman" w:cs="Times New Roman"/>
          <w:sz w:val="24"/>
          <w:szCs w:val="24"/>
        </w:rPr>
        <w:t xml:space="preserve"> </w:t>
      </w:r>
    </w:p>
    <w:p w14:paraId="491A63B4" w14:textId="65975ADB" w:rsidR="00CF7221" w:rsidRPr="00C12279" w:rsidRDefault="00CF7221" w:rsidP="007370F3">
      <w:pPr>
        <w:autoSpaceDE w:val="0"/>
        <w:autoSpaceDN w:val="0"/>
        <w:adjustRightInd w:val="0"/>
        <w:spacing w:after="0" w:line="240" w:lineRule="auto"/>
        <w:jc w:val="both"/>
        <w:rPr>
          <w:rFonts w:ascii="Times New Roman" w:hAnsi="Times New Roman" w:cs="Times New Roman"/>
          <w:sz w:val="24"/>
          <w:szCs w:val="24"/>
        </w:rPr>
      </w:pPr>
    </w:p>
    <w:p w14:paraId="21DBDCCB" w14:textId="2E2DCBCA" w:rsidR="001B2B12" w:rsidRPr="00C12279" w:rsidRDefault="00E86FBD" w:rsidP="007370F3">
      <w:pPr>
        <w:autoSpaceDE w:val="0"/>
        <w:autoSpaceDN w:val="0"/>
        <w:adjustRightInd w:val="0"/>
        <w:spacing w:after="0" w:line="240" w:lineRule="auto"/>
        <w:jc w:val="both"/>
        <w:rPr>
          <w:rFonts w:ascii="Times New Roman" w:hAnsi="Times New Roman" w:cs="Times New Roman"/>
          <w:b/>
          <w:sz w:val="24"/>
          <w:szCs w:val="24"/>
        </w:rPr>
      </w:pPr>
      <w:r w:rsidRPr="00C12279">
        <w:rPr>
          <w:rFonts w:ascii="Times New Roman" w:hAnsi="Times New Roman" w:cs="Times New Roman"/>
          <w:b/>
          <w:sz w:val="24"/>
          <w:szCs w:val="24"/>
        </w:rPr>
        <w:t>Management fees</w:t>
      </w:r>
    </w:p>
    <w:p w14:paraId="0BBA2F71" w14:textId="77777777" w:rsidR="00261B92" w:rsidRPr="00C12279" w:rsidRDefault="00261B92" w:rsidP="007370F3">
      <w:pPr>
        <w:autoSpaceDE w:val="0"/>
        <w:autoSpaceDN w:val="0"/>
        <w:adjustRightInd w:val="0"/>
        <w:spacing w:after="0" w:line="240" w:lineRule="auto"/>
        <w:jc w:val="both"/>
        <w:rPr>
          <w:rFonts w:ascii="Times New Roman" w:hAnsi="Times New Roman" w:cs="Times New Roman"/>
          <w:sz w:val="24"/>
          <w:szCs w:val="24"/>
        </w:rPr>
      </w:pPr>
    </w:p>
    <w:p w14:paraId="022BC176" w14:textId="6B4A8B54" w:rsidR="00701D64" w:rsidRPr="00C12279" w:rsidRDefault="00E86FBD" w:rsidP="00816CB3">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appellant </w:t>
      </w:r>
      <w:r w:rsidR="00A67B5C" w:rsidRPr="00C12279">
        <w:rPr>
          <w:rFonts w:ascii="Times New Roman" w:hAnsi="Times New Roman" w:cs="Times New Roman"/>
          <w:sz w:val="24"/>
          <w:szCs w:val="24"/>
        </w:rPr>
        <w:t xml:space="preserve">vehemently </w:t>
      </w:r>
      <w:r w:rsidRPr="00C12279">
        <w:rPr>
          <w:rFonts w:ascii="Times New Roman" w:hAnsi="Times New Roman" w:cs="Times New Roman"/>
          <w:sz w:val="24"/>
          <w:szCs w:val="24"/>
        </w:rPr>
        <w:t>maintained</w:t>
      </w:r>
      <w:r w:rsidR="00A67B5C" w:rsidRPr="00C12279">
        <w:rPr>
          <w:rFonts w:ascii="Times New Roman" w:hAnsi="Times New Roman" w:cs="Times New Roman"/>
          <w:sz w:val="24"/>
          <w:szCs w:val="24"/>
        </w:rPr>
        <w:t xml:space="preserve"> and asserted throughout</w:t>
      </w:r>
      <w:r w:rsidRPr="00C12279">
        <w:rPr>
          <w:rFonts w:ascii="Times New Roman" w:hAnsi="Times New Roman" w:cs="Times New Roman"/>
          <w:sz w:val="24"/>
          <w:szCs w:val="24"/>
        </w:rPr>
        <w:t xml:space="preserve"> the investigations</w:t>
      </w:r>
      <w:r w:rsidR="00A67B5C" w:rsidRPr="00C12279">
        <w:rPr>
          <w:rFonts w:ascii="Times New Roman" w:hAnsi="Times New Roman" w:cs="Times New Roman"/>
          <w:sz w:val="24"/>
          <w:szCs w:val="24"/>
        </w:rPr>
        <w:t xml:space="preserve"> and</w:t>
      </w:r>
      <w:r w:rsidRPr="00C12279">
        <w:rPr>
          <w:rFonts w:ascii="Times New Roman" w:hAnsi="Times New Roman" w:cs="Times New Roman"/>
          <w:sz w:val="24"/>
          <w:szCs w:val="24"/>
        </w:rPr>
        <w:t xml:space="preserve"> in the letter of 14 March 2011</w:t>
      </w:r>
      <w:r w:rsidRPr="00C12279">
        <w:rPr>
          <w:rStyle w:val="FootnoteReference"/>
          <w:rFonts w:ascii="Times New Roman" w:hAnsi="Times New Roman" w:cs="Times New Roman"/>
          <w:sz w:val="24"/>
          <w:szCs w:val="24"/>
        </w:rPr>
        <w:footnoteReference w:id="54"/>
      </w:r>
      <w:r w:rsidRPr="00C12279">
        <w:rPr>
          <w:rFonts w:ascii="Times New Roman" w:hAnsi="Times New Roman" w:cs="Times New Roman"/>
          <w:sz w:val="24"/>
          <w:szCs w:val="24"/>
        </w:rPr>
        <w:t xml:space="preserve"> </w:t>
      </w:r>
      <w:r w:rsidR="00A67B5C" w:rsidRPr="00C12279">
        <w:rPr>
          <w:rFonts w:ascii="Times New Roman" w:hAnsi="Times New Roman" w:cs="Times New Roman"/>
          <w:sz w:val="24"/>
          <w:szCs w:val="24"/>
        </w:rPr>
        <w:t xml:space="preserve">30 May 2012, </w:t>
      </w:r>
      <w:r w:rsidRPr="00C12279">
        <w:rPr>
          <w:rFonts w:ascii="Times New Roman" w:hAnsi="Times New Roman" w:cs="Times New Roman"/>
          <w:sz w:val="24"/>
          <w:szCs w:val="24"/>
        </w:rPr>
        <w:t>19 June 2014</w:t>
      </w:r>
      <w:r w:rsidR="00A67B5C" w:rsidRPr="00C12279">
        <w:rPr>
          <w:rStyle w:val="FootnoteReference"/>
          <w:rFonts w:ascii="Times New Roman" w:hAnsi="Times New Roman" w:cs="Times New Roman"/>
          <w:sz w:val="24"/>
          <w:szCs w:val="24"/>
        </w:rPr>
        <w:footnoteReference w:id="55"/>
      </w:r>
      <w:r w:rsidR="00A67B5C" w:rsidRPr="00C12279">
        <w:rPr>
          <w:rFonts w:ascii="Times New Roman" w:hAnsi="Times New Roman" w:cs="Times New Roman"/>
          <w:sz w:val="24"/>
          <w:szCs w:val="24"/>
        </w:rPr>
        <w:t xml:space="preserve"> and </w:t>
      </w:r>
      <w:r w:rsidRPr="00C12279">
        <w:rPr>
          <w:rFonts w:ascii="Times New Roman" w:hAnsi="Times New Roman" w:cs="Times New Roman"/>
          <w:sz w:val="24"/>
          <w:szCs w:val="24"/>
        </w:rPr>
        <w:t>the objection</w:t>
      </w:r>
      <w:r w:rsidR="00A67B5C" w:rsidRPr="00C12279">
        <w:rPr>
          <w:rFonts w:ascii="Times New Roman" w:hAnsi="Times New Roman" w:cs="Times New Roman"/>
          <w:sz w:val="24"/>
          <w:szCs w:val="24"/>
        </w:rPr>
        <w:t xml:space="preserve"> of 25 July 2014</w:t>
      </w:r>
      <w:r w:rsidRPr="00C12279">
        <w:rPr>
          <w:rFonts w:ascii="Times New Roman" w:hAnsi="Times New Roman" w:cs="Times New Roman"/>
          <w:sz w:val="24"/>
          <w:szCs w:val="24"/>
        </w:rPr>
        <w:t xml:space="preserve"> </w:t>
      </w:r>
      <w:r w:rsidR="00A67B5C" w:rsidRPr="00C12279">
        <w:rPr>
          <w:rFonts w:ascii="Times New Roman" w:hAnsi="Times New Roman" w:cs="Times New Roman"/>
          <w:sz w:val="24"/>
          <w:szCs w:val="24"/>
        </w:rPr>
        <w:t xml:space="preserve">against all </w:t>
      </w:r>
      <w:r w:rsidR="00E108CF" w:rsidRPr="00C12279">
        <w:rPr>
          <w:rFonts w:ascii="Times New Roman" w:hAnsi="Times New Roman" w:cs="Times New Roman"/>
          <w:sz w:val="24"/>
          <w:szCs w:val="24"/>
        </w:rPr>
        <w:t xml:space="preserve">odds and </w:t>
      </w:r>
      <w:r w:rsidR="00A67B5C" w:rsidRPr="00C12279">
        <w:rPr>
          <w:rFonts w:ascii="Times New Roman" w:hAnsi="Times New Roman" w:cs="Times New Roman"/>
          <w:sz w:val="24"/>
          <w:szCs w:val="24"/>
        </w:rPr>
        <w:t xml:space="preserve">the available evidence </w:t>
      </w:r>
      <w:r w:rsidR="00E108CF" w:rsidRPr="00C12279">
        <w:rPr>
          <w:rFonts w:ascii="Times New Roman" w:hAnsi="Times New Roman" w:cs="Times New Roman"/>
          <w:sz w:val="24"/>
          <w:szCs w:val="24"/>
        </w:rPr>
        <w:t xml:space="preserve">that the intermediary had </w:t>
      </w:r>
      <w:r w:rsidRPr="00C12279">
        <w:rPr>
          <w:rFonts w:ascii="Times New Roman" w:hAnsi="Times New Roman" w:cs="Times New Roman"/>
          <w:sz w:val="24"/>
          <w:szCs w:val="24"/>
        </w:rPr>
        <w:t>provided management services</w:t>
      </w:r>
      <w:r w:rsidRPr="00C12279">
        <w:rPr>
          <w:rFonts w:ascii="Times New Roman" w:hAnsi="Times New Roman" w:cs="Times New Roman"/>
          <w:b/>
          <w:sz w:val="24"/>
          <w:szCs w:val="24"/>
        </w:rPr>
        <w:t xml:space="preserve"> </w:t>
      </w:r>
      <w:r w:rsidRPr="00C12279">
        <w:rPr>
          <w:rFonts w:ascii="Times New Roman" w:hAnsi="Times New Roman" w:cs="Times New Roman"/>
          <w:sz w:val="24"/>
          <w:szCs w:val="24"/>
        </w:rPr>
        <w:t>in strategy setting, pooling funds and purchasin</w:t>
      </w:r>
      <w:r w:rsidR="00E108CF" w:rsidRPr="00C12279">
        <w:rPr>
          <w:rFonts w:ascii="Times New Roman" w:hAnsi="Times New Roman" w:cs="Times New Roman"/>
          <w:sz w:val="24"/>
          <w:szCs w:val="24"/>
        </w:rPr>
        <w:t>g power from Mauritius i</w:t>
      </w:r>
      <w:r w:rsidRPr="00C12279">
        <w:rPr>
          <w:rFonts w:ascii="Times New Roman" w:hAnsi="Times New Roman" w:cs="Times New Roman"/>
          <w:sz w:val="24"/>
          <w:szCs w:val="24"/>
        </w:rPr>
        <w:t>n behalf of head office senior management</w:t>
      </w:r>
      <w:r w:rsidRPr="00C12279">
        <w:rPr>
          <w:rFonts w:ascii="Times New Roman" w:hAnsi="Times New Roman" w:cs="Times New Roman"/>
          <w:b/>
          <w:sz w:val="24"/>
          <w:szCs w:val="24"/>
        </w:rPr>
        <w:t xml:space="preserve">. </w:t>
      </w:r>
      <w:r w:rsidR="00E108CF" w:rsidRPr="00C12279">
        <w:rPr>
          <w:rFonts w:ascii="Times New Roman" w:hAnsi="Times New Roman" w:cs="Times New Roman"/>
          <w:sz w:val="24"/>
          <w:szCs w:val="24"/>
        </w:rPr>
        <w:t>It only abandoned the claim on 14 November 2014</w:t>
      </w:r>
      <w:r w:rsidR="00E108CF" w:rsidRPr="00C12279">
        <w:rPr>
          <w:rStyle w:val="FootnoteReference"/>
          <w:rFonts w:ascii="Times New Roman" w:hAnsi="Times New Roman" w:cs="Times New Roman"/>
          <w:b/>
          <w:sz w:val="24"/>
          <w:szCs w:val="24"/>
        </w:rPr>
        <w:footnoteReference w:id="56"/>
      </w:r>
      <w:r w:rsidR="003F05B3" w:rsidRPr="00C12279">
        <w:rPr>
          <w:rFonts w:ascii="Times New Roman" w:hAnsi="Times New Roman" w:cs="Times New Roman"/>
          <w:sz w:val="24"/>
          <w:szCs w:val="24"/>
        </w:rPr>
        <w:t xml:space="preserve">. In that letter the managing director made three telling and disingenuous points. The first was that the intermediary was through a legal oversight substituted for the holding company in the management fees/technical fees agreement of 2 March 2009. The second was that the management fees were remitted to the holding company through the intermediary. </w:t>
      </w:r>
      <w:r w:rsidR="001E44F4" w:rsidRPr="00C12279">
        <w:rPr>
          <w:rFonts w:ascii="Times New Roman" w:hAnsi="Times New Roman" w:cs="Times New Roman"/>
          <w:sz w:val="24"/>
          <w:szCs w:val="24"/>
        </w:rPr>
        <w:t xml:space="preserve">The third, which was also reiterated during the cross examination of the chief investigations officer, </w:t>
      </w:r>
      <w:r w:rsidR="003F05B3" w:rsidRPr="00C12279">
        <w:rPr>
          <w:rFonts w:ascii="Times New Roman" w:hAnsi="Times New Roman" w:cs="Times New Roman"/>
          <w:sz w:val="24"/>
          <w:szCs w:val="24"/>
        </w:rPr>
        <w:t>was that the only management fees ever paid were in the sum of US$130 000 reported in the 2010 financial statements</w:t>
      </w:r>
      <w:r w:rsidR="001E44F4" w:rsidRPr="00C12279">
        <w:rPr>
          <w:rFonts w:ascii="Times New Roman" w:hAnsi="Times New Roman" w:cs="Times New Roman"/>
          <w:sz w:val="24"/>
          <w:szCs w:val="24"/>
        </w:rPr>
        <w:t xml:space="preserve"> while amounts reflected in the other years were provisions which were written back in subsequent years without any prejudice to</w:t>
      </w:r>
      <w:r w:rsidR="00701D64" w:rsidRPr="00C12279">
        <w:rPr>
          <w:rFonts w:ascii="Times New Roman" w:hAnsi="Times New Roman" w:cs="Times New Roman"/>
          <w:sz w:val="24"/>
          <w:szCs w:val="24"/>
        </w:rPr>
        <w:t xml:space="preserve"> the fiscus. </w:t>
      </w:r>
      <w:r w:rsidR="00863A34" w:rsidRPr="00C12279">
        <w:rPr>
          <w:rFonts w:ascii="Times New Roman" w:hAnsi="Times New Roman" w:cs="Times New Roman"/>
          <w:sz w:val="24"/>
          <w:szCs w:val="24"/>
        </w:rPr>
        <w:t xml:space="preserve">The managing director </w:t>
      </w:r>
      <w:r w:rsidR="007D6EBB" w:rsidRPr="00C12279">
        <w:rPr>
          <w:rFonts w:ascii="Times New Roman" w:hAnsi="Times New Roman" w:cs="Times New Roman"/>
          <w:sz w:val="24"/>
          <w:szCs w:val="24"/>
        </w:rPr>
        <w:t xml:space="preserve">failed to demonstrate </w:t>
      </w:r>
      <w:r w:rsidR="00D11E0D" w:rsidRPr="00C12279">
        <w:rPr>
          <w:rFonts w:ascii="Times New Roman" w:hAnsi="Times New Roman" w:cs="Times New Roman"/>
          <w:sz w:val="24"/>
          <w:szCs w:val="24"/>
        </w:rPr>
        <w:t xml:space="preserve">by any hard evidence </w:t>
      </w:r>
      <w:r w:rsidR="007D6EBB" w:rsidRPr="00C12279">
        <w:rPr>
          <w:rFonts w:ascii="Times New Roman" w:hAnsi="Times New Roman" w:cs="Times New Roman"/>
          <w:sz w:val="24"/>
          <w:szCs w:val="24"/>
        </w:rPr>
        <w:t>the management intervention that was undertaken by the holding company</w:t>
      </w:r>
      <w:r w:rsidR="00863A34" w:rsidRPr="00C12279">
        <w:rPr>
          <w:rFonts w:ascii="Times New Roman" w:hAnsi="Times New Roman" w:cs="Times New Roman"/>
          <w:sz w:val="24"/>
          <w:szCs w:val="24"/>
        </w:rPr>
        <w:t xml:space="preserve"> or to explain why the management fees remained </w:t>
      </w:r>
      <w:r w:rsidRPr="00C12279">
        <w:rPr>
          <w:rFonts w:ascii="Times New Roman" w:hAnsi="Times New Roman" w:cs="Times New Roman"/>
          <w:sz w:val="24"/>
          <w:szCs w:val="24"/>
        </w:rPr>
        <w:t xml:space="preserve">a continuing obligation payable to the </w:t>
      </w:r>
      <w:r w:rsidR="00863A34" w:rsidRPr="00C12279">
        <w:rPr>
          <w:rFonts w:ascii="Times New Roman" w:hAnsi="Times New Roman" w:cs="Times New Roman"/>
          <w:sz w:val="24"/>
          <w:szCs w:val="24"/>
        </w:rPr>
        <w:t xml:space="preserve">intermediary in the 2011 and </w:t>
      </w:r>
      <w:r w:rsidRPr="00C12279">
        <w:rPr>
          <w:rFonts w:ascii="Times New Roman" w:hAnsi="Times New Roman" w:cs="Times New Roman"/>
          <w:sz w:val="24"/>
          <w:szCs w:val="24"/>
        </w:rPr>
        <w:t xml:space="preserve">2012 financial statements. </w:t>
      </w:r>
      <w:r w:rsidR="00343E63" w:rsidRPr="00C12279">
        <w:rPr>
          <w:rFonts w:ascii="Times New Roman" w:hAnsi="Times New Roman" w:cs="Times New Roman"/>
          <w:sz w:val="24"/>
          <w:szCs w:val="24"/>
        </w:rPr>
        <w:t>These prevarications eclipsed the good points exhibited by the appellant over the four years that it was under investigation</w:t>
      </w:r>
      <w:r w:rsidR="00AF232B" w:rsidRPr="00C12279">
        <w:rPr>
          <w:rFonts w:ascii="Times New Roman" w:hAnsi="Times New Roman" w:cs="Times New Roman"/>
          <w:sz w:val="24"/>
          <w:szCs w:val="24"/>
        </w:rPr>
        <w:t>.</w:t>
      </w:r>
      <w:r w:rsidR="00052F73" w:rsidRPr="00C12279">
        <w:rPr>
          <w:rFonts w:ascii="Times New Roman" w:hAnsi="Times New Roman" w:cs="Times New Roman"/>
          <w:sz w:val="24"/>
          <w:szCs w:val="24"/>
        </w:rPr>
        <w:t xml:space="preserve"> The concession however demonstrated that the </w:t>
      </w:r>
      <w:r w:rsidR="0050775E" w:rsidRPr="00C12279">
        <w:rPr>
          <w:rFonts w:ascii="Times New Roman" w:hAnsi="Times New Roman" w:cs="Times New Roman"/>
          <w:sz w:val="24"/>
          <w:szCs w:val="24"/>
        </w:rPr>
        <w:t>appellant made</w:t>
      </w:r>
      <w:r w:rsidR="00052F73" w:rsidRPr="00C12279">
        <w:rPr>
          <w:rFonts w:ascii="Times New Roman" w:hAnsi="Times New Roman" w:cs="Times New Roman"/>
          <w:sz w:val="24"/>
          <w:szCs w:val="24"/>
        </w:rPr>
        <w:t xml:space="preserve"> an incorrect return in respect of claims for management fees in each of the affected tax years.</w:t>
      </w:r>
    </w:p>
    <w:p w14:paraId="181FEAD4" w14:textId="526B3111" w:rsidR="00052F73" w:rsidRPr="00C12279" w:rsidRDefault="00701D64" w:rsidP="00816CB3">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seems to me that the unsupported persistent assertions maintained by the appellant even </w:t>
      </w:r>
      <w:r w:rsidR="00422CB4">
        <w:rPr>
          <w:rFonts w:ascii="Times New Roman" w:hAnsi="Times New Roman" w:cs="Times New Roman"/>
          <w:sz w:val="24"/>
          <w:szCs w:val="24"/>
        </w:rPr>
        <w:t>after the concession of 14 November</w:t>
      </w:r>
      <w:r w:rsidRPr="00C12279">
        <w:rPr>
          <w:rFonts w:ascii="Times New Roman" w:hAnsi="Times New Roman" w:cs="Times New Roman"/>
          <w:sz w:val="24"/>
          <w:szCs w:val="24"/>
        </w:rPr>
        <w:t xml:space="preserve"> 2014 were indicative of </w:t>
      </w:r>
      <w:r w:rsidR="00337442" w:rsidRPr="00C12279">
        <w:rPr>
          <w:rFonts w:ascii="Times New Roman" w:hAnsi="Times New Roman" w:cs="Times New Roman"/>
          <w:sz w:val="24"/>
          <w:szCs w:val="24"/>
        </w:rPr>
        <w:t xml:space="preserve">both </w:t>
      </w:r>
      <w:r w:rsidRPr="00C12279">
        <w:rPr>
          <w:rFonts w:ascii="Times New Roman" w:hAnsi="Times New Roman" w:cs="Times New Roman"/>
          <w:sz w:val="24"/>
          <w:szCs w:val="24"/>
        </w:rPr>
        <w:t xml:space="preserve">corporate moral dishonesty </w:t>
      </w:r>
      <w:r w:rsidR="00337442" w:rsidRPr="00C12279">
        <w:rPr>
          <w:rFonts w:ascii="Times New Roman" w:hAnsi="Times New Roman" w:cs="Times New Roman"/>
          <w:sz w:val="24"/>
          <w:szCs w:val="24"/>
        </w:rPr>
        <w:t>and a lack of good faith</w:t>
      </w:r>
      <w:r w:rsidR="00E86FBD" w:rsidRPr="00C12279">
        <w:rPr>
          <w:rFonts w:ascii="Times New Roman" w:hAnsi="Times New Roman" w:cs="Times New Roman"/>
          <w:sz w:val="24"/>
          <w:szCs w:val="24"/>
        </w:rPr>
        <w:t>.</w:t>
      </w:r>
      <w:r w:rsidR="00AF232B" w:rsidRPr="00C12279">
        <w:rPr>
          <w:rFonts w:ascii="Times New Roman" w:hAnsi="Times New Roman" w:cs="Times New Roman"/>
          <w:sz w:val="24"/>
          <w:szCs w:val="24"/>
        </w:rPr>
        <w:t xml:space="preserve"> I therefore find that the appellant through the mind of its management evinced the intention to evade the payment of the correct amount of tax as </w:t>
      </w:r>
      <w:r w:rsidR="00AF232B" w:rsidRPr="00C12279">
        <w:rPr>
          <w:rFonts w:ascii="Times New Roman" w:hAnsi="Times New Roman" w:cs="Times New Roman"/>
          <w:sz w:val="24"/>
          <w:szCs w:val="24"/>
        </w:rPr>
        <w:lastRenderedPageBreak/>
        <w:t xml:space="preserve">contemplated by s 46 (6) of the Income Tax Act by claiming the deduction of management fees paid to the intermediary, who was not entitled </w:t>
      </w:r>
      <w:r w:rsidR="0023274D" w:rsidRPr="00C12279">
        <w:rPr>
          <w:rFonts w:ascii="Times New Roman" w:hAnsi="Times New Roman" w:cs="Times New Roman"/>
          <w:sz w:val="24"/>
          <w:szCs w:val="24"/>
        </w:rPr>
        <w:t>to</w:t>
      </w:r>
      <w:r w:rsidR="00AF232B" w:rsidRPr="00C12279">
        <w:rPr>
          <w:rFonts w:ascii="Times New Roman" w:hAnsi="Times New Roman" w:cs="Times New Roman"/>
          <w:sz w:val="24"/>
          <w:szCs w:val="24"/>
        </w:rPr>
        <w:t xml:space="preserve"> such fees.</w:t>
      </w:r>
      <w:r w:rsidR="005B5A68" w:rsidRPr="00C12279">
        <w:rPr>
          <w:rFonts w:ascii="Times New Roman" w:hAnsi="Times New Roman" w:cs="Times New Roman"/>
          <w:sz w:val="24"/>
          <w:szCs w:val="24"/>
        </w:rPr>
        <w:t xml:space="preserve"> Th</w:t>
      </w:r>
      <w:r w:rsidR="00337442" w:rsidRPr="00C12279">
        <w:rPr>
          <w:rFonts w:ascii="Times New Roman" w:hAnsi="Times New Roman" w:cs="Times New Roman"/>
          <w:sz w:val="24"/>
          <w:szCs w:val="24"/>
        </w:rPr>
        <w:t>e Court or the Commissioner have</w:t>
      </w:r>
      <w:r w:rsidR="005B5A68" w:rsidRPr="00C12279">
        <w:rPr>
          <w:rFonts w:ascii="Times New Roman" w:hAnsi="Times New Roman" w:cs="Times New Roman"/>
          <w:sz w:val="24"/>
          <w:szCs w:val="24"/>
        </w:rPr>
        <w:t xml:space="preserve"> no option but to impose a 100% penalty.</w:t>
      </w:r>
      <w:r w:rsidR="00587D7D" w:rsidRPr="00C12279">
        <w:rPr>
          <w:rFonts w:ascii="Times New Roman" w:hAnsi="Times New Roman" w:cs="Times New Roman"/>
          <w:sz w:val="24"/>
          <w:szCs w:val="24"/>
        </w:rPr>
        <w:t xml:space="preserve"> </w:t>
      </w:r>
      <w:r w:rsidR="005B5A68" w:rsidRPr="00C12279">
        <w:rPr>
          <w:rFonts w:ascii="Times New Roman" w:hAnsi="Times New Roman" w:cs="Times New Roman"/>
          <w:sz w:val="24"/>
          <w:szCs w:val="24"/>
        </w:rPr>
        <w:t xml:space="preserve">The penalty imposed by the Commissioner is accordingly confirmed. </w:t>
      </w:r>
    </w:p>
    <w:p w14:paraId="567FA71C" w14:textId="60544C02" w:rsidR="006971D1" w:rsidRPr="00C12279" w:rsidRDefault="004622DD" w:rsidP="00816CB3">
      <w:pPr>
        <w:autoSpaceDE w:val="0"/>
        <w:autoSpaceDN w:val="0"/>
        <w:adjustRightInd w:val="0"/>
        <w:spacing w:after="0" w:line="360" w:lineRule="auto"/>
        <w:jc w:val="both"/>
        <w:rPr>
          <w:rFonts w:ascii="Times New Roman" w:hAnsi="Times New Roman" w:cs="Times New Roman"/>
          <w:sz w:val="24"/>
          <w:szCs w:val="24"/>
        </w:rPr>
      </w:pPr>
      <w:r w:rsidRPr="00C12279">
        <w:rPr>
          <w:rFonts w:ascii="Times New Roman" w:hAnsi="Times New Roman" w:cs="Times New Roman"/>
          <w:sz w:val="24"/>
          <w:szCs w:val="24"/>
        </w:rPr>
        <w:t xml:space="preserve"> </w:t>
      </w:r>
      <w:r w:rsidR="00816CB3">
        <w:rPr>
          <w:rFonts w:ascii="Times New Roman" w:hAnsi="Times New Roman" w:cs="Times New Roman"/>
          <w:sz w:val="24"/>
          <w:szCs w:val="24"/>
        </w:rPr>
        <w:tab/>
      </w:r>
      <w:r w:rsidRPr="00C12279">
        <w:rPr>
          <w:rFonts w:ascii="Times New Roman" w:hAnsi="Times New Roman" w:cs="Times New Roman"/>
          <w:sz w:val="24"/>
          <w:szCs w:val="24"/>
        </w:rPr>
        <w:t>The word</w:t>
      </w:r>
      <w:r w:rsidR="005D6D9D" w:rsidRPr="00C12279">
        <w:rPr>
          <w:rFonts w:ascii="Times New Roman" w:hAnsi="Times New Roman" w:cs="Times New Roman"/>
          <w:sz w:val="24"/>
          <w:szCs w:val="24"/>
        </w:rPr>
        <w:t>ing of s 46 (1) (b) and (c)</w:t>
      </w:r>
      <w:r w:rsidRPr="00C12279">
        <w:rPr>
          <w:rFonts w:ascii="Times New Roman" w:hAnsi="Times New Roman" w:cs="Times New Roman"/>
          <w:sz w:val="24"/>
          <w:szCs w:val="24"/>
        </w:rPr>
        <w:t xml:space="preserve"> incorporates within its ambit </w:t>
      </w:r>
      <w:r w:rsidR="00E23CCE" w:rsidRPr="00C12279">
        <w:rPr>
          <w:rFonts w:ascii="Times New Roman" w:hAnsi="Times New Roman" w:cs="Times New Roman"/>
          <w:sz w:val="24"/>
          <w:szCs w:val="24"/>
        </w:rPr>
        <w:t xml:space="preserve">the amounts adjusted under s 24 </w:t>
      </w:r>
      <w:r w:rsidR="005D6D9D" w:rsidRPr="00C12279">
        <w:rPr>
          <w:rFonts w:ascii="Times New Roman" w:hAnsi="Times New Roman" w:cs="Times New Roman"/>
          <w:sz w:val="24"/>
          <w:szCs w:val="24"/>
        </w:rPr>
        <w:t xml:space="preserve">on </w:t>
      </w:r>
      <w:r w:rsidR="00F547CC" w:rsidRPr="00C12279">
        <w:rPr>
          <w:rFonts w:ascii="Times New Roman" w:hAnsi="Times New Roman" w:cs="Times New Roman"/>
          <w:sz w:val="24"/>
          <w:szCs w:val="24"/>
        </w:rPr>
        <w:t xml:space="preserve">rentals, </w:t>
      </w:r>
      <w:r w:rsidR="005D6D9D" w:rsidRPr="00C12279">
        <w:rPr>
          <w:rFonts w:ascii="Times New Roman" w:hAnsi="Times New Roman" w:cs="Times New Roman"/>
          <w:sz w:val="24"/>
          <w:szCs w:val="24"/>
        </w:rPr>
        <w:t xml:space="preserve">marketing, </w:t>
      </w:r>
      <w:r w:rsidR="00E23CCE" w:rsidRPr="00C12279">
        <w:rPr>
          <w:rFonts w:ascii="Times New Roman" w:hAnsi="Times New Roman" w:cs="Times New Roman"/>
          <w:sz w:val="24"/>
          <w:szCs w:val="24"/>
        </w:rPr>
        <w:t>advertising and promot</w:t>
      </w:r>
      <w:r w:rsidR="005D6D9D" w:rsidRPr="00C12279">
        <w:rPr>
          <w:rFonts w:ascii="Times New Roman" w:hAnsi="Times New Roman" w:cs="Times New Roman"/>
          <w:sz w:val="24"/>
          <w:szCs w:val="24"/>
        </w:rPr>
        <w:t xml:space="preserve">ion charges. </w:t>
      </w:r>
      <w:r w:rsidRPr="00C12279">
        <w:rPr>
          <w:rFonts w:ascii="Times New Roman" w:hAnsi="Times New Roman" w:cs="Times New Roman"/>
          <w:sz w:val="24"/>
          <w:szCs w:val="24"/>
        </w:rPr>
        <w:t xml:space="preserve"> </w:t>
      </w:r>
      <w:r w:rsidR="005D6D9D" w:rsidRPr="00C12279">
        <w:rPr>
          <w:rFonts w:ascii="Times New Roman" w:hAnsi="Times New Roman" w:cs="Times New Roman"/>
          <w:sz w:val="24"/>
          <w:szCs w:val="24"/>
        </w:rPr>
        <w:t xml:space="preserve">These would not </w:t>
      </w:r>
      <w:r w:rsidR="00C86C89" w:rsidRPr="00C12279">
        <w:rPr>
          <w:rFonts w:ascii="Times New Roman" w:hAnsi="Times New Roman" w:cs="Times New Roman"/>
          <w:sz w:val="24"/>
          <w:szCs w:val="24"/>
        </w:rPr>
        <w:t>h</w:t>
      </w:r>
      <w:r w:rsidR="00E23CCE" w:rsidRPr="00C12279">
        <w:rPr>
          <w:rFonts w:ascii="Times New Roman" w:hAnsi="Times New Roman" w:cs="Times New Roman"/>
          <w:sz w:val="24"/>
          <w:szCs w:val="24"/>
        </w:rPr>
        <w:t>ave affected the appellant’s</w:t>
      </w:r>
      <w:r w:rsidR="00C86C89" w:rsidRPr="00C12279">
        <w:rPr>
          <w:rFonts w:ascii="Times New Roman" w:hAnsi="Times New Roman" w:cs="Times New Roman"/>
          <w:sz w:val="24"/>
          <w:szCs w:val="24"/>
        </w:rPr>
        <w:t xml:space="preserve"> tax position</w:t>
      </w:r>
      <w:r w:rsidR="005D6D9D" w:rsidRPr="00C12279">
        <w:rPr>
          <w:rFonts w:ascii="Times New Roman" w:hAnsi="Times New Roman" w:cs="Times New Roman"/>
          <w:sz w:val="24"/>
          <w:szCs w:val="24"/>
        </w:rPr>
        <w:t xml:space="preserve"> for the reason that the intermediary would have incorporated them in the CIP price and passed them to the appellant who would </w:t>
      </w:r>
      <w:r w:rsidR="00337442" w:rsidRPr="00C12279">
        <w:rPr>
          <w:rFonts w:ascii="Times New Roman" w:hAnsi="Times New Roman" w:cs="Times New Roman"/>
          <w:sz w:val="24"/>
          <w:szCs w:val="24"/>
        </w:rPr>
        <w:t xml:space="preserve">have </w:t>
      </w:r>
      <w:r w:rsidR="005D6D9D" w:rsidRPr="00C12279">
        <w:rPr>
          <w:rFonts w:ascii="Times New Roman" w:hAnsi="Times New Roman" w:cs="Times New Roman"/>
          <w:sz w:val="24"/>
          <w:szCs w:val="24"/>
        </w:rPr>
        <w:t>be</w:t>
      </w:r>
      <w:r w:rsidR="00337442" w:rsidRPr="00C12279">
        <w:rPr>
          <w:rFonts w:ascii="Times New Roman" w:hAnsi="Times New Roman" w:cs="Times New Roman"/>
          <w:sz w:val="24"/>
          <w:szCs w:val="24"/>
        </w:rPr>
        <w:t>en</w:t>
      </w:r>
      <w:r w:rsidR="005D6D9D" w:rsidRPr="00C12279">
        <w:rPr>
          <w:rFonts w:ascii="Times New Roman" w:hAnsi="Times New Roman" w:cs="Times New Roman"/>
          <w:sz w:val="24"/>
          <w:szCs w:val="24"/>
        </w:rPr>
        <w:t xml:space="preserve"> entitled to deduct them from his inc</w:t>
      </w:r>
      <w:r w:rsidR="006F2236">
        <w:rPr>
          <w:rFonts w:ascii="Times New Roman" w:hAnsi="Times New Roman" w:cs="Times New Roman"/>
          <w:sz w:val="24"/>
          <w:szCs w:val="24"/>
        </w:rPr>
        <w:t>ome. There would</w:t>
      </w:r>
      <w:r w:rsidR="00F547CC" w:rsidRPr="00C12279">
        <w:rPr>
          <w:rFonts w:ascii="Times New Roman" w:hAnsi="Times New Roman" w:cs="Times New Roman"/>
          <w:sz w:val="24"/>
          <w:szCs w:val="24"/>
        </w:rPr>
        <w:t xml:space="preserve"> no</w:t>
      </w:r>
      <w:r w:rsidR="006F2236">
        <w:rPr>
          <w:rFonts w:ascii="Times New Roman" w:hAnsi="Times New Roman" w:cs="Times New Roman"/>
          <w:sz w:val="24"/>
          <w:szCs w:val="24"/>
        </w:rPr>
        <w:t>t have been any</w:t>
      </w:r>
      <w:r w:rsidR="00F547CC" w:rsidRPr="00C12279">
        <w:rPr>
          <w:rFonts w:ascii="Times New Roman" w:hAnsi="Times New Roman" w:cs="Times New Roman"/>
          <w:sz w:val="24"/>
          <w:szCs w:val="24"/>
        </w:rPr>
        <w:t xml:space="preserve"> moral turpitude attached to the appellant’s deduction</w:t>
      </w:r>
      <w:r w:rsidR="00337442" w:rsidRPr="00C12279">
        <w:rPr>
          <w:rFonts w:ascii="Times New Roman" w:hAnsi="Times New Roman" w:cs="Times New Roman"/>
          <w:sz w:val="24"/>
          <w:szCs w:val="24"/>
        </w:rPr>
        <w:t xml:space="preserve"> of the amounts representing 39%</w:t>
      </w:r>
      <w:r w:rsidR="00F547CC" w:rsidRPr="00C12279">
        <w:rPr>
          <w:rFonts w:ascii="Times New Roman" w:hAnsi="Times New Roman" w:cs="Times New Roman"/>
          <w:sz w:val="24"/>
          <w:szCs w:val="24"/>
        </w:rPr>
        <w:t xml:space="preserve"> of the fair share of the intermediary’s expenses. </w:t>
      </w:r>
      <w:r w:rsidR="005D6D9D" w:rsidRPr="00C12279">
        <w:rPr>
          <w:rFonts w:ascii="Times New Roman" w:hAnsi="Times New Roman" w:cs="Times New Roman"/>
          <w:sz w:val="24"/>
          <w:szCs w:val="24"/>
        </w:rPr>
        <w:t>In these circumstances the imposition of a</w:t>
      </w:r>
      <w:r w:rsidR="00F547CC" w:rsidRPr="00C12279">
        <w:rPr>
          <w:rFonts w:ascii="Times New Roman" w:hAnsi="Times New Roman" w:cs="Times New Roman"/>
          <w:sz w:val="24"/>
          <w:szCs w:val="24"/>
        </w:rPr>
        <w:t>ny level of monetary</w:t>
      </w:r>
      <w:r w:rsidR="005D6D9D" w:rsidRPr="00C12279">
        <w:rPr>
          <w:rFonts w:ascii="Times New Roman" w:hAnsi="Times New Roman" w:cs="Times New Roman"/>
          <w:sz w:val="24"/>
          <w:szCs w:val="24"/>
        </w:rPr>
        <w:t xml:space="preserve"> penalty would be wholly unj</w:t>
      </w:r>
      <w:r w:rsidR="006F2236">
        <w:rPr>
          <w:rFonts w:ascii="Times New Roman" w:hAnsi="Times New Roman" w:cs="Times New Roman"/>
          <w:sz w:val="24"/>
          <w:szCs w:val="24"/>
        </w:rPr>
        <w:t>ustified. I would have waived it</w:t>
      </w:r>
      <w:r w:rsidR="005D6D9D" w:rsidRPr="00C12279">
        <w:rPr>
          <w:rFonts w:ascii="Times New Roman" w:hAnsi="Times New Roman" w:cs="Times New Roman"/>
          <w:sz w:val="24"/>
          <w:szCs w:val="24"/>
        </w:rPr>
        <w:t xml:space="preserve"> in full. </w:t>
      </w:r>
    </w:p>
    <w:p w14:paraId="2DE23DB0" w14:textId="3B25E248" w:rsidR="00455440" w:rsidRPr="00816CB3" w:rsidRDefault="00757B9F" w:rsidP="00816CB3">
      <w:pPr>
        <w:autoSpaceDE w:val="0"/>
        <w:autoSpaceDN w:val="0"/>
        <w:adjustRightInd w:val="0"/>
        <w:spacing w:after="0" w:line="360" w:lineRule="auto"/>
        <w:jc w:val="both"/>
        <w:rPr>
          <w:rFonts w:ascii="Times New Roman" w:hAnsi="Times New Roman" w:cs="Times New Roman"/>
          <w:b/>
          <w:sz w:val="24"/>
          <w:szCs w:val="24"/>
        </w:rPr>
      </w:pPr>
      <w:r w:rsidRPr="00C12279">
        <w:rPr>
          <w:rFonts w:ascii="Times New Roman" w:hAnsi="Times New Roman" w:cs="Times New Roman"/>
          <w:b/>
          <w:sz w:val="24"/>
          <w:szCs w:val="24"/>
        </w:rPr>
        <w:t>The leave</w:t>
      </w:r>
      <w:r w:rsidR="00D43755" w:rsidRPr="00C12279">
        <w:rPr>
          <w:rFonts w:ascii="Times New Roman" w:hAnsi="Times New Roman" w:cs="Times New Roman"/>
          <w:b/>
          <w:sz w:val="24"/>
          <w:szCs w:val="24"/>
        </w:rPr>
        <w:t xml:space="preserve"> and audit fee provisions </w:t>
      </w:r>
    </w:p>
    <w:p w14:paraId="0B44404B" w14:textId="494D0D9F" w:rsidR="00E97558" w:rsidRPr="00C12279" w:rsidRDefault="008A6FAB" w:rsidP="00816CB3">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 tax consultant called by the appellant was aware that the respondent disallowed leave pay provisions and audit fees in the tax year that they were made.  However, the evidence disclosed that the appellant accessed the Assessors Handbook and genuinely believed that the respondent allowed deductions of these provisions. It clearly lacked the intention to evade tax and was thus eligible for remission of penalty.  The amounts involved in each of the 4 years were minimal.</w:t>
      </w:r>
      <w:r w:rsidR="00455440" w:rsidRPr="00C12279">
        <w:rPr>
          <w:rFonts w:ascii="Times New Roman" w:hAnsi="Times New Roman" w:cs="Times New Roman"/>
          <w:sz w:val="24"/>
          <w:szCs w:val="24"/>
        </w:rPr>
        <w:t xml:space="preserve"> The moral turpitude of the appellant w</w:t>
      </w:r>
      <w:r w:rsidR="00B51084" w:rsidRPr="00C12279">
        <w:rPr>
          <w:rFonts w:ascii="Times New Roman" w:hAnsi="Times New Roman" w:cs="Times New Roman"/>
          <w:sz w:val="24"/>
          <w:szCs w:val="24"/>
        </w:rPr>
        <w:t xml:space="preserve">as minimal. It seems to me that a penalty of 10% in respect of each year for each head is appropriate. </w:t>
      </w:r>
    </w:p>
    <w:p w14:paraId="585C32EC" w14:textId="77777777" w:rsidR="00B51084" w:rsidRPr="00C12279" w:rsidRDefault="00B51084" w:rsidP="007370F3">
      <w:pPr>
        <w:autoSpaceDE w:val="0"/>
        <w:autoSpaceDN w:val="0"/>
        <w:adjustRightInd w:val="0"/>
        <w:spacing w:after="0" w:line="240" w:lineRule="auto"/>
        <w:jc w:val="both"/>
        <w:rPr>
          <w:rFonts w:ascii="Times New Roman" w:hAnsi="Times New Roman" w:cs="Times New Roman"/>
          <w:i/>
          <w:sz w:val="24"/>
          <w:szCs w:val="24"/>
        </w:rPr>
      </w:pPr>
    </w:p>
    <w:p w14:paraId="47A47DCE" w14:textId="0B977201" w:rsidR="0049073B" w:rsidRDefault="0049073B" w:rsidP="007370F3">
      <w:pPr>
        <w:autoSpaceDE w:val="0"/>
        <w:autoSpaceDN w:val="0"/>
        <w:adjustRightInd w:val="0"/>
        <w:spacing w:after="0" w:line="240" w:lineRule="auto"/>
        <w:jc w:val="both"/>
        <w:rPr>
          <w:rFonts w:ascii="Times New Roman" w:hAnsi="Times New Roman" w:cs="Times New Roman"/>
          <w:i/>
          <w:sz w:val="24"/>
          <w:szCs w:val="24"/>
        </w:rPr>
      </w:pPr>
      <w:r w:rsidRPr="00C12279">
        <w:rPr>
          <w:rFonts w:ascii="Times New Roman" w:hAnsi="Times New Roman" w:cs="Times New Roman"/>
          <w:i/>
          <w:sz w:val="24"/>
          <w:szCs w:val="24"/>
        </w:rPr>
        <w:t xml:space="preserve">The </w:t>
      </w:r>
      <w:r w:rsidR="00CE0AE2" w:rsidRPr="00C12279">
        <w:rPr>
          <w:rFonts w:ascii="Times New Roman" w:hAnsi="Times New Roman" w:cs="Times New Roman"/>
          <w:i/>
          <w:sz w:val="24"/>
          <w:szCs w:val="24"/>
        </w:rPr>
        <w:t>Tax amnesty</w:t>
      </w:r>
    </w:p>
    <w:p w14:paraId="5C696B13" w14:textId="77777777" w:rsidR="00816CB3" w:rsidRPr="00C12279" w:rsidRDefault="00816CB3" w:rsidP="007370F3">
      <w:pPr>
        <w:autoSpaceDE w:val="0"/>
        <w:autoSpaceDN w:val="0"/>
        <w:adjustRightInd w:val="0"/>
        <w:spacing w:after="0" w:line="240" w:lineRule="auto"/>
        <w:jc w:val="both"/>
        <w:rPr>
          <w:rFonts w:ascii="Times New Roman" w:hAnsi="Times New Roman" w:cs="Times New Roman"/>
          <w:i/>
          <w:sz w:val="24"/>
          <w:szCs w:val="24"/>
        </w:rPr>
      </w:pPr>
    </w:p>
    <w:p w14:paraId="430DFBE1" w14:textId="0EB7DA6F" w:rsidR="004D2605" w:rsidRPr="00C12279" w:rsidRDefault="00757B9F" w:rsidP="00816CB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was common cause that </w:t>
      </w:r>
      <w:r w:rsidR="00826282" w:rsidRPr="00C12279">
        <w:rPr>
          <w:rFonts w:ascii="Times New Roman" w:hAnsi="Times New Roman" w:cs="Times New Roman"/>
          <w:sz w:val="24"/>
          <w:szCs w:val="24"/>
        </w:rPr>
        <w:t>the tax amnesty</w:t>
      </w:r>
      <w:r w:rsidRPr="00C12279">
        <w:rPr>
          <w:rFonts w:ascii="Times New Roman" w:hAnsi="Times New Roman" w:cs="Times New Roman"/>
          <w:sz w:val="24"/>
          <w:szCs w:val="24"/>
        </w:rPr>
        <w:t xml:space="preserve"> was not raised in the letter of objection </w:t>
      </w:r>
      <w:r w:rsidR="00B67B84" w:rsidRPr="00C12279">
        <w:rPr>
          <w:rFonts w:ascii="Times New Roman" w:hAnsi="Times New Roman" w:cs="Times New Roman"/>
          <w:sz w:val="24"/>
          <w:szCs w:val="24"/>
        </w:rPr>
        <w:t xml:space="preserve">of 25 July 2014 </w:t>
      </w:r>
      <w:r w:rsidRPr="00C12279">
        <w:rPr>
          <w:rFonts w:ascii="Times New Roman" w:hAnsi="Times New Roman" w:cs="Times New Roman"/>
          <w:sz w:val="24"/>
          <w:szCs w:val="24"/>
        </w:rPr>
        <w:t>for the reason</w:t>
      </w:r>
      <w:r w:rsidR="00826282" w:rsidRPr="00C12279">
        <w:rPr>
          <w:rFonts w:ascii="Times New Roman" w:hAnsi="Times New Roman" w:cs="Times New Roman"/>
          <w:sz w:val="24"/>
          <w:szCs w:val="24"/>
        </w:rPr>
        <w:t xml:space="preserve"> that it had not yet come into existence at that time. The appellant raised it in para 72 of its case </w:t>
      </w:r>
      <w:r w:rsidR="0066212A" w:rsidRPr="00C12279">
        <w:rPr>
          <w:rFonts w:ascii="Times New Roman" w:hAnsi="Times New Roman" w:cs="Times New Roman"/>
          <w:sz w:val="24"/>
          <w:szCs w:val="24"/>
        </w:rPr>
        <w:t xml:space="preserve">on 18 December 2014 </w:t>
      </w:r>
      <w:r w:rsidR="00826282" w:rsidRPr="00C12279">
        <w:rPr>
          <w:rFonts w:ascii="Times New Roman" w:hAnsi="Times New Roman" w:cs="Times New Roman"/>
          <w:sz w:val="24"/>
          <w:szCs w:val="24"/>
        </w:rPr>
        <w:t>and the respondent responded to it in para 43 of the Commissioner’s case.</w:t>
      </w:r>
      <w:r w:rsidR="00FB30F9" w:rsidRPr="00C12279">
        <w:rPr>
          <w:rFonts w:ascii="Times New Roman" w:hAnsi="Times New Roman" w:cs="Times New Roman"/>
          <w:sz w:val="24"/>
          <w:szCs w:val="24"/>
        </w:rPr>
        <w:t xml:space="preserve"> It was promulgated </w:t>
      </w:r>
      <w:r w:rsidR="003C3913" w:rsidRPr="00C12279">
        <w:rPr>
          <w:rFonts w:ascii="Times New Roman" w:hAnsi="Times New Roman" w:cs="Times New Roman"/>
          <w:sz w:val="24"/>
          <w:szCs w:val="24"/>
        </w:rPr>
        <w:t>under the authority of</w:t>
      </w:r>
      <w:r w:rsidR="00FB30F9" w:rsidRPr="00C12279">
        <w:rPr>
          <w:rFonts w:ascii="Times New Roman" w:hAnsi="Times New Roman" w:cs="Times New Roman"/>
          <w:sz w:val="24"/>
          <w:szCs w:val="24"/>
        </w:rPr>
        <w:t xml:space="preserve"> s 23 of the Finance Act (No. 2) of 2014 </w:t>
      </w:r>
      <w:r w:rsidR="003C3913" w:rsidRPr="00C12279">
        <w:rPr>
          <w:rFonts w:ascii="Times New Roman" w:hAnsi="Times New Roman" w:cs="Times New Roman"/>
          <w:sz w:val="24"/>
          <w:szCs w:val="24"/>
        </w:rPr>
        <w:t>in the Finance Act (Tax Amnesty) Regulations 2014, SI 163 of 2014</w:t>
      </w:r>
      <w:r w:rsidR="0066212A" w:rsidRPr="00C12279">
        <w:rPr>
          <w:rFonts w:ascii="Times New Roman" w:hAnsi="Times New Roman" w:cs="Times New Roman"/>
          <w:sz w:val="24"/>
          <w:szCs w:val="24"/>
        </w:rPr>
        <w:t xml:space="preserve"> on 21 November 2014</w:t>
      </w:r>
      <w:r w:rsidR="003C3913" w:rsidRPr="00C12279">
        <w:rPr>
          <w:rFonts w:ascii="Times New Roman" w:hAnsi="Times New Roman" w:cs="Times New Roman"/>
          <w:sz w:val="24"/>
          <w:szCs w:val="24"/>
        </w:rPr>
        <w:t>.</w:t>
      </w:r>
      <w:r w:rsidR="00826282" w:rsidRPr="00C12279">
        <w:rPr>
          <w:rFonts w:ascii="Times New Roman" w:hAnsi="Times New Roman" w:cs="Times New Roman"/>
          <w:sz w:val="24"/>
          <w:szCs w:val="24"/>
        </w:rPr>
        <w:t xml:space="preserve"> </w:t>
      </w:r>
      <w:r w:rsidR="0088166C" w:rsidRPr="00C12279">
        <w:rPr>
          <w:rFonts w:ascii="Times New Roman" w:hAnsi="Times New Roman" w:cs="Times New Roman"/>
          <w:sz w:val="24"/>
          <w:szCs w:val="24"/>
        </w:rPr>
        <w:t>It exempted errant taxpayers whose applications were approved from paying any additional tax, penalty or interest on the amounts for which the amnesty was granted.</w:t>
      </w:r>
      <w:r w:rsidR="004D2605" w:rsidRPr="00C12279">
        <w:rPr>
          <w:rFonts w:ascii="Times New Roman" w:hAnsi="Times New Roman" w:cs="Times New Roman"/>
          <w:sz w:val="24"/>
          <w:szCs w:val="24"/>
        </w:rPr>
        <w:t xml:space="preserve"> It was common cause that both s 19 of the Finance Act and s 8 of the tax amnesty</w:t>
      </w:r>
      <w:r w:rsidR="00AB1365" w:rsidRPr="00C12279">
        <w:rPr>
          <w:rFonts w:ascii="Times New Roman" w:hAnsi="Times New Roman" w:cs="Times New Roman"/>
          <w:sz w:val="24"/>
          <w:szCs w:val="24"/>
        </w:rPr>
        <w:t xml:space="preserve"> regulations</w:t>
      </w:r>
      <w:r w:rsidR="004D2605" w:rsidRPr="00C12279">
        <w:rPr>
          <w:rFonts w:ascii="Times New Roman" w:hAnsi="Times New Roman" w:cs="Times New Roman"/>
          <w:sz w:val="24"/>
          <w:szCs w:val="24"/>
        </w:rPr>
        <w:t xml:space="preserve"> specifically preclude</w:t>
      </w:r>
      <w:r w:rsidR="006241EE" w:rsidRPr="00C12279">
        <w:rPr>
          <w:rFonts w:ascii="Times New Roman" w:hAnsi="Times New Roman" w:cs="Times New Roman"/>
          <w:sz w:val="24"/>
          <w:szCs w:val="24"/>
        </w:rPr>
        <w:t>d from their ambit</w:t>
      </w:r>
      <w:r w:rsidR="004D2605" w:rsidRPr="00C12279">
        <w:rPr>
          <w:rFonts w:ascii="Times New Roman" w:hAnsi="Times New Roman" w:cs="Times New Roman"/>
          <w:sz w:val="24"/>
          <w:szCs w:val="24"/>
        </w:rPr>
        <w:t xml:space="preserve"> any taxpayers</w:t>
      </w:r>
      <w:r w:rsidR="00AB1365" w:rsidRPr="00C12279">
        <w:rPr>
          <w:rFonts w:ascii="Times New Roman" w:hAnsi="Times New Roman" w:cs="Times New Roman"/>
          <w:sz w:val="24"/>
          <w:szCs w:val="24"/>
        </w:rPr>
        <w:t xml:space="preserve"> who had paid tax or</w:t>
      </w:r>
      <w:r w:rsidR="006241EE" w:rsidRPr="00C12279">
        <w:rPr>
          <w:rFonts w:ascii="Times New Roman" w:hAnsi="Times New Roman" w:cs="Times New Roman"/>
          <w:sz w:val="24"/>
          <w:szCs w:val="24"/>
        </w:rPr>
        <w:t xml:space="preserve"> rendered</w:t>
      </w:r>
      <w:r w:rsidR="00AB1365" w:rsidRPr="00C12279">
        <w:rPr>
          <w:rFonts w:ascii="Times New Roman" w:hAnsi="Times New Roman" w:cs="Times New Roman"/>
          <w:sz w:val="24"/>
          <w:szCs w:val="24"/>
        </w:rPr>
        <w:t xml:space="preserve"> a return or declaration or had</w:t>
      </w:r>
      <w:r w:rsidR="006241EE" w:rsidRPr="00C12279">
        <w:rPr>
          <w:rFonts w:ascii="Times New Roman" w:hAnsi="Times New Roman" w:cs="Times New Roman"/>
          <w:sz w:val="24"/>
          <w:szCs w:val="24"/>
        </w:rPr>
        <w:t xml:space="preserve"> been assessed. </w:t>
      </w:r>
      <w:r w:rsidR="00B67B84" w:rsidRPr="00C12279">
        <w:rPr>
          <w:rFonts w:ascii="Times New Roman" w:hAnsi="Times New Roman" w:cs="Times New Roman"/>
          <w:sz w:val="24"/>
          <w:szCs w:val="24"/>
        </w:rPr>
        <w:t xml:space="preserve">It was again common cause that the </w:t>
      </w:r>
      <w:r w:rsidR="00B67B84" w:rsidRPr="00C12279">
        <w:rPr>
          <w:rFonts w:ascii="Times New Roman" w:hAnsi="Times New Roman" w:cs="Times New Roman"/>
          <w:sz w:val="24"/>
          <w:szCs w:val="24"/>
        </w:rPr>
        <w:lastRenderedPageBreak/>
        <w:t>appellant fell into the category of taxpayers who were excluded fr</w:t>
      </w:r>
      <w:r w:rsidR="00280E1F" w:rsidRPr="00C12279">
        <w:rPr>
          <w:rFonts w:ascii="Times New Roman" w:hAnsi="Times New Roman" w:cs="Times New Roman"/>
          <w:sz w:val="24"/>
          <w:szCs w:val="24"/>
        </w:rPr>
        <w:t xml:space="preserve">om the ambit of the tax amnesty and </w:t>
      </w:r>
      <w:r w:rsidR="003A43A0" w:rsidRPr="00C12279">
        <w:rPr>
          <w:rFonts w:ascii="Times New Roman" w:hAnsi="Times New Roman" w:cs="Times New Roman"/>
          <w:sz w:val="24"/>
          <w:szCs w:val="24"/>
        </w:rPr>
        <w:t xml:space="preserve">as a result did </w:t>
      </w:r>
      <w:r w:rsidR="004C7714" w:rsidRPr="00C12279">
        <w:rPr>
          <w:rFonts w:ascii="Times New Roman" w:hAnsi="Times New Roman" w:cs="Times New Roman"/>
          <w:sz w:val="24"/>
          <w:szCs w:val="24"/>
        </w:rPr>
        <w:t>not apply</w:t>
      </w:r>
      <w:r w:rsidR="00017267" w:rsidRPr="00C12279">
        <w:rPr>
          <w:rFonts w:ascii="Times New Roman" w:hAnsi="Times New Roman" w:cs="Times New Roman"/>
          <w:sz w:val="24"/>
          <w:szCs w:val="24"/>
        </w:rPr>
        <w:t xml:space="preserve"> for the</w:t>
      </w:r>
      <w:r w:rsidR="00280E1F" w:rsidRPr="00C12279">
        <w:rPr>
          <w:rFonts w:ascii="Times New Roman" w:hAnsi="Times New Roman" w:cs="Times New Roman"/>
          <w:sz w:val="24"/>
          <w:szCs w:val="24"/>
        </w:rPr>
        <w:t xml:space="preserve"> amnesty.</w:t>
      </w:r>
    </w:p>
    <w:p w14:paraId="6454C583" w14:textId="055F1F1A" w:rsidR="004C6840" w:rsidRPr="00C12279" w:rsidRDefault="006222A8" w:rsidP="00816CB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At the tail end of his oral submissions </w:t>
      </w:r>
      <w:r w:rsidR="00B67B84" w:rsidRPr="00C12279">
        <w:rPr>
          <w:rFonts w:ascii="Times New Roman" w:hAnsi="Times New Roman" w:cs="Times New Roman"/>
          <w:sz w:val="24"/>
          <w:szCs w:val="24"/>
        </w:rPr>
        <w:t xml:space="preserve">Mr </w:t>
      </w:r>
      <w:r w:rsidR="00B67B84" w:rsidRPr="00C12279">
        <w:rPr>
          <w:rFonts w:ascii="Times New Roman" w:hAnsi="Times New Roman" w:cs="Times New Roman"/>
          <w:i/>
          <w:sz w:val="24"/>
          <w:szCs w:val="24"/>
        </w:rPr>
        <w:t>de Bourbon</w:t>
      </w:r>
      <w:r w:rsidR="00B67B84" w:rsidRPr="00C12279">
        <w:rPr>
          <w:rFonts w:ascii="Times New Roman" w:hAnsi="Times New Roman" w:cs="Times New Roman"/>
          <w:sz w:val="24"/>
          <w:szCs w:val="24"/>
        </w:rPr>
        <w:t xml:space="preserve"> moved the Court </w:t>
      </w:r>
      <w:r w:rsidR="000767C2" w:rsidRPr="00C12279">
        <w:rPr>
          <w:rFonts w:ascii="Times New Roman" w:hAnsi="Times New Roman" w:cs="Times New Roman"/>
          <w:sz w:val="24"/>
          <w:szCs w:val="24"/>
        </w:rPr>
        <w:t xml:space="preserve">in terms of the proviso to s 65 (4) </w:t>
      </w:r>
      <w:r w:rsidR="00B67B84" w:rsidRPr="00C12279">
        <w:rPr>
          <w:rFonts w:ascii="Times New Roman" w:hAnsi="Times New Roman" w:cs="Times New Roman"/>
          <w:sz w:val="24"/>
          <w:szCs w:val="24"/>
        </w:rPr>
        <w:t xml:space="preserve">to </w:t>
      </w:r>
      <w:r w:rsidR="00827022" w:rsidRPr="00C12279">
        <w:rPr>
          <w:rFonts w:ascii="Times New Roman" w:hAnsi="Times New Roman" w:cs="Times New Roman"/>
          <w:sz w:val="24"/>
          <w:szCs w:val="24"/>
        </w:rPr>
        <w:t>consider the introduction of the tax amnesty argument, which had not been raised in</w:t>
      </w:r>
      <w:r w:rsidR="00B67B84" w:rsidRPr="00C12279">
        <w:rPr>
          <w:rFonts w:ascii="Times New Roman" w:hAnsi="Times New Roman" w:cs="Times New Roman"/>
          <w:sz w:val="24"/>
          <w:szCs w:val="24"/>
        </w:rPr>
        <w:t xml:space="preserve"> the </w:t>
      </w:r>
      <w:r w:rsidR="00F746F4" w:rsidRPr="00C12279">
        <w:rPr>
          <w:rFonts w:ascii="Times New Roman" w:hAnsi="Times New Roman" w:cs="Times New Roman"/>
          <w:sz w:val="24"/>
          <w:szCs w:val="24"/>
        </w:rPr>
        <w:t>notice of objection on</w:t>
      </w:r>
      <w:r w:rsidR="00E73D68" w:rsidRPr="00C12279">
        <w:rPr>
          <w:rFonts w:ascii="Times New Roman" w:hAnsi="Times New Roman" w:cs="Times New Roman"/>
          <w:sz w:val="24"/>
          <w:szCs w:val="24"/>
        </w:rPr>
        <w:t xml:space="preserve"> two grounds. The first was that it was physically and legally impossible to raise it in the objec</w:t>
      </w:r>
      <w:r w:rsidR="004128C0" w:rsidRPr="00C12279">
        <w:rPr>
          <w:rFonts w:ascii="Times New Roman" w:hAnsi="Times New Roman" w:cs="Times New Roman"/>
          <w:sz w:val="24"/>
          <w:szCs w:val="24"/>
        </w:rPr>
        <w:t>tion and the second was</w:t>
      </w:r>
      <w:r w:rsidR="00E73D68" w:rsidRPr="00C12279">
        <w:rPr>
          <w:rFonts w:ascii="Times New Roman" w:hAnsi="Times New Roman" w:cs="Times New Roman"/>
          <w:sz w:val="24"/>
          <w:szCs w:val="24"/>
        </w:rPr>
        <w:t xml:space="preserve"> that such exclusion offended the appellant’s constitutional right to equal treatment</w:t>
      </w:r>
      <w:r w:rsidR="00BF3160" w:rsidRPr="00C12279">
        <w:rPr>
          <w:rFonts w:ascii="Times New Roman" w:hAnsi="Times New Roman" w:cs="Times New Roman"/>
          <w:sz w:val="24"/>
          <w:szCs w:val="24"/>
        </w:rPr>
        <w:t>,</w:t>
      </w:r>
      <w:r w:rsidR="00E73D68" w:rsidRPr="00C12279">
        <w:rPr>
          <w:rFonts w:ascii="Times New Roman" w:hAnsi="Times New Roman" w:cs="Times New Roman"/>
          <w:sz w:val="24"/>
          <w:szCs w:val="24"/>
        </w:rPr>
        <w:t xml:space="preserve"> protection</w:t>
      </w:r>
      <w:r w:rsidR="00BF3160" w:rsidRPr="00C12279">
        <w:rPr>
          <w:rFonts w:ascii="Times New Roman" w:hAnsi="Times New Roman" w:cs="Times New Roman"/>
          <w:sz w:val="24"/>
          <w:szCs w:val="24"/>
        </w:rPr>
        <w:t xml:space="preserve"> and benefit of</w:t>
      </w:r>
      <w:r w:rsidR="00E73D68" w:rsidRPr="00C12279">
        <w:rPr>
          <w:rFonts w:ascii="Times New Roman" w:hAnsi="Times New Roman" w:cs="Times New Roman"/>
          <w:sz w:val="24"/>
          <w:szCs w:val="24"/>
        </w:rPr>
        <w:t xml:space="preserve"> the law</w:t>
      </w:r>
      <w:r w:rsidR="00BF3160" w:rsidRPr="00C12279">
        <w:rPr>
          <w:rFonts w:ascii="Times New Roman" w:hAnsi="Times New Roman" w:cs="Times New Roman"/>
          <w:sz w:val="24"/>
          <w:szCs w:val="24"/>
        </w:rPr>
        <w:t xml:space="preserve"> enshrined in s 56 (1 and (6)) of the Constitution</w:t>
      </w:r>
      <w:r w:rsidR="00E73D68" w:rsidRPr="00C12279">
        <w:rPr>
          <w:rFonts w:ascii="Times New Roman" w:hAnsi="Times New Roman" w:cs="Times New Roman"/>
          <w:sz w:val="24"/>
          <w:szCs w:val="24"/>
        </w:rPr>
        <w:t>.</w:t>
      </w:r>
      <w:r w:rsidRPr="00C12279">
        <w:rPr>
          <w:rFonts w:ascii="Times New Roman" w:hAnsi="Times New Roman" w:cs="Times New Roman"/>
          <w:sz w:val="24"/>
          <w:szCs w:val="24"/>
        </w:rPr>
        <w:t xml:space="preserve"> </w:t>
      </w:r>
      <w:r w:rsidR="00F3542E" w:rsidRPr="00C12279">
        <w:rPr>
          <w:rFonts w:ascii="Times New Roman" w:hAnsi="Times New Roman" w:cs="Times New Roman"/>
          <w:sz w:val="24"/>
          <w:szCs w:val="24"/>
        </w:rPr>
        <w:t xml:space="preserve">Mr </w:t>
      </w:r>
      <w:r w:rsidR="00F746F4" w:rsidRPr="00C12279">
        <w:rPr>
          <w:rFonts w:ascii="Times New Roman" w:hAnsi="Times New Roman" w:cs="Times New Roman"/>
          <w:i/>
          <w:sz w:val="24"/>
          <w:szCs w:val="24"/>
        </w:rPr>
        <w:t>Magwaliba</w:t>
      </w:r>
      <w:r w:rsidR="00F3542E" w:rsidRPr="00C12279">
        <w:rPr>
          <w:rFonts w:ascii="Times New Roman" w:hAnsi="Times New Roman" w:cs="Times New Roman"/>
          <w:sz w:val="24"/>
          <w:szCs w:val="24"/>
        </w:rPr>
        <w:t xml:space="preserve"> </w:t>
      </w:r>
      <w:r w:rsidR="00F746F4" w:rsidRPr="00C12279">
        <w:rPr>
          <w:rFonts w:ascii="Times New Roman" w:hAnsi="Times New Roman" w:cs="Times New Roman"/>
          <w:sz w:val="24"/>
          <w:szCs w:val="24"/>
        </w:rPr>
        <w:t xml:space="preserve">opposed the application on the ground that the </w:t>
      </w:r>
      <w:r w:rsidR="00F3542E" w:rsidRPr="00C12279">
        <w:rPr>
          <w:rFonts w:ascii="Times New Roman" w:hAnsi="Times New Roman" w:cs="Times New Roman"/>
          <w:sz w:val="24"/>
          <w:szCs w:val="24"/>
        </w:rPr>
        <w:t xml:space="preserve">constitutional argument </w:t>
      </w:r>
      <w:r w:rsidR="00F746F4" w:rsidRPr="00C12279">
        <w:rPr>
          <w:rFonts w:ascii="Times New Roman" w:hAnsi="Times New Roman" w:cs="Times New Roman"/>
          <w:sz w:val="24"/>
          <w:szCs w:val="24"/>
        </w:rPr>
        <w:t xml:space="preserve">was constrained by the </w:t>
      </w:r>
      <w:r w:rsidRPr="00C12279">
        <w:rPr>
          <w:rFonts w:ascii="Times New Roman" w:hAnsi="Times New Roman" w:cs="Times New Roman"/>
          <w:sz w:val="24"/>
          <w:szCs w:val="24"/>
        </w:rPr>
        <w:t>absence of evidence on the point.</w:t>
      </w:r>
    </w:p>
    <w:p w14:paraId="20C6B724" w14:textId="2D8C4476" w:rsidR="004C6840" w:rsidRPr="00C12279" w:rsidRDefault="004C6840" w:rsidP="00816CB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In both his written and oral submissions Mr </w:t>
      </w:r>
      <w:r w:rsidRPr="00C12279">
        <w:rPr>
          <w:rFonts w:ascii="Times New Roman" w:hAnsi="Times New Roman" w:cs="Times New Roman"/>
          <w:i/>
          <w:sz w:val="24"/>
          <w:szCs w:val="24"/>
        </w:rPr>
        <w:t>de Bourbon</w:t>
      </w:r>
      <w:r w:rsidRPr="00C12279">
        <w:rPr>
          <w:rFonts w:ascii="Times New Roman" w:hAnsi="Times New Roman" w:cs="Times New Roman"/>
          <w:sz w:val="24"/>
          <w:szCs w:val="24"/>
        </w:rPr>
        <w:t xml:space="preserve"> emphasized that</w:t>
      </w:r>
      <w:r w:rsidR="00801B31" w:rsidRPr="00C12279">
        <w:rPr>
          <w:rFonts w:ascii="Times New Roman" w:hAnsi="Times New Roman" w:cs="Times New Roman"/>
          <w:sz w:val="24"/>
          <w:szCs w:val="24"/>
        </w:rPr>
        <w:t xml:space="preserve"> the enactment of the tax amnesty under consideration was constitutional</w:t>
      </w:r>
      <w:r w:rsidR="006222A8" w:rsidRPr="00C12279">
        <w:rPr>
          <w:rFonts w:ascii="Times New Roman" w:hAnsi="Times New Roman" w:cs="Times New Roman"/>
          <w:sz w:val="24"/>
          <w:szCs w:val="24"/>
        </w:rPr>
        <w:t xml:space="preserve"> but that the</w:t>
      </w:r>
      <w:r w:rsidR="00B17037" w:rsidRPr="00C12279">
        <w:rPr>
          <w:rFonts w:ascii="Times New Roman" w:hAnsi="Times New Roman" w:cs="Times New Roman"/>
          <w:sz w:val="24"/>
          <w:szCs w:val="24"/>
        </w:rPr>
        <w:t xml:space="preserve"> denial of the tax amnesty benefit to certain categories of taxpayers was unconstitutional. </w:t>
      </w:r>
      <w:r w:rsidR="006222A8" w:rsidRPr="00C12279">
        <w:rPr>
          <w:rFonts w:ascii="Times New Roman" w:hAnsi="Times New Roman" w:cs="Times New Roman"/>
          <w:sz w:val="24"/>
          <w:szCs w:val="24"/>
        </w:rPr>
        <w:t xml:space="preserve">In para 108 of his written heads </w:t>
      </w:r>
      <w:r w:rsidR="006764D2" w:rsidRPr="00C12279">
        <w:rPr>
          <w:rFonts w:ascii="Times New Roman" w:hAnsi="Times New Roman" w:cs="Times New Roman"/>
          <w:sz w:val="24"/>
          <w:szCs w:val="24"/>
        </w:rPr>
        <w:t>counsel submitted</w:t>
      </w:r>
      <w:r w:rsidR="006222A8" w:rsidRPr="00C12279">
        <w:rPr>
          <w:rFonts w:ascii="Times New Roman" w:hAnsi="Times New Roman" w:cs="Times New Roman"/>
          <w:sz w:val="24"/>
          <w:szCs w:val="24"/>
        </w:rPr>
        <w:t xml:space="preserve"> that “if the tax amnesty is to be treated as being constitutional, and the concession is repeated that it is within the terms of the Constitution permissible to grant such an amnesty, it must apply to the appellant, who therefore cannot be obliged to pay penalties and interest on any unpaid taxes raised in an amended ass</w:t>
      </w:r>
      <w:r w:rsidR="006764D2" w:rsidRPr="00C12279">
        <w:rPr>
          <w:rFonts w:ascii="Times New Roman" w:hAnsi="Times New Roman" w:cs="Times New Roman"/>
          <w:sz w:val="24"/>
          <w:szCs w:val="24"/>
        </w:rPr>
        <w:t xml:space="preserve">essment as in the present case”. </w:t>
      </w:r>
      <w:r w:rsidR="00B17037" w:rsidRPr="00C12279">
        <w:rPr>
          <w:rFonts w:ascii="Times New Roman" w:hAnsi="Times New Roman" w:cs="Times New Roman"/>
          <w:sz w:val="24"/>
          <w:szCs w:val="24"/>
        </w:rPr>
        <w:t>In</w:t>
      </w:r>
      <w:r w:rsidR="006222A8" w:rsidRPr="00C12279">
        <w:rPr>
          <w:rFonts w:ascii="Times New Roman" w:hAnsi="Times New Roman" w:cs="Times New Roman"/>
          <w:sz w:val="24"/>
          <w:szCs w:val="24"/>
        </w:rPr>
        <w:t xml:space="preserve"> the alternative, he urged this Court to exercise its sentencing discretion in favour of the appellant by extending the benefits embodied in the tax amnesty legislation to the appellant.</w:t>
      </w:r>
      <w:r w:rsidR="00B17037" w:rsidRPr="00C12279">
        <w:rPr>
          <w:rFonts w:ascii="Times New Roman" w:hAnsi="Times New Roman" w:cs="Times New Roman"/>
          <w:sz w:val="24"/>
          <w:szCs w:val="24"/>
        </w:rPr>
        <w:t xml:space="preserve">  </w:t>
      </w:r>
    </w:p>
    <w:p w14:paraId="1CCB12BE" w14:textId="2C10737D" w:rsidR="00870A3B" w:rsidRPr="00C12279" w:rsidRDefault="0065692E" w:rsidP="00816CB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The submission is obviously raising the constitutionality of the tax amnesty. </w:t>
      </w:r>
      <w:r w:rsidR="000B468E" w:rsidRPr="00C12279">
        <w:rPr>
          <w:rFonts w:ascii="Times New Roman" w:hAnsi="Times New Roman" w:cs="Times New Roman"/>
          <w:sz w:val="24"/>
          <w:szCs w:val="24"/>
        </w:rPr>
        <w:t xml:space="preserve"> </w:t>
      </w:r>
      <w:r w:rsidRPr="00C12279">
        <w:rPr>
          <w:rFonts w:ascii="Times New Roman" w:hAnsi="Times New Roman" w:cs="Times New Roman"/>
          <w:sz w:val="24"/>
          <w:szCs w:val="24"/>
        </w:rPr>
        <w:t>As I understand it, the submission is really that t</w:t>
      </w:r>
      <w:r w:rsidR="000B468E" w:rsidRPr="00C12279">
        <w:rPr>
          <w:rFonts w:ascii="Times New Roman" w:hAnsi="Times New Roman" w:cs="Times New Roman"/>
          <w:sz w:val="24"/>
          <w:szCs w:val="24"/>
        </w:rPr>
        <w:t>he tax amnesty is unconstitutional t</w:t>
      </w:r>
      <w:r w:rsidRPr="00C12279">
        <w:rPr>
          <w:rFonts w:ascii="Times New Roman" w:hAnsi="Times New Roman" w:cs="Times New Roman"/>
          <w:sz w:val="24"/>
          <w:szCs w:val="24"/>
        </w:rPr>
        <w:t>o</w:t>
      </w:r>
      <w:r w:rsidR="000B468E" w:rsidRPr="00C12279">
        <w:rPr>
          <w:rFonts w:ascii="Times New Roman" w:hAnsi="Times New Roman" w:cs="Times New Roman"/>
          <w:sz w:val="24"/>
          <w:szCs w:val="24"/>
        </w:rPr>
        <w:t xml:space="preserve"> the extent that it fails to cover </w:t>
      </w:r>
      <w:r w:rsidRPr="00C12279">
        <w:rPr>
          <w:rFonts w:ascii="Times New Roman" w:hAnsi="Times New Roman" w:cs="Times New Roman"/>
          <w:sz w:val="24"/>
          <w:szCs w:val="24"/>
        </w:rPr>
        <w:t>all taxpayers</w:t>
      </w:r>
      <w:r w:rsidR="000B468E" w:rsidRPr="00C12279">
        <w:rPr>
          <w:rFonts w:ascii="Times New Roman" w:hAnsi="Times New Roman" w:cs="Times New Roman"/>
          <w:sz w:val="24"/>
          <w:szCs w:val="24"/>
        </w:rPr>
        <w:t>.  Looked at from another angle the submission is that any law that does not treat all people equally does not provide them equal benefit to the law and is therefore unconstitutional. The fallacy of the submission becomes</w:t>
      </w:r>
      <w:r w:rsidR="001E66C4" w:rsidRPr="00C12279">
        <w:rPr>
          <w:rFonts w:ascii="Times New Roman" w:hAnsi="Times New Roman" w:cs="Times New Roman"/>
          <w:sz w:val="24"/>
          <w:szCs w:val="24"/>
        </w:rPr>
        <w:t xml:space="preserve"> self-evident when viewed in this</w:t>
      </w:r>
      <w:r w:rsidR="000B468E" w:rsidRPr="00C12279">
        <w:rPr>
          <w:rFonts w:ascii="Times New Roman" w:hAnsi="Times New Roman" w:cs="Times New Roman"/>
          <w:sz w:val="24"/>
          <w:szCs w:val="24"/>
        </w:rPr>
        <w:t xml:space="preserve"> wider context. It is simply that all laws that do not treat all citizens equally are unconstitutional. But that is not what the constitution contemplates or even says. I think it has always been recognised that no constitution in the world is able to provide absolute equality to all its citizens. The test of constitutionality of an enactment is not measured against absolute rights.  </w:t>
      </w:r>
      <w:r w:rsidR="00CC695B" w:rsidRPr="00C12279">
        <w:rPr>
          <w:rFonts w:ascii="Times New Roman" w:hAnsi="Times New Roman" w:cs="Times New Roman"/>
          <w:sz w:val="24"/>
          <w:szCs w:val="24"/>
        </w:rPr>
        <w:t xml:space="preserve">I intimated in </w:t>
      </w:r>
      <w:r w:rsidR="00CC695B" w:rsidRPr="00C12279">
        <w:rPr>
          <w:rFonts w:ascii="Times New Roman" w:hAnsi="Times New Roman" w:cs="Times New Roman"/>
          <w:i/>
          <w:sz w:val="24"/>
          <w:szCs w:val="24"/>
        </w:rPr>
        <w:t xml:space="preserve">CRS (Pvt) Ltd </w:t>
      </w:r>
      <w:r w:rsidR="00CC695B" w:rsidRPr="00816CB3">
        <w:rPr>
          <w:rFonts w:ascii="Times New Roman" w:hAnsi="Times New Roman" w:cs="Times New Roman"/>
          <w:sz w:val="24"/>
          <w:szCs w:val="24"/>
        </w:rPr>
        <w:t>v</w:t>
      </w:r>
      <w:r w:rsidR="00CC695B" w:rsidRPr="00C12279">
        <w:rPr>
          <w:rFonts w:ascii="Times New Roman" w:hAnsi="Times New Roman" w:cs="Times New Roman"/>
          <w:i/>
          <w:sz w:val="24"/>
          <w:szCs w:val="24"/>
        </w:rPr>
        <w:t xml:space="preserve"> Zimbabwe Revenue Authority </w:t>
      </w:r>
      <w:r w:rsidR="00CC695B" w:rsidRPr="00C12279">
        <w:rPr>
          <w:rFonts w:ascii="Times New Roman" w:hAnsi="Times New Roman" w:cs="Times New Roman"/>
          <w:sz w:val="24"/>
          <w:szCs w:val="24"/>
        </w:rPr>
        <w:t>HH 728 /2017 at p 27 of the cyclostyled judgment that in our law the test of constitutionality of an enactment is measured against the provisions of s 86 (2) of our Constitution.  That provision allows the enactment of laws such as the tax amnesty or any laws which restrict s</w:t>
      </w:r>
      <w:r w:rsidR="0096464C" w:rsidRPr="00C12279">
        <w:rPr>
          <w:rFonts w:ascii="Times New Roman" w:hAnsi="Times New Roman" w:cs="Times New Roman"/>
          <w:sz w:val="24"/>
          <w:szCs w:val="24"/>
        </w:rPr>
        <w:t xml:space="preserve">uch a </w:t>
      </w:r>
      <w:r w:rsidR="0096464C" w:rsidRPr="00C12279">
        <w:rPr>
          <w:rFonts w:ascii="Times New Roman" w:hAnsi="Times New Roman" w:cs="Times New Roman"/>
          <w:sz w:val="24"/>
          <w:szCs w:val="24"/>
        </w:rPr>
        <w:lastRenderedPageBreak/>
        <w:t>fundamental</w:t>
      </w:r>
      <w:r w:rsidR="00CC695B" w:rsidRPr="00C12279">
        <w:rPr>
          <w:rFonts w:ascii="Times New Roman" w:hAnsi="Times New Roman" w:cs="Times New Roman"/>
          <w:sz w:val="24"/>
          <w:szCs w:val="24"/>
        </w:rPr>
        <w:t xml:space="preserve"> right as</w:t>
      </w:r>
      <w:r w:rsidR="0096464C" w:rsidRPr="00C12279">
        <w:rPr>
          <w:rFonts w:ascii="Times New Roman" w:hAnsi="Times New Roman" w:cs="Times New Roman"/>
          <w:sz w:val="24"/>
          <w:szCs w:val="24"/>
        </w:rPr>
        <w:t xml:space="preserve"> s 56 (1)</w:t>
      </w:r>
      <w:r w:rsidR="00FD4369">
        <w:rPr>
          <w:rFonts w:ascii="Times New Roman" w:hAnsi="Times New Roman" w:cs="Times New Roman"/>
          <w:sz w:val="24"/>
          <w:szCs w:val="24"/>
        </w:rPr>
        <w:t xml:space="preserve"> </w:t>
      </w:r>
      <w:r w:rsidR="00080361" w:rsidRPr="00C12279">
        <w:rPr>
          <w:rFonts w:ascii="Times New Roman" w:hAnsi="Times New Roman" w:cs="Times New Roman"/>
          <w:sz w:val="24"/>
          <w:szCs w:val="24"/>
        </w:rPr>
        <w:t>as long as it is a law of general application which is fair, reasonable, necessary and justifiable in a democratic society based on openness, justice, human dignity, equality and fr</w:t>
      </w:r>
      <w:r w:rsidR="0071603F" w:rsidRPr="00C12279">
        <w:rPr>
          <w:rFonts w:ascii="Times New Roman" w:hAnsi="Times New Roman" w:cs="Times New Roman"/>
          <w:sz w:val="24"/>
          <w:szCs w:val="24"/>
        </w:rPr>
        <w:t xml:space="preserve">eedom.  </w:t>
      </w:r>
    </w:p>
    <w:p w14:paraId="09B9E577" w14:textId="02DB6F7D" w:rsidR="00AF6518" w:rsidRPr="00C12279" w:rsidRDefault="0071603F" w:rsidP="00816CB3">
      <w:pPr>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These constitutional imperatives</w:t>
      </w:r>
      <w:r w:rsidR="00080361" w:rsidRPr="00C12279">
        <w:rPr>
          <w:rFonts w:ascii="Times New Roman" w:hAnsi="Times New Roman" w:cs="Times New Roman"/>
          <w:sz w:val="24"/>
          <w:szCs w:val="24"/>
        </w:rPr>
        <w:t xml:space="preserve"> </w:t>
      </w:r>
      <w:r w:rsidR="00FD4369">
        <w:rPr>
          <w:rFonts w:ascii="Times New Roman" w:hAnsi="Times New Roman" w:cs="Times New Roman"/>
          <w:sz w:val="24"/>
          <w:szCs w:val="24"/>
        </w:rPr>
        <w:t>are in turn measured against</w:t>
      </w:r>
      <w:r w:rsidR="00080361" w:rsidRPr="00C12279">
        <w:rPr>
          <w:rFonts w:ascii="Times New Roman" w:hAnsi="Times New Roman" w:cs="Times New Roman"/>
          <w:sz w:val="24"/>
          <w:szCs w:val="24"/>
        </w:rPr>
        <w:t xml:space="preserve"> all relevant factors including </w:t>
      </w:r>
      <w:r w:rsidR="00DA11E9" w:rsidRPr="00C12279">
        <w:rPr>
          <w:rFonts w:ascii="Times New Roman" w:hAnsi="Times New Roman" w:cs="Times New Roman"/>
          <w:sz w:val="24"/>
          <w:szCs w:val="24"/>
        </w:rPr>
        <w:t>the six that are enumerated</w:t>
      </w:r>
      <w:r w:rsidRPr="00C12279">
        <w:rPr>
          <w:rFonts w:ascii="Times New Roman" w:hAnsi="Times New Roman" w:cs="Times New Roman"/>
          <w:sz w:val="24"/>
          <w:szCs w:val="24"/>
        </w:rPr>
        <w:t xml:space="preserve"> in s 86 (2) (a) to (f)</w:t>
      </w:r>
      <w:r w:rsidR="00DA11E9" w:rsidRPr="00C12279">
        <w:rPr>
          <w:rFonts w:ascii="Times New Roman" w:hAnsi="Times New Roman" w:cs="Times New Roman"/>
          <w:sz w:val="24"/>
          <w:szCs w:val="24"/>
        </w:rPr>
        <w:t xml:space="preserve">. The submission made as to the possible infraction of s 56 (1) fails to address these factors. </w:t>
      </w:r>
      <w:r w:rsidR="009372D8" w:rsidRPr="00C12279">
        <w:rPr>
          <w:rFonts w:ascii="Times New Roman" w:hAnsi="Times New Roman" w:cs="Times New Roman"/>
          <w:sz w:val="24"/>
          <w:szCs w:val="24"/>
        </w:rPr>
        <w:t xml:space="preserve">Mr </w:t>
      </w:r>
      <w:r w:rsidR="009372D8" w:rsidRPr="00C12279">
        <w:rPr>
          <w:rFonts w:ascii="Times New Roman" w:hAnsi="Times New Roman" w:cs="Times New Roman"/>
          <w:i/>
          <w:sz w:val="24"/>
          <w:szCs w:val="24"/>
        </w:rPr>
        <w:t>de Bourbon</w:t>
      </w:r>
      <w:r w:rsidR="009372D8" w:rsidRPr="00C12279">
        <w:rPr>
          <w:rFonts w:ascii="Times New Roman" w:hAnsi="Times New Roman" w:cs="Times New Roman"/>
          <w:sz w:val="24"/>
          <w:szCs w:val="24"/>
        </w:rPr>
        <w:t xml:space="preserve"> did not attempt to address these factors in his application for</w:t>
      </w:r>
      <w:r w:rsidR="009D4D60" w:rsidRPr="00C12279">
        <w:rPr>
          <w:rFonts w:ascii="Times New Roman" w:hAnsi="Times New Roman" w:cs="Times New Roman"/>
          <w:sz w:val="24"/>
          <w:szCs w:val="24"/>
        </w:rPr>
        <w:t xml:space="preserve"> leave to introduce and rely on this ground</w:t>
      </w:r>
      <w:r w:rsidR="00CC695B" w:rsidRPr="00C12279">
        <w:rPr>
          <w:rFonts w:ascii="Times New Roman" w:hAnsi="Times New Roman" w:cs="Times New Roman"/>
          <w:sz w:val="24"/>
          <w:szCs w:val="24"/>
        </w:rPr>
        <w:t>.</w:t>
      </w:r>
      <w:r w:rsidR="009D4D60" w:rsidRPr="00C12279">
        <w:rPr>
          <w:rFonts w:ascii="Times New Roman" w:hAnsi="Times New Roman" w:cs="Times New Roman"/>
          <w:sz w:val="24"/>
          <w:szCs w:val="24"/>
        </w:rPr>
        <w:t xml:space="preserve">  He failed to show good cause for its introduction into argument.</w:t>
      </w:r>
      <w:r w:rsidR="00825501" w:rsidRPr="00C12279">
        <w:rPr>
          <w:rFonts w:ascii="Times New Roman" w:hAnsi="Times New Roman" w:cs="Times New Roman"/>
          <w:sz w:val="24"/>
          <w:szCs w:val="24"/>
        </w:rPr>
        <w:t xml:space="preserve"> </w:t>
      </w:r>
      <w:r w:rsidR="00A173DA" w:rsidRPr="00C12279">
        <w:rPr>
          <w:rFonts w:ascii="Times New Roman" w:hAnsi="Times New Roman" w:cs="Times New Roman"/>
          <w:sz w:val="24"/>
          <w:szCs w:val="24"/>
        </w:rPr>
        <w:t xml:space="preserve">He has failed to demonstrate the existence of a possible breach of the right to equality and equal protection and benefit of the law against the appellant and those taxpayers who have been excluded in the tax amnesty. </w:t>
      </w:r>
      <w:r w:rsidR="00870A3B" w:rsidRPr="00C12279">
        <w:rPr>
          <w:rFonts w:ascii="Times New Roman" w:hAnsi="Times New Roman" w:cs="Times New Roman"/>
          <w:sz w:val="24"/>
          <w:szCs w:val="24"/>
        </w:rPr>
        <w:t>It seems to me that since the Constitution itself allows for the enactment</w:t>
      </w:r>
      <w:r w:rsidR="00FD4369">
        <w:rPr>
          <w:rFonts w:ascii="Times New Roman" w:hAnsi="Times New Roman" w:cs="Times New Roman"/>
          <w:sz w:val="24"/>
          <w:szCs w:val="24"/>
        </w:rPr>
        <w:t xml:space="preserve"> of</w:t>
      </w:r>
      <w:r w:rsidR="00870A3B" w:rsidRPr="00C12279">
        <w:rPr>
          <w:rFonts w:ascii="Times New Roman" w:hAnsi="Times New Roman" w:cs="Times New Roman"/>
          <w:sz w:val="24"/>
          <w:szCs w:val="24"/>
        </w:rPr>
        <w:t xml:space="preserve"> the tax amnesty legislation, it cannot be unconstitutional for that enactment to treat taxpayers differently. Accordingly, I decline yet again to allow the introduction of the tax amnesty argument.</w:t>
      </w:r>
    </w:p>
    <w:p w14:paraId="28D7730B" w14:textId="7CD49F12" w:rsidR="007A259D" w:rsidRPr="00C12279" w:rsidRDefault="007A259D" w:rsidP="007370F3">
      <w:pPr>
        <w:autoSpaceDE w:val="0"/>
        <w:autoSpaceDN w:val="0"/>
        <w:adjustRightInd w:val="0"/>
        <w:spacing w:after="0" w:line="240" w:lineRule="auto"/>
        <w:jc w:val="both"/>
        <w:rPr>
          <w:rFonts w:ascii="Times New Roman" w:hAnsi="Times New Roman" w:cs="Times New Roman"/>
          <w:i/>
          <w:sz w:val="24"/>
          <w:szCs w:val="24"/>
        </w:rPr>
      </w:pPr>
      <w:r w:rsidRPr="00C12279">
        <w:rPr>
          <w:rFonts w:ascii="Times New Roman" w:hAnsi="Times New Roman" w:cs="Times New Roman"/>
          <w:i/>
          <w:sz w:val="24"/>
          <w:szCs w:val="24"/>
        </w:rPr>
        <w:t>Costs</w:t>
      </w:r>
    </w:p>
    <w:p w14:paraId="47BD78D5" w14:textId="77777777" w:rsidR="00C62A18" w:rsidRPr="00C12279" w:rsidRDefault="00C62A18" w:rsidP="007370F3">
      <w:pPr>
        <w:autoSpaceDE w:val="0"/>
        <w:autoSpaceDN w:val="0"/>
        <w:adjustRightInd w:val="0"/>
        <w:spacing w:after="0" w:line="240" w:lineRule="auto"/>
        <w:jc w:val="both"/>
        <w:rPr>
          <w:rFonts w:ascii="Times New Roman" w:hAnsi="Times New Roman" w:cs="Times New Roman"/>
          <w:sz w:val="24"/>
          <w:szCs w:val="24"/>
        </w:rPr>
      </w:pPr>
    </w:p>
    <w:p w14:paraId="515E9B72" w14:textId="4A326B13" w:rsidR="00515481" w:rsidRPr="00816CB3" w:rsidRDefault="00C62A18" w:rsidP="00816CB3">
      <w:pPr>
        <w:autoSpaceDE w:val="0"/>
        <w:autoSpaceDN w:val="0"/>
        <w:adjustRightInd w:val="0"/>
        <w:spacing w:after="0" w:line="360" w:lineRule="auto"/>
        <w:ind w:firstLine="720"/>
        <w:jc w:val="both"/>
        <w:rPr>
          <w:rFonts w:ascii="Times New Roman" w:hAnsi="Times New Roman" w:cs="Times New Roman"/>
          <w:sz w:val="24"/>
          <w:szCs w:val="24"/>
        </w:rPr>
      </w:pPr>
      <w:r w:rsidRPr="00C12279">
        <w:rPr>
          <w:rFonts w:ascii="Times New Roman" w:hAnsi="Times New Roman" w:cs="Times New Roman"/>
          <w:sz w:val="24"/>
          <w:szCs w:val="24"/>
        </w:rPr>
        <w:t xml:space="preserve">It seems to me that the Commissioner may very well have been justified in invoking the provisions of s 24 </w:t>
      </w:r>
      <w:r w:rsidR="00732DE3" w:rsidRPr="00C12279">
        <w:rPr>
          <w:rFonts w:ascii="Times New Roman" w:hAnsi="Times New Roman" w:cs="Times New Roman"/>
          <w:sz w:val="24"/>
          <w:szCs w:val="24"/>
        </w:rPr>
        <w:t xml:space="preserve">of the Income Tax Act </w:t>
      </w:r>
      <w:r w:rsidRPr="00C12279">
        <w:rPr>
          <w:rFonts w:ascii="Times New Roman" w:hAnsi="Times New Roman" w:cs="Times New Roman"/>
          <w:sz w:val="24"/>
          <w:szCs w:val="24"/>
        </w:rPr>
        <w:t xml:space="preserve">by the acts of commission and omission of the appellant in respect of both management fees and goods in transit at the time he did. However, in accordance with the provisions of s 65 (12) of the Income Tax Act I did not find the claim of the Commissioner unreasonable even in respect of the interest issue that the Commissioner conceded at the eleventh hour or the grounds of appeal </w:t>
      </w:r>
      <w:r w:rsidR="00732DE3" w:rsidRPr="00C12279">
        <w:rPr>
          <w:rFonts w:ascii="Times New Roman" w:hAnsi="Times New Roman" w:cs="Times New Roman"/>
          <w:sz w:val="24"/>
          <w:szCs w:val="24"/>
        </w:rPr>
        <w:t xml:space="preserve">frivolous. I </w:t>
      </w:r>
      <w:r w:rsidR="007A259D" w:rsidRPr="00C12279">
        <w:rPr>
          <w:rFonts w:ascii="Times New Roman" w:hAnsi="Times New Roman" w:cs="Times New Roman"/>
          <w:sz w:val="24"/>
          <w:szCs w:val="24"/>
        </w:rPr>
        <w:t>will therefore make no order of costs against either party other than that each party is to bear its own costs.</w:t>
      </w:r>
    </w:p>
    <w:p w14:paraId="064F9ADB" w14:textId="3D866077" w:rsidR="00C37BD2" w:rsidRPr="00C12279" w:rsidRDefault="00C37BD2" w:rsidP="007370F3">
      <w:pPr>
        <w:autoSpaceDE w:val="0"/>
        <w:autoSpaceDN w:val="0"/>
        <w:adjustRightInd w:val="0"/>
        <w:spacing w:after="0" w:line="240" w:lineRule="auto"/>
        <w:jc w:val="both"/>
        <w:rPr>
          <w:rFonts w:ascii="Times New Roman" w:hAnsi="Times New Roman" w:cs="Times New Roman"/>
          <w:i/>
          <w:sz w:val="24"/>
          <w:szCs w:val="24"/>
        </w:rPr>
      </w:pPr>
      <w:r w:rsidRPr="00C12279">
        <w:rPr>
          <w:rFonts w:ascii="Times New Roman" w:hAnsi="Times New Roman" w:cs="Times New Roman"/>
          <w:i/>
          <w:sz w:val="24"/>
          <w:szCs w:val="24"/>
        </w:rPr>
        <w:t>Disposal</w:t>
      </w:r>
    </w:p>
    <w:p w14:paraId="6E56869A" w14:textId="77777777" w:rsidR="00AF6518" w:rsidRPr="00C12279" w:rsidRDefault="00AF6518" w:rsidP="007370F3">
      <w:pPr>
        <w:autoSpaceDE w:val="0"/>
        <w:autoSpaceDN w:val="0"/>
        <w:adjustRightInd w:val="0"/>
        <w:spacing w:after="0" w:line="240" w:lineRule="auto"/>
        <w:jc w:val="both"/>
        <w:rPr>
          <w:rFonts w:ascii="Times New Roman" w:hAnsi="Times New Roman" w:cs="Times New Roman"/>
          <w:sz w:val="24"/>
          <w:szCs w:val="24"/>
        </w:rPr>
      </w:pPr>
    </w:p>
    <w:p w14:paraId="1BC62896" w14:textId="77777777" w:rsidR="007102D7" w:rsidRPr="00C12279" w:rsidRDefault="00AF6518" w:rsidP="007370F3">
      <w:pPr>
        <w:jc w:val="both"/>
        <w:rPr>
          <w:rFonts w:ascii="Times New Roman" w:hAnsi="Times New Roman" w:cs="Times New Roman"/>
          <w:sz w:val="24"/>
          <w:szCs w:val="24"/>
        </w:rPr>
      </w:pPr>
      <w:r w:rsidRPr="00C12279">
        <w:rPr>
          <w:rFonts w:ascii="Times New Roman" w:hAnsi="Times New Roman" w:cs="Times New Roman"/>
          <w:sz w:val="24"/>
          <w:szCs w:val="24"/>
        </w:rPr>
        <w:t>Accordingly, it is ordered that:</w:t>
      </w:r>
      <w:r w:rsidR="007102D7" w:rsidRPr="00C12279">
        <w:rPr>
          <w:rFonts w:ascii="Times New Roman" w:hAnsi="Times New Roman" w:cs="Times New Roman"/>
          <w:sz w:val="24"/>
          <w:szCs w:val="24"/>
        </w:rPr>
        <w:t xml:space="preserve"> </w:t>
      </w:r>
    </w:p>
    <w:p w14:paraId="131E99B6" w14:textId="77777777" w:rsidR="00361089" w:rsidRPr="00C12279" w:rsidRDefault="00361089" w:rsidP="007370F3">
      <w:pPr>
        <w:pStyle w:val="ListParagraph"/>
        <w:numPr>
          <w:ilvl w:val="0"/>
          <w:numId w:val="21"/>
        </w:numPr>
        <w:jc w:val="both"/>
        <w:rPr>
          <w:rFonts w:ascii="Times New Roman" w:hAnsi="Times New Roman" w:cs="Times New Roman"/>
          <w:sz w:val="24"/>
          <w:szCs w:val="24"/>
        </w:rPr>
      </w:pPr>
      <w:r w:rsidRPr="00C12279">
        <w:rPr>
          <w:rFonts w:ascii="Times New Roman" w:hAnsi="Times New Roman" w:cs="Times New Roman"/>
          <w:sz w:val="24"/>
          <w:szCs w:val="24"/>
        </w:rPr>
        <w:t xml:space="preserve">The amended assessments number 20211442 for the year ending 31 December 2009, 20211443 for the year ending 31 December 2010, 202211446 for the year ending 31 December 2011 and 20211448 for the year ending 31 December 2012 that were issued against the appellant by the respondent on 27 June 2014 are hereby set aside. </w:t>
      </w:r>
    </w:p>
    <w:p w14:paraId="054D0E5A" w14:textId="39CBCB4A" w:rsidR="00361089" w:rsidRPr="00C12279" w:rsidRDefault="00361089" w:rsidP="007370F3">
      <w:pPr>
        <w:pStyle w:val="ListParagraph"/>
        <w:numPr>
          <w:ilvl w:val="0"/>
          <w:numId w:val="21"/>
        </w:numPr>
        <w:jc w:val="both"/>
        <w:rPr>
          <w:rFonts w:ascii="Times New Roman" w:hAnsi="Times New Roman" w:cs="Times New Roman"/>
          <w:sz w:val="24"/>
          <w:szCs w:val="24"/>
        </w:rPr>
      </w:pPr>
      <w:r w:rsidRPr="00C12279">
        <w:rPr>
          <w:rFonts w:ascii="Times New Roman" w:hAnsi="Times New Roman" w:cs="Times New Roman"/>
          <w:sz w:val="24"/>
          <w:szCs w:val="24"/>
        </w:rPr>
        <w:t xml:space="preserve">The Commissioner is directed to issue further amended assessments  against the appellant in respect of each year of assessment  in compliance with this judgment and in doing so shall: </w:t>
      </w:r>
    </w:p>
    <w:p w14:paraId="32BE4A7E" w14:textId="5A091279" w:rsidR="00286ACB" w:rsidRPr="00C12279" w:rsidRDefault="00286ACB" w:rsidP="007370F3">
      <w:pPr>
        <w:pStyle w:val="ListParagraph"/>
        <w:numPr>
          <w:ilvl w:val="0"/>
          <w:numId w:val="22"/>
        </w:numPr>
        <w:jc w:val="both"/>
        <w:rPr>
          <w:rFonts w:ascii="Times New Roman" w:hAnsi="Times New Roman" w:cs="Times New Roman"/>
          <w:sz w:val="24"/>
          <w:szCs w:val="24"/>
        </w:rPr>
      </w:pPr>
      <w:r w:rsidRPr="00C12279">
        <w:rPr>
          <w:rFonts w:ascii="Times New Roman" w:hAnsi="Times New Roman" w:cs="Times New Roman"/>
          <w:sz w:val="24"/>
          <w:szCs w:val="24"/>
        </w:rPr>
        <w:t xml:space="preserve">Add back to income 7% interest on the cost of services rendered by the appellant for the consignment </w:t>
      </w:r>
      <w:r w:rsidR="00B80BC4" w:rsidRPr="00C12279">
        <w:rPr>
          <w:rFonts w:ascii="Times New Roman" w:hAnsi="Times New Roman" w:cs="Times New Roman"/>
          <w:sz w:val="24"/>
          <w:szCs w:val="24"/>
        </w:rPr>
        <w:t xml:space="preserve">stock </w:t>
      </w:r>
      <w:r w:rsidRPr="00C12279">
        <w:rPr>
          <w:rFonts w:ascii="Times New Roman" w:hAnsi="Times New Roman" w:cs="Times New Roman"/>
          <w:sz w:val="24"/>
          <w:szCs w:val="24"/>
        </w:rPr>
        <w:t>in transit to Zambia, Mal</w:t>
      </w:r>
      <w:r w:rsidR="00B80BC4" w:rsidRPr="00C12279">
        <w:rPr>
          <w:rFonts w:ascii="Times New Roman" w:hAnsi="Times New Roman" w:cs="Times New Roman"/>
          <w:sz w:val="24"/>
          <w:szCs w:val="24"/>
        </w:rPr>
        <w:t>awi and Tanzania</w:t>
      </w:r>
      <w:r w:rsidR="00D3024B" w:rsidRPr="00C12279">
        <w:rPr>
          <w:rFonts w:ascii="Times New Roman" w:hAnsi="Times New Roman" w:cs="Times New Roman"/>
          <w:sz w:val="24"/>
          <w:szCs w:val="24"/>
        </w:rPr>
        <w:t xml:space="preserve"> in the sum of US$2 240 for 2009, US$ 2 505.87 for 2010, US$ 2 198.13 for 2011 and US$3 273.20 for 2012</w:t>
      </w:r>
      <w:r w:rsidR="00B51084" w:rsidRPr="00C12279">
        <w:rPr>
          <w:rFonts w:ascii="Times New Roman" w:hAnsi="Times New Roman" w:cs="Times New Roman"/>
          <w:sz w:val="24"/>
          <w:szCs w:val="24"/>
        </w:rPr>
        <w:t xml:space="preserve"> tax years, respectively</w:t>
      </w:r>
      <w:r w:rsidRPr="00C12279">
        <w:rPr>
          <w:rFonts w:ascii="Times New Roman" w:hAnsi="Times New Roman" w:cs="Times New Roman"/>
          <w:sz w:val="24"/>
          <w:szCs w:val="24"/>
        </w:rPr>
        <w:t>.</w:t>
      </w:r>
    </w:p>
    <w:p w14:paraId="1E461804" w14:textId="76E80851" w:rsidR="00361089" w:rsidRPr="00C12279" w:rsidRDefault="00C41A0C" w:rsidP="007370F3">
      <w:pPr>
        <w:pStyle w:val="ListParagraph"/>
        <w:numPr>
          <w:ilvl w:val="0"/>
          <w:numId w:val="22"/>
        </w:numPr>
        <w:jc w:val="both"/>
        <w:rPr>
          <w:rFonts w:ascii="Times New Roman" w:hAnsi="Times New Roman" w:cs="Times New Roman"/>
          <w:sz w:val="24"/>
          <w:szCs w:val="24"/>
        </w:rPr>
      </w:pPr>
      <w:r w:rsidRPr="00C12279">
        <w:rPr>
          <w:rFonts w:ascii="Times New Roman" w:hAnsi="Times New Roman" w:cs="Times New Roman"/>
          <w:sz w:val="24"/>
          <w:szCs w:val="24"/>
        </w:rPr>
        <w:lastRenderedPageBreak/>
        <w:t>Add</w:t>
      </w:r>
      <w:r w:rsidR="00361089" w:rsidRPr="00C12279">
        <w:rPr>
          <w:rFonts w:ascii="Times New Roman" w:hAnsi="Times New Roman" w:cs="Times New Roman"/>
          <w:sz w:val="24"/>
          <w:szCs w:val="24"/>
        </w:rPr>
        <w:t xml:space="preserve"> back to income management fees that were deducted by the appellant in each year</w:t>
      </w:r>
      <w:r w:rsidRPr="00C12279">
        <w:rPr>
          <w:rFonts w:ascii="Times New Roman" w:hAnsi="Times New Roman" w:cs="Times New Roman"/>
          <w:sz w:val="24"/>
          <w:szCs w:val="24"/>
        </w:rPr>
        <w:t xml:space="preserve"> in the</w:t>
      </w:r>
      <w:r w:rsidR="00B51084" w:rsidRPr="00C12279">
        <w:rPr>
          <w:rFonts w:ascii="Times New Roman" w:hAnsi="Times New Roman" w:cs="Times New Roman"/>
          <w:sz w:val="24"/>
          <w:szCs w:val="24"/>
        </w:rPr>
        <w:t xml:space="preserve"> sum of US$130 000 for 2009, US$140 000 for 2010, US$ 256 629 for 2011 and US$ 140 000 for</w:t>
      </w:r>
      <w:r w:rsidRPr="00C12279">
        <w:rPr>
          <w:rFonts w:ascii="Times New Roman" w:hAnsi="Times New Roman" w:cs="Times New Roman"/>
          <w:sz w:val="24"/>
          <w:szCs w:val="24"/>
        </w:rPr>
        <w:t xml:space="preserve"> 2012</w:t>
      </w:r>
      <w:r w:rsidR="00B51084" w:rsidRPr="00C12279">
        <w:rPr>
          <w:rFonts w:ascii="Times New Roman" w:hAnsi="Times New Roman" w:cs="Times New Roman"/>
          <w:sz w:val="24"/>
          <w:szCs w:val="24"/>
        </w:rPr>
        <w:t xml:space="preserve"> tax year, respectively</w:t>
      </w:r>
      <w:r w:rsidRPr="00C12279">
        <w:rPr>
          <w:rFonts w:ascii="Times New Roman" w:hAnsi="Times New Roman" w:cs="Times New Roman"/>
          <w:sz w:val="24"/>
          <w:szCs w:val="24"/>
        </w:rPr>
        <w:t>.</w:t>
      </w:r>
    </w:p>
    <w:p w14:paraId="5A42A874" w14:textId="0B5F9871" w:rsidR="00361089" w:rsidRPr="00C12279" w:rsidRDefault="00B80BC4" w:rsidP="007370F3">
      <w:pPr>
        <w:pStyle w:val="ListParagraph"/>
        <w:numPr>
          <w:ilvl w:val="0"/>
          <w:numId w:val="22"/>
        </w:numPr>
        <w:jc w:val="both"/>
        <w:rPr>
          <w:rFonts w:ascii="Times New Roman" w:hAnsi="Times New Roman" w:cs="Times New Roman"/>
          <w:sz w:val="24"/>
          <w:szCs w:val="24"/>
        </w:rPr>
      </w:pPr>
      <w:r w:rsidRPr="00C12279">
        <w:rPr>
          <w:rFonts w:ascii="Times New Roman" w:hAnsi="Times New Roman" w:cs="Times New Roman"/>
          <w:sz w:val="24"/>
          <w:szCs w:val="24"/>
        </w:rPr>
        <w:t xml:space="preserve">Bring </w:t>
      </w:r>
      <w:r w:rsidR="00361089" w:rsidRPr="00C12279">
        <w:rPr>
          <w:rFonts w:ascii="Times New Roman" w:hAnsi="Times New Roman" w:cs="Times New Roman"/>
          <w:sz w:val="24"/>
          <w:szCs w:val="24"/>
        </w:rPr>
        <w:t xml:space="preserve">to income </w:t>
      </w:r>
      <w:r w:rsidRPr="00C12279">
        <w:rPr>
          <w:rFonts w:ascii="Times New Roman" w:hAnsi="Times New Roman" w:cs="Times New Roman"/>
          <w:sz w:val="24"/>
          <w:szCs w:val="24"/>
        </w:rPr>
        <w:t>the</w:t>
      </w:r>
      <w:r w:rsidR="00DA7FE0">
        <w:rPr>
          <w:rFonts w:ascii="Times New Roman" w:hAnsi="Times New Roman" w:cs="Times New Roman"/>
          <w:sz w:val="24"/>
          <w:szCs w:val="24"/>
        </w:rPr>
        <w:t xml:space="preserve"> provisions for leave pay</w:t>
      </w:r>
      <w:r w:rsidRPr="00C12279">
        <w:rPr>
          <w:rFonts w:ascii="Times New Roman" w:hAnsi="Times New Roman" w:cs="Times New Roman"/>
          <w:sz w:val="24"/>
          <w:szCs w:val="24"/>
        </w:rPr>
        <w:t xml:space="preserve"> </w:t>
      </w:r>
      <w:r w:rsidR="00010DBD">
        <w:rPr>
          <w:rFonts w:ascii="Times New Roman" w:hAnsi="Times New Roman" w:cs="Times New Roman"/>
          <w:sz w:val="24"/>
          <w:szCs w:val="24"/>
        </w:rPr>
        <w:t xml:space="preserve">in the </w:t>
      </w:r>
      <w:r w:rsidRPr="00C12279">
        <w:rPr>
          <w:rFonts w:ascii="Times New Roman" w:hAnsi="Times New Roman" w:cs="Times New Roman"/>
          <w:sz w:val="24"/>
          <w:szCs w:val="24"/>
        </w:rPr>
        <w:t xml:space="preserve">sum of US$10 </w:t>
      </w:r>
      <w:r w:rsidR="00B51084" w:rsidRPr="00C12279">
        <w:rPr>
          <w:rFonts w:ascii="Times New Roman" w:hAnsi="Times New Roman" w:cs="Times New Roman"/>
          <w:sz w:val="24"/>
          <w:szCs w:val="24"/>
        </w:rPr>
        <w:t>000 for 2009, US$ 9 960 for</w:t>
      </w:r>
      <w:r w:rsidRPr="00C12279">
        <w:rPr>
          <w:rFonts w:ascii="Times New Roman" w:hAnsi="Times New Roman" w:cs="Times New Roman"/>
          <w:sz w:val="24"/>
          <w:szCs w:val="24"/>
        </w:rPr>
        <w:t xml:space="preserve"> 2010</w:t>
      </w:r>
      <w:r w:rsidR="00B51084" w:rsidRPr="00C12279">
        <w:rPr>
          <w:rFonts w:ascii="Times New Roman" w:hAnsi="Times New Roman" w:cs="Times New Roman"/>
          <w:sz w:val="24"/>
          <w:szCs w:val="24"/>
        </w:rPr>
        <w:t>, US$2 049 for 2011 and US$ 491 for</w:t>
      </w:r>
      <w:r w:rsidRPr="00C12279">
        <w:rPr>
          <w:rFonts w:ascii="Times New Roman" w:hAnsi="Times New Roman" w:cs="Times New Roman"/>
          <w:sz w:val="24"/>
          <w:szCs w:val="24"/>
        </w:rPr>
        <w:t xml:space="preserve"> 2012 tax year. </w:t>
      </w:r>
    </w:p>
    <w:p w14:paraId="386E8732" w14:textId="77777777" w:rsidR="00B51084" w:rsidRPr="00C12279" w:rsidRDefault="00B80BC4" w:rsidP="007370F3">
      <w:pPr>
        <w:pStyle w:val="ListParagraph"/>
        <w:numPr>
          <w:ilvl w:val="0"/>
          <w:numId w:val="22"/>
        </w:numPr>
        <w:jc w:val="both"/>
        <w:rPr>
          <w:rFonts w:ascii="Times New Roman" w:hAnsi="Times New Roman" w:cs="Times New Roman"/>
          <w:sz w:val="24"/>
          <w:szCs w:val="24"/>
        </w:rPr>
      </w:pPr>
      <w:r w:rsidRPr="00C12279">
        <w:rPr>
          <w:rFonts w:ascii="Times New Roman" w:hAnsi="Times New Roman" w:cs="Times New Roman"/>
          <w:sz w:val="24"/>
          <w:szCs w:val="24"/>
        </w:rPr>
        <w:t>Bring to income provisions for audit fees in the sum of US$ 10 199.17</w:t>
      </w:r>
      <w:r w:rsidR="00B51084" w:rsidRPr="00C12279">
        <w:rPr>
          <w:rFonts w:ascii="Times New Roman" w:hAnsi="Times New Roman" w:cs="Times New Roman"/>
          <w:sz w:val="24"/>
          <w:szCs w:val="24"/>
        </w:rPr>
        <w:t xml:space="preserve"> for 2009, US$12 372 for</w:t>
      </w:r>
      <w:r w:rsidRPr="00C12279">
        <w:rPr>
          <w:rFonts w:ascii="Times New Roman" w:hAnsi="Times New Roman" w:cs="Times New Roman"/>
          <w:sz w:val="24"/>
          <w:szCs w:val="24"/>
        </w:rPr>
        <w:t xml:space="preserve"> 2010</w:t>
      </w:r>
      <w:r w:rsidR="00B51084" w:rsidRPr="00C12279">
        <w:rPr>
          <w:rFonts w:ascii="Times New Roman" w:hAnsi="Times New Roman" w:cs="Times New Roman"/>
          <w:sz w:val="24"/>
          <w:szCs w:val="24"/>
        </w:rPr>
        <w:t xml:space="preserve">, US$10 575 for 2011 and US$ 1 260 for the 2012 tax year, respectively. </w:t>
      </w:r>
      <w:r w:rsidRPr="00C12279">
        <w:rPr>
          <w:rFonts w:ascii="Times New Roman" w:hAnsi="Times New Roman" w:cs="Times New Roman"/>
          <w:sz w:val="24"/>
          <w:szCs w:val="24"/>
        </w:rPr>
        <w:t xml:space="preserve"> </w:t>
      </w:r>
    </w:p>
    <w:p w14:paraId="4CAFB383" w14:textId="37ABB30F" w:rsidR="00361089" w:rsidRPr="00C12279" w:rsidRDefault="00361089" w:rsidP="007370F3">
      <w:pPr>
        <w:pStyle w:val="ListParagraph"/>
        <w:numPr>
          <w:ilvl w:val="0"/>
          <w:numId w:val="22"/>
        </w:numPr>
        <w:jc w:val="both"/>
        <w:rPr>
          <w:rFonts w:ascii="Times New Roman" w:hAnsi="Times New Roman" w:cs="Times New Roman"/>
          <w:sz w:val="24"/>
          <w:szCs w:val="24"/>
        </w:rPr>
      </w:pPr>
      <w:r w:rsidRPr="00C12279">
        <w:rPr>
          <w:rFonts w:ascii="Times New Roman" w:hAnsi="Times New Roman" w:cs="Times New Roman"/>
          <w:sz w:val="24"/>
          <w:szCs w:val="24"/>
        </w:rPr>
        <w:t xml:space="preserve">Discharge </w:t>
      </w:r>
      <w:r w:rsidR="00B51084" w:rsidRPr="00C12279">
        <w:rPr>
          <w:rFonts w:ascii="Times New Roman" w:hAnsi="Times New Roman" w:cs="Times New Roman"/>
          <w:sz w:val="24"/>
          <w:szCs w:val="24"/>
        </w:rPr>
        <w:t xml:space="preserve">the </w:t>
      </w:r>
      <w:r w:rsidRPr="00C12279">
        <w:rPr>
          <w:rFonts w:ascii="Times New Roman" w:hAnsi="Times New Roman" w:cs="Times New Roman"/>
          <w:sz w:val="24"/>
          <w:szCs w:val="24"/>
        </w:rPr>
        <w:t xml:space="preserve">notional interest </w:t>
      </w:r>
      <w:r w:rsidR="00B51084" w:rsidRPr="00C12279">
        <w:rPr>
          <w:rFonts w:ascii="Times New Roman" w:hAnsi="Times New Roman" w:cs="Times New Roman"/>
          <w:sz w:val="24"/>
          <w:szCs w:val="24"/>
        </w:rPr>
        <w:t xml:space="preserve">he sought to impose </w:t>
      </w:r>
      <w:r w:rsidRPr="00C12279">
        <w:rPr>
          <w:rFonts w:ascii="Times New Roman" w:hAnsi="Times New Roman" w:cs="Times New Roman"/>
          <w:sz w:val="24"/>
          <w:szCs w:val="24"/>
        </w:rPr>
        <w:t xml:space="preserve">on loans and advances </w:t>
      </w:r>
      <w:r w:rsidR="0044561A" w:rsidRPr="00C12279">
        <w:rPr>
          <w:rFonts w:ascii="Times New Roman" w:hAnsi="Times New Roman" w:cs="Times New Roman"/>
          <w:sz w:val="24"/>
          <w:szCs w:val="24"/>
        </w:rPr>
        <w:t>made to ADI and GS,</w:t>
      </w:r>
      <w:r w:rsidR="00B51084" w:rsidRPr="00C12279">
        <w:rPr>
          <w:rFonts w:ascii="Times New Roman" w:hAnsi="Times New Roman" w:cs="Times New Roman"/>
          <w:sz w:val="24"/>
          <w:szCs w:val="24"/>
        </w:rPr>
        <w:t xml:space="preserve"> </w:t>
      </w:r>
      <w:r w:rsidR="0044561A" w:rsidRPr="00C12279">
        <w:rPr>
          <w:rFonts w:ascii="Times New Roman" w:hAnsi="Times New Roman" w:cs="Times New Roman"/>
          <w:sz w:val="24"/>
          <w:szCs w:val="24"/>
        </w:rPr>
        <w:t>respectively</w:t>
      </w:r>
      <w:r w:rsidR="00B51084" w:rsidRPr="00C12279">
        <w:rPr>
          <w:rFonts w:ascii="Times New Roman" w:hAnsi="Times New Roman" w:cs="Times New Roman"/>
          <w:sz w:val="24"/>
          <w:szCs w:val="24"/>
        </w:rPr>
        <w:t>.</w:t>
      </w:r>
    </w:p>
    <w:p w14:paraId="0B9D6CAD" w14:textId="6F61B890" w:rsidR="00F854DE" w:rsidRPr="00C12279" w:rsidRDefault="00F854DE" w:rsidP="007370F3">
      <w:pPr>
        <w:pStyle w:val="ListParagraph"/>
        <w:numPr>
          <w:ilvl w:val="0"/>
          <w:numId w:val="21"/>
        </w:numPr>
        <w:jc w:val="both"/>
        <w:rPr>
          <w:rFonts w:ascii="Times New Roman" w:hAnsi="Times New Roman" w:cs="Times New Roman"/>
          <w:sz w:val="24"/>
          <w:szCs w:val="24"/>
        </w:rPr>
      </w:pPr>
      <w:r w:rsidRPr="00C12279">
        <w:rPr>
          <w:rFonts w:ascii="Times New Roman" w:hAnsi="Times New Roman" w:cs="Times New Roman"/>
          <w:sz w:val="24"/>
          <w:szCs w:val="24"/>
        </w:rPr>
        <w:t>The appellant is to pay 100% additional tax on management fees,</w:t>
      </w:r>
    </w:p>
    <w:p w14:paraId="211CF7F8" w14:textId="7FF3B1D5" w:rsidR="00F854DE" w:rsidRPr="00C12279" w:rsidRDefault="00F854DE" w:rsidP="007370F3">
      <w:pPr>
        <w:pStyle w:val="ListParagraph"/>
        <w:numPr>
          <w:ilvl w:val="0"/>
          <w:numId w:val="21"/>
        </w:numPr>
        <w:jc w:val="both"/>
        <w:rPr>
          <w:rFonts w:ascii="Times New Roman" w:hAnsi="Times New Roman" w:cs="Times New Roman"/>
          <w:sz w:val="24"/>
          <w:szCs w:val="24"/>
        </w:rPr>
      </w:pPr>
      <w:r w:rsidRPr="00C12279">
        <w:rPr>
          <w:rFonts w:ascii="Times New Roman" w:hAnsi="Times New Roman" w:cs="Times New Roman"/>
          <w:sz w:val="24"/>
          <w:szCs w:val="24"/>
        </w:rPr>
        <w:t xml:space="preserve">The </w:t>
      </w:r>
      <w:r w:rsidR="00A168BD" w:rsidRPr="00C12279">
        <w:rPr>
          <w:rFonts w:ascii="Times New Roman" w:hAnsi="Times New Roman" w:cs="Times New Roman"/>
          <w:sz w:val="24"/>
          <w:szCs w:val="24"/>
        </w:rPr>
        <w:t>appellant shall pay additional penalties of 10% in respect of leave pay and audit fee provisions</w:t>
      </w:r>
      <w:r w:rsidR="00DA7FE0">
        <w:rPr>
          <w:rFonts w:ascii="Times New Roman" w:hAnsi="Times New Roman" w:cs="Times New Roman"/>
          <w:sz w:val="24"/>
          <w:szCs w:val="24"/>
        </w:rPr>
        <w:t xml:space="preserve">. </w:t>
      </w:r>
      <w:r w:rsidR="00A168BD" w:rsidRPr="00C12279">
        <w:rPr>
          <w:rFonts w:ascii="Times New Roman" w:hAnsi="Times New Roman" w:cs="Times New Roman"/>
          <w:sz w:val="24"/>
          <w:szCs w:val="24"/>
        </w:rPr>
        <w:t xml:space="preserve"> </w:t>
      </w:r>
    </w:p>
    <w:p w14:paraId="556184A7" w14:textId="77777777" w:rsidR="00361089" w:rsidRPr="00C12279" w:rsidRDefault="00361089" w:rsidP="007370F3">
      <w:pPr>
        <w:pStyle w:val="ListParagraph"/>
        <w:numPr>
          <w:ilvl w:val="0"/>
          <w:numId w:val="21"/>
        </w:numPr>
        <w:jc w:val="both"/>
        <w:rPr>
          <w:rFonts w:ascii="Times New Roman" w:hAnsi="Times New Roman" w:cs="Times New Roman"/>
          <w:sz w:val="24"/>
          <w:szCs w:val="24"/>
        </w:rPr>
      </w:pPr>
      <w:r w:rsidRPr="00C12279">
        <w:rPr>
          <w:rFonts w:ascii="Times New Roman" w:hAnsi="Times New Roman" w:cs="Times New Roman"/>
          <w:sz w:val="24"/>
          <w:szCs w:val="24"/>
        </w:rPr>
        <w:t>The tax amnesty application is dismissed.</w:t>
      </w:r>
    </w:p>
    <w:p w14:paraId="1D54F7D0" w14:textId="77777777" w:rsidR="00361089" w:rsidRPr="00C12279" w:rsidRDefault="00361089" w:rsidP="007370F3">
      <w:pPr>
        <w:pStyle w:val="ListParagraph"/>
        <w:numPr>
          <w:ilvl w:val="0"/>
          <w:numId w:val="21"/>
        </w:numPr>
        <w:jc w:val="both"/>
        <w:rPr>
          <w:rFonts w:ascii="Times New Roman" w:hAnsi="Times New Roman" w:cs="Times New Roman"/>
          <w:sz w:val="24"/>
          <w:szCs w:val="24"/>
        </w:rPr>
      </w:pPr>
      <w:r w:rsidRPr="00C12279">
        <w:rPr>
          <w:rFonts w:ascii="Times New Roman" w:hAnsi="Times New Roman" w:cs="Times New Roman"/>
          <w:sz w:val="24"/>
          <w:szCs w:val="24"/>
        </w:rPr>
        <w:t xml:space="preserve">Each party shall bear its own costs. </w:t>
      </w:r>
    </w:p>
    <w:p w14:paraId="672F8866" w14:textId="193E3118" w:rsidR="00C37BD2" w:rsidRPr="00C12279" w:rsidRDefault="00C37BD2" w:rsidP="007370F3">
      <w:pPr>
        <w:autoSpaceDE w:val="0"/>
        <w:autoSpaceDN w:val="0"/>
        <w:adjustRightInd w:val="0"/>
        <w:spacing w:after="0" w:line="240" w:lineRule="auto"/>
        <w:jc w:val="both"/>
        <w:rPr>
          <w:rFonts w:ascii="Times New Roman" w:hAnsi="Times New Roman" w:cs="Times New Roman"/>
          <w:sz w:val="24"/>
          <w:szCs w:val="24"/>
        </w:rPr>
      </w:pPr>
    </w:p>
    <w:p w14:paraId="31F18313" w14:textId="77777777" w:rsidR="00AF6518" w:rsidRPr="00C12279" w:rsidRDefault="00AF6518" w:rsidP="007370F3">
      <w:pPr>
        <w:autoSpaceDE w:val="0"/>
        <w:autoSpaceDN w:val="0"/>
        <w:adjustRightInd w:val="0"/>
        <w:spacing w:after="0" w:line="240" w:lineRule="auto"/>
        <w:jc w:val="both"/>
        <w:rPr>
          <w:rFonts w:ascii="Times New Roman" w:hAnsi="Times New Roman" w:cs="Times New Roman"/>
          <w:sz w:val="24"/>
          <w:szCs w:val="24"/>
        </w:rPr>
      </w:pPr>
    </w:p>
    <w:p w14:paraId="21EF104A" w14:textId="77777777" w:rsidR="00C37BD2" w:rsidRPr="00C12279" w:rsidRDefault="00C37BD2" w:rsidP="007370F3">
      <w:pPr>
        <w:autoSpaceDE w:val="0"/>
        <w:autoSpaceDN w:val="0"/>
        <w:adjustRightInd w:val="0"/>
        <w:spacing w:after="0" w:line="240" w:lineRule="auto"/>
        <w:jc w:val="both"/>
        <w:rPr>
          <w:rFonts w:ascii="Times New Roman" w:hAnsi="Times New Roman" w:cs="Times New Roman"/>
          <w:sz w:val="24"/>
          <w:szCs w:val="24"/>
        </w:rPr>
      </w:pPr>
    </w:p>
    <w:p w14:paraId="4330DCC0" w14:textId="2D2EBA73" w:rsidR="00AB04B6" w:rsidRPr="00C12279" w:rsidRDefault="00C37BD2" w:rsidP="007370F3">
      <w:pPr>
        <w:spacing w:after="280" w:line="360" w:lineRule="auto"/>
        <w:jc w:val="both"/>
        <w:rPr>
          <w:rFonts w:ascii="Times New Roman" w:eastAsia="Times New Roman" w:hAnsi="Times New Roman" w:cs="Times New Roman"/>
          <w:bCs/>
          <w:color w:val="000000"/>
          <w:sz w:val="24"/>
          <w:szCs w:val="24"/>
          <w:lang w:eastAsia="en-ZW"/>
        </w:rPr>
      </w:pPr>
      <w:r w:rsidRPr="00C12279">
        <w:rPr>
          <w:rFonts w:ascii="Times New Roman" w:hAnsi="Times New Roman" w:cs="Times New Roman"/>
          <w:i/>
          <w:sz w:val="24"/>
          <w:szCs w:val="24"/>
        </w:rPr>
        <w:t>Gill, Godlonton and Gerrans, the appellant’s legal practitioners</w:t>
      </w:r>
    </w:p>
    <w:p w14:paraId="20CCDBF7" w14:textId="77777777" w:rsidR="00F21237" w:rsidRPr="00C12279" w:rsidRDefault="00F21237" w:rsidP="007370F3">
      <w:pPr>
        <w:jc w:val="both"/>
        <w:rPr>
          <w:rFonts w:ascii="Times New Roman" w:hAnsi="Times New Roman" w:cs="Times New Roman"/>
          <w:sz w:val="24"/>
          <w:szCs w:val="24"/>
        </w:rPr>
      </w:pPr>
    </w:p>
    <w:p w14:paraId="0FFD0312" w14:textId="4A499AAC" w:rsidR="0064422C" w:rsidRPr="00C12279" w:rsidRDefault="0064422C" w:rsidP="00C062B2">
      <w:pPr>
        <w:jc w:val="both"/>
        <w:rPr>
          <w:rFonts w:ascii="Times New Roman" w:hAnsi="Times New Roman" w:cs="Times New Roman"/>
          <w:i/>
          <w:sz w:val="24"/>
          <w:szCs w:val="24"/>
        </w:rPr>
      </w:pPr>
    </w:p>
    <w:sectPr w:rsidR="0064422C" w:rsidRPr="00C1227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0CFB2" w14:textId="77777777" w:rsidR="006A32C3" w:rsidRDefault="006A32C3" w:rsidP="00280D3E">
      <w:pPr>
        <w:spacing w:after="0" w:line="240" w:lineRule="auto"/>
      </w:pPr>
      <w:r>
        <w:separator/>
      </w:r>
    </w:p>
  </w:endnote>
  <w:endnote w:type="continuationSeparator" w:id="0">
    <w:p w14:paraId="2F78F82D" w14:textId="77777777" w:rsidR="006A32C3" w:rsidRDefault="006A32C3" w:rsidP="0028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74BA2" w14:textId="77777777" w:rsidR="006A32C3" w:rsidRDefault="006A32C3" w:rsidP="00280D3E">
      <w:pPr>
        <w:spacing w:after="0" w:line="240" w:lineRule="auto"/>
      </w:pPr>
      <w:r>
        <w:separator/>
      </w:r>
    </w:p>
  </w:footnote>
  <w:footnote w:type="continuationSeparator" w:id="0">
    <w:p w14:paraId="293D3C66" w14:textId="77777777" w:rsidR="006A32C3" w:rsidRDefault="006A32C3" w:rsidP="00280D3E">
      <w:pPr>
        <w:spacing w:after="0" w:line="240" w:lineRule="auto"/>
      </w:pPr>
      <w:r>
        <w:continuationSeparator/>
      </w:r>
    </w:p>
  </w:footnote>
  <w:footnote w:id="1">
    <w:p w14:paraId="3F84B5A8" w14:textId="71515777" w:rsidR="005B3DFB" w:rsidRDefault="005B3DFB">
      <w:pPr>
        <w:pStyle w:val="FootnoteText"/>
      </w:pPr>
      <w:r>
        <w:rPr>
          <w:rStyle w:val="FootnoteReference"/>
        </w:rPr>
        <w:footnoteRef/>
      </w:r>
      <w:r>
        <w:t xml:space="preserve"> Pp1-4 of r 11 documents and pp 73-76 in exh 4</w:t>
      </w:r>
    </w:p>
  </w:footnote>
  <w:footnote w:id="2">
    <w:p w14:paraId="6139C4A6" w14:textId="77777777" w:rsidR="005B3DFB" w:rsidRDefault="005B3DFB">
      <w:pPr>
        <w:pStyle w:val="FootnoteText"/>
      </w:pPr>
      <w:r>
        <w:rPr>
          <w:rStyle w:val="FootnoteReference"/>
        </w:rPr>
        <w:footnoteRef/>
      </w:r>
      <w:r>
        <w:t xml:space="preserve"> Pp42 and 43 of exh 2</w:t>
      </w:r>
    </w:p>
  </w:footnote>
  <w:footnote w:id="3">
    <w:p w14:paraId="0039ED40" w14:textId="22DED919" w:rsidR="005B3DFB" w:rsidRDefault="005B3DFB" w:rsidP="000276A1">
      <w:pPr>
        <w:pStyle w:val="FootnoteText"/>
      </w:pPr>
      <w:r>
        <w:rPr>
          <w:rStyle w:val="FootnoteReference"/>
        </w:rPr>
        <w:footnoteRef/>
      </w:r>
      <w:r>
        <w:t xml:space="preserve"> P26 of Commissioner’s case and p15 of exh 4 conclusion to letter of 30 May 2012</w:t>
      </w:r>
    </w:p>
  </w:footnote>
  <w:footnote w:id="4">
    <w:p w14:paraId="64561540" w14:textId="3B0FEBBC" w:rsidR="005B3DFB" w:rsidRDefault="005B3DFB">
      <w:pPr>
        <w:pStyle w:val="FootnoteText"/>
      </w:pPr>
      <w:r>
        <w:rPr>
          <w:rStyle w:val="FootnoteReference"/>
        </w:rPr>
        <w:footnoteRef/>
      </w:r>
      <w:r>
        <w:t xml:space="preserve"> P13, 35, 52, 58, 82 and 89 in the 2009 to 2012 financial statements in exh 1</w:t>
      </w:r>
    </w:p>
  </w:footnote>
  <w:footnote w:id="5">
    <w:p w14:paraId="494F54AA" w14:textId="77777777" w:rsidR="005B3DFB" w:rsidRDefault="005B3DFB">
      <w:pPr>
        <w:pStyle w:val="FootnoteText"/>
      </w:pPr>
      <w:r>
        <w:rPr>
          <w:rStyle w:val="FootnoteReference"/>
        </w:rPr>
        <w:footnoteRef/>
      </w:r>
      <w:r>
        <w:t xml:space="preserve"> Pp3-56 of 3xh 3</w:t>
      </w:r>
    </w:p>
  </w:footnote>
  <w:footnote w:id="6">
    <w:p w14:paraId="036FE23E" w14:textId="77777777" w:rsidR="005B3DFB" w:rsidRDefault="005B3DFB" w:rsidP="00876F2A">
      <w:pPr>
        <w:pStyle w:val="FootnoteText"/>
      </w:pPr>
      <w:r>
        <w:rPr>
          <w:rStyle w:val="FootnoteReference"/>
        </w:rPr>
        <w:footnoteRef/>
      </w:r>
      <w:r>
        <w:t xml:space="preserve"> Article 41-1  p 45 of exh 3</w:t>
      </w:r>
    </w:p>
  </w:footnote>
  <w:footnote w:id="7">
    <w:p w14:paraId="76471646" w14:textId="77777777" w:rsidR="005B3DFB" w:rsidRDefault="005B3DFB">
      <w:pPr>
        <w:pStyle w:val="FootnoteText"/>
      </w:pPr>
      <w:r>
        <w:rPr>
          <w:rStyle w:val="FootnoteReference"/>
        </w:rPr>
        <w:footnoteRef/>
      </w:r>
      <w:r>
        <w:t xml:space="preserve"> Pp11-14 of exh 3</w:t>
      </w:r>
    </w:p>
  </w:footnote>
  <w:footnote w:id="8">
    <w:p w14:paraId="2A98FC09" w14:textId="4A09AF13" w:rsidR="005B3DFB" w:rsidRDefault="005B3DFB" w:rsidP="008E7EF0">
      <w:pPr>
        <w:pStyle w:val="FootnoteText"/>
      </w:pPr>
      <w:r>
        <w:rPr>
          <w:rStyle w:val="FootnoteReference"/>
        </w:rPr>
        <w:footnoteRef/>
      </w:r>
      <w:r>
        <w:t xml:space="preserve"> P 16 Article 10 and 11 of exh 3 </w:t>
      </w:r>
    </w:p>
  </w:footnote>
  <w:footnote w:id="9">
    <w:p w14:paraId="300AE177" w14:textId="77777777" w:rsidR="005B3DFB" w:rsidRDefault="005B3DFB">
      <w:pPr>
        <w:pStyle w:val="FootnoteText"/>
      </w:pPr>
      <w:r>
        <w:rPr>
          <w:rStyle w:val="FootnoteReference"/>
        </w:rPr>
        <w:footnoteRef/>
      </w:r>
      <w:r>
        <w:t xml:space="preserve"> P57-58 of exh 3</w:t>
      </w:r>
    </w:p>
  </w:footnote>
  <w:footnote w:id="10">
    <w:p w14:paraId="2C785ECF" w14:textId="77777777" w:rsidR="005B3DFB" w:rsidRDefault="005B3DFB" w:rsidP="008303B5">
      <w:pPr>
        <w:pStyle w:val="FootnoteText"/>
      </w:pPr>
      <w:r>
        <w:rPr>
          <w:rStyle w:val="FootnoteReference"/>
        </w:rPr>
        <w:footnoteRef/>
      </w:r>
      <w:r>
        <w:t xml:space="preserve"> Para 10 on p 2 of the appellant’s case</w:t>
      </w:r>
    </w:p>
  </w:footnote>
  <w:footnote w:id="11">
    <w:p w14:paraId="20D9F71B" w14:textId="77777777" w:rsidR="005B3DFB" w:rsidRDefault="005B3DFB" w:rsidP="00CE47F7">
      <w:pPr>
        <w:pStyle w:val="FootnoteText"/>
      </w:pPr>
      <w:r>
        <w:rPr>
          <w:rStyle w:val="FootnoteReference"/>
        </w:rPr>
        <w:footnoteRef/>
      </w:r>
      <w:r>
        <w:t xml:space="preserve"> Pp64-92 of exh 3 replicated odd numbered pages only on pp 56-70 of exh 2</w:t>
      </w:r>
    </w:p>
  </w:footnote>
  <w:footnote w:id="12">
    <w:p w14:paraId="64E97A5B" w14:textId="77777777" w:rsidR="005B3DFB" w:rsidRDefault="005B3DFB">
      <w:pPr>
        <w:pStyle w:val="FootnoteText"/>
      </w:pPr>
      <w:r>
        <w:rPr>
          <w:rStyle w:val="FootnoteReference"/>
        </w:rPr>
        <w:footnoteRef/>
      </w:r>
      <w:r>
        <w:t xml:space="preserve"> P83 0f exh 3</w:t>
      </w:r>
    </w:p>
  </w:footnote>
  <w:footnote w:id="13">
    <w:p w14:paraId="6C07F40F" w14:textId="77777777" w:rsidR="005B3DFB" w:rsidRDefault="005B3DFB">
      <w:pPr>
        <w:pStyle w:val="FootnoteText"/>
      </w:pPr>
      <w:r>
        <w:rPr>
          <w:rStyle w:val="FootnoteReference"/>
        </w:rPr>
        <w:footnoteRef/>
      </w:r>
      <w:r>
        <w:t xml:space="preserve"> P45-55 of exh 2,which has no even numbered pages</w:t>
      </w:r>
    </w:p>
  </w:footnote>
  <w:footnote w:id="14">
    <w:p w14:paraId="082ADF16" w14:textId="77777777" w:rsidR="005B3DFB" w:rsidRDefault="005B3DFB">
      <w:pPr>
        <w:pStyle w:val="FootnoteText"/>
      </w:pPr>
      <w:r>
        <w:rPr>
          <w:rStyle w:val="FootnoteReference"/>
        </w:rPr>
        <w:footnoteRef/>
      </w:r>
      <w:r>
        <w:t xml:space="preserve"> P59-60 of exh 3</w:t>
      </w:r>
    </w:p>
  </w:footnote>
  <w:footnote w:id="15">
    <w:p w14:paraId="6FBCF760" w14:textId="77777777" w:rsidR="005B3DFB" w:rsidRDefault="005B3DFB">
      <w:pPr>
        <w:pStyle w:val="FootnoteText"/>
      </w:pPr>
      <w:r>
        <w:rPr>
          <w:rStyle w:val="FootnoteReference"/>
        </w:rPr>
        <w:footnoteRef/>
      </w:r>
      <w:r>
        <w:t xml:space="preserve"> P61-62 of exh 3 and p39-40 of exh 2 </w:t>
      </w:r>
    </w:p>
  </w:footnote>
  <w:footnote w:id="16">
    <w:p w14:paraId="7DCB916C" w14:textId="7E7CC025" w:rsidR="005B3DFB" w:rsidRDefault="005B3DFB">
      <w:pPr>
        <w:pStyle w:val="FootnoteText"/>
      </w:pPr>
      <w:r>
        <w:rPr>
          <w:rStyle w:val="FootnoteReference"/>
        </w:rPr>
        <w:footnoteRef/>
      </w:r>
      <w:r>
        <w:t xml:space="preserve"> The documentary record of the discussions encompasses p 1 to 75 of exh 2</w:t>
      </w:r>
    </w:p>
  </w:footnote>
  <w:footnote w:id="17">
    <w:p w14:paraId="0FFDB17E" w14:textId="128ED6A3" w:rsidR="005B3DFB" w:rsidRDefault="005B3DFB" w:rsidP="00F4319B">
      <w:pPr>
        <w:pStyle w:val="FootnoteText"/>
      </w:pPr>
      <w:r>
        <w:rPr>
          <w:rStyle w:val="FootnoteReference"/>
        </w:rPr>
        <w:footnoteRef/>
      </w:r>
      <w:r>
        <w:t xml:space="preserve"> P16, 20, 24,29,33 and 36 of exh 2</w:t>
      </w:r>
    </w:p>
  </w:footnote>
  <w:footnote w:id="18">
    <w:p w14:paraId="75CAE9C4" w14:textId="77777777" w:rsidR="005B3DFB" w:rsidRDefault="005B3DFB" w:rsidP="002A6538">
      <w:pPr>
        <w:pStyle w:val="FootnoteText"/>
      </w:pPr>
      <w:r>
        <w:rPr>
          <w:rStyle w:val="FootnoteReference"/>
        </w:rPr>
        <w:footnoteRef/>
      </w:r>
      <w:r>
        <w:t xml:space="preserve"> P 17, 21, 25, 30 and 37 of exh 2</w:t>
      </w:r>
    </w:p>
  </w:footnote>
  <w:footnote w:id="19">
    <w:p w14:paraId="66E715CB" w14:textId="77777777" w:rsidR="005B3DFB" w:rsidRDefault="005B3DFB" w:rsidP="00091E9A">
      <w:pPr>
        <w:pStyle w:val="FootnoteText"/>
      </w:pPr>
      <w:r>
        <w:rPr>
          <w:rStyle w:val="FootnoteReference"/>
        </w:rPr>
        <w:footnoteRef/>
      </w:r>
      <w:r>
        <w:t xml:space="preserve"> P18, 22, 26, 31 and 38 of exh 2</w:t>
      </w:r>
    </w:p>
  </w:footnote>
  <w:footnote w:id="20">
    <w:p w14:paraId="4A3BFD4A" w14:textId="77777777" w:rsidR="005B3DFB" w:rsidRDefault="005B3DFB" w:rsidP="00091E9A">
      <w:pPr>
        <w:pStyle w:val="FootnoteText"/>
      </w:pPr>
      <w:r>
        <w:rPr>
          <w:rStyle w:val="FootnoteReference"/>
        </w:rPr>
        <w:footnoteRef/>
      </w:r>
      <w:r>
        <w:t xml:space="preserve"> Pp 19, 23, 27, and 32 of exh 2</w:t>
      </w:r>
    </w:p>
  </w:footnote>
  <w:footnote w:id="21">
    <w:p w14:paraId="7A70D2FA" w14:textId="77777777" w:rsidR="005B3DFB" w:rsidRDefault="005B3DFB" w:rsidP="00091E9A">
      <w:pPr>
        <w:pStyle w:val="FootnoteText"/>
      </w:pPr>
      <w:r>
        <w:rPr>
          <w:rStyle w:val="FootnoteReference"/>
        </w:rPr>
        <w:footnoteRef/>
      </w:r>
      <w:r>
        <w:t xml:space="preserve"> P 15 and 35 of exh 2, </w:t>
      </w:r>
    </w:p>
  </w:footnote>
  <w:footnote w:id="22">
    <w:p w14:paraId="555AAB84" w14:textId="77777777" w:rsidR="005B3DFB" w:rsidRDefault="005B3DFB" w:rsidP="00091E9A">
      <w:pPr>
        <w:pStyle w:val="FootnoteText"/>
      </w:pPr>
      <w:r>
        <w:rPr>
          <w:rStyle w:val="FootnoteReference"/>
        </w:rPr>
        <w:footnoteRef/>
      </w:r>
      <w:r>
        <w:t xml:space="preserve"> P 14, 28 and 34 of exh 2</w:t>
      </w:r>
    </w:p>
  </w:footnote>
  <w:footnote w:id="23">
    <w:p w14:paraId="3F6B1A68" w14:textId="77777777" w:rsidR="005B3DFB" w:rsidRDefault="005B3DFB">
      <w:pPr>
        <w:pStyle w:val="FootnoteText"/>
      </w:pPr>
      <w:r>
        <w:rPr>
          <w:rStyle w:val="FootnoteReference"/>
        </w:rPr>
        <w:footnoteRef/>
      </w:r>
      <w:r>
        <w:t xml:space="preserve"> P23 of exh 1 replicated p 20 annex C of Commissioner’s case note 17 to the notes of the Financial Statements for year ended 31 December 2009, p46 of exh1 replicated in annex B on p 19 of Commissioner’s case note 20.1 of notes to Financial Statements for year ending 31 December 2010</w:t>
      </w:r>
    </w:p>
  </w:footnote>
  <w:footnote w:id="24">
    <w:p w14:paraId="0AE0DD6E" w14:textId="77777777" w:rsidR="005B3DFB" w:rsidRDefault="005B3DFB">
      <w:pPr>
        <w:pStyle w:val="FootnoteText"/>
      </w:pPr>
      <w:r>
        <w:rPr>
          <w:rStyle w:val="FootnoteReference"/>
        </w:rPr>
        <w:footnoteRef/>
      </w:r>
      <w:r>
        <w:t xml:space="preserve"> Pp 73 note 22.3  and 104 note 26.3 to Financial Statements for year ending 31 December 2011 and 2012 respectively, in exh 1</w:t>
      </w:r>
    </w:p>
  </w:footnote>
  <w:footnote w:id="25">
    <w:p w14:paraId="5D5A4C86" w14:textId="799B7791" w:rsidR="005B3DFB" w:rsidRDefault="005B3DFB" w:rsidP="00C301CB">
      <w:pPr>
        <w:pStyle w:val="FootnoteText"/>
      </w:pPr>
      <w:r>
        <w:rPr>
          <w:rStyle w:val="FootnoteReference"/>
        </w:rPr>
        <w:footnoteRef/>
      </w:r>
      <w:r>
        <w:t xml:space="preserve"> p 4 exh1 and annexure A p 18 of Commissioner’s case note 13</w:t>
      </w:r>
    </w:p>
  </w:footnote>
  <w:footnote w:id="26">
    <w:p w14:paraId="32E0A5D9" w14:textId="5E843BB1" w:rsidR="005B3DFB" w:rsidRDefault="005B3DFB">
      <w:pPr>
        <w:pStyle w:val="FootnoteText"/>
      </w:pPr>
      <w:r>
        <w:rPr>
          <w:rStyle w:val="FootnoteReference"/>
        </w:rPr>
        <w:footnoteRef/>
      </w:r>
      <w:r>
        <w:t xml:space="preserve"> [p71 note 17 of exh 1</w:t>
      </w:r>
    </w:p>
  </w:footnote>
  <w:footnote w:id="27">
    <w:p w14:paraId="76F00A03" w14:textId="3528835F" w:rsidR="005B3DFB" w:rsidRDefault="005B3DFB">
      <w:pPr>
        <w:pStyle w:val="FootnoteText"/>
      </w:pPr>
      <w:r>
        <w:rPr>
          <w:rStyle w:val="FootnoteReference"/>
        </w:rPr>
        <w:footnoteRef/>
      </w:r>
      <w:r>
        <w:t xml:space="preserve"> [p 71 and annexure D p 21 of Commissioner’s case note 17 exh 1 </w:t>
      </w:r>
    </w:p>
  </w:footnote>
  <w:footnote w:id="28">
    <w:p w14:paraId="623FCBFB" w14:textId="255FE429" w:rsidR="005B3DFB" w:rsidRDefault="005B3DFB">
      <w:pPr>
        <w:pStyle w:val="FootnoteText"/>
      </w:pPr>
      <w:r>
        <w:rPr>
          <w:rStyle w:val="FootnoteReference"/>
        </w:rPr>
        <w:footnoteRef/>
      </w:r>
      <w:r>
        <w:t xml:space="preserve"> p 102 note 19 exh 1 and annexure E p 22 of Commissioner’s case</w:t>
      </w:r>
    </w:p>
  </w:footnote>
  <w:footnote w:id="29">
    <w:p w14:paraId="222C83F0" w14:textId="77777777" w:rsidR="005B3DFB" w:rsidRDefault="005B3DFB" w:rsidP="00565833">
      <w:pPr>
        <w:pStyle w:val="FootnoteText"/>
      </w:pPr>
      <w:r>
        <w:rPr>
          <w:rStyle w:val="FootnoteReference"/>
        </w:rPr>
        <w:footnoteRef/>
      </w:r>
      <w:r>
        <w:t xml:space="preserve"> Pp10 and 71 of exh 2</w:t>
      </w:r>
    </w:p>
  </w:footnote>
  <w:footnote w:id="30">
    <w:p w14:paraId="177839B1" w14:textId="77777777" w:rsidR="005B3DFB" w:rsidRDefault="005B3DFB">
      <w:pPr>
        <w:pStyle w:val="FootnoteText"/>
      </w:pPr>
      <w:r>
        <w:rPr>
          <w:rStyle w:val="FootnoteReference"/>
        </w:rPr>
        <w:footnoteRef/>
      </w:r>
      <w:r>
        <w:t xml:space="preserve"> P4 of exh 2</w:t>
      </w:r>
    </w:p>
  </w:footnote>
  <w:footnote w:id="31">
    <w:p w14:paraId="7A49FCC9" w14:textId="77777777" w:rsidR="005B3DFB" w:rsidRDefault="005B3DFB">
      <w:pPr>
        <w:pStyle w:val="FootnoteText"/>
      </w:pPr>
      <w:r>
        <w:rPr>
          <w:rStyle w:val="FootnoteReference"/>
        </w:rPr>
        <w:footnoteRef/>
      </w:r>
      <w:r>
        <w:t xml:space="preserve"> P772 and 75 exh 2</w:t>
      </w:r>
    </w:p>
  </w:footnote>
  <w:footnote w:id="32">
    <w:p w14:paraId="06124BC1" w14:textId="77777777" w:rsidR="005B3DFB" w:rsidRDefault="005B3DFB">
      <w:pPr>
        <w:pStyle w:val="FootnoteText"/>
      </w:pPr>
      <w:r>
        <w:rPr>
          <w:rStyle w:val="FootnoteReference"/>
        </w:rPr>
        <w:footnoteRef/>
      </w:r>
      <w:r>
        <w:t xml:space="preserve"> P2 of exh 2</w:t>
      </w:r>
    </w:p>
  </w:footnote>
  <w:footnote w:id="33">
    <w:p w14:paraId="06F0D347" w14:textId="77777777" w:rsidR="005B3DFB" w:rsidRDefault="005B3DFB">
      <w:pPr>
        <w:pStyle w:val="FootnoteText"/>
      </w:pPr>
      <w:r>
        <w:rPr>
          <w:rStyle w:val="FootnoteReference"/>
        </w:rPr>
        <w:footnoteRef/>
      </w:r>
      <w:r>
        <w:t xml:space="preserve"> P 3 of exh 2</w:t>
      </w:r>
    </w:p>
  </w:footnote>
  <w:footnote w:id="34">
    <w:p w14:paraId="08F0540B" w14:textId="47725E1A" w:rsidR="005B3DFB" w:rsidRDefault="005B3DFB">
      <w:pPr>
        <w:pStyle w:val="FootnoteText"/>
      </w:pPr>
      <w:r>
        <w:rPr>
          <w:rStyle w:val="FootnoteReference"/>
        </w:rPr>
        <w:footnoteRef/>
      </w:r>
      <w:r>
        <w:t xml:space="preserve">  annexure H pp 27-29 replicated page 30-32 to the Commissioner’s case</w:t>
      </w:r>
    </w:p>
  </w:footnote>
  <w:footnote w:id="35">
    <w:p w14:paraId="634607F4" w14:textId="0990F2ED" w:rsidR="005B3DFB" w:rsidRDefault="005B3DFB">
      <w:pPr>
        <w:pStyle w:val="FootnoteText"/>
      </w:pPr>
      <w:r>
        <w:rPr>
          <w:rStyle w:val="FootnoteReference"/>
        </w:rPr>
        <w:footnoteRef/>
      </w:r>
      <w:r>
        <w:t xml:space="preserve"> p 57-61 of exh 4 and pp5—9 of r 11 documents</w:t>
      </w:r>
    </w:p>
  </w:footnote>
  <w:footnote w:id="36">
    <w:p w14:paraId="7D607914" w14:textId="58EF6426" w:rsidR="005F09FE" w:rsidRDefault="005F09FE">
      <w:pPr>
        <w:pStyle w:val="FootnoteText"/>
      </w:pPr>
      <w:r>
        <w:rPr>
          <w:rStyle w:val="FootnoteReference"/>
        </w:rPr>
        <w:footnoteRef/>
      </w:r>
      <w:r>
        <w:t xml:space="preserve"> on p 12 of exh 1,</w:t>
      </w:r>
    </w:p>
  </w:footnote>
  <w:footnote w:id="37">
    <w:p w14:paraId="1ED2B986" w14:textId="54507E5F" w:rsidR="005F09FE" w:rsidRDefault="005F09FE">
      <w:pPr>
        <w:pStyle w:val="FootnoteText"/>
      </w:pPr>
      <w:r>
        <w:rPr>
          <w:rStyle w:val="FootnoteReference"/>
        </w:rPr>
        <w:footnoteRef/>
      </w:r>
      <w:r>
        <w:t xml:space="preserve"> on p 31 of exh 1</w:t>
      </w:r>
    </w:p>
  </w:footnote>
  <w:footnote w:id="38">
    <w:p w14:paraId="19FE4AEC" w14:textId="2B6DFA86" w:rsidR="005F09FE" w:rsidRDefault="005F09FE">
      <w:pPr>
        <w:pStyle w:val="FootnoteText"/>
      </w:pPr>
      <w:r>
        <w:rPr>
          <w:rStyle w:val="FootnoteReference"/>
        </w:rPr>
        <w:footnoteRef/>
      </w:r>
      <w:r>
        <w:t xml:space="preserve"> on p 54 of exh 1</w:t>
      </w:r>
    </w:p>
  </w:footnote>
  <w:footnote w:id="39">
    <w:p w14:paraId="2853F724" w14:textId="55E31A14" w:rsidR="005F09FE" w:rsidRDefault="005F09FE">
      <w:pPr>
        <w:pStyle w:val="FootnoteText"/>
      </w:pPr>
      <w:r>
        <w:rPr>
          <w:rStyle w:val="FootnoteReference"/>
        </w:rPr>
        <w:footnoteRef/>
      </w:r>
      <w:r>
        <w:t xml:space="preserve"> on p 85 of exh 1</w:t>
      </w:r>
    </w:p>
  </w:footnote>
  <w:footnote w:id="40">
    <w:p w14:paraId="70F65700" w14:textId="77777777" w:rsidR="005B3DFB" w:rsidRDefault="005B3DFB" w:rsidP="000855CB">
      <w:pPr>
        <w:pStyle w:val="FootnoteText"/>
      </w:pPr>
      <w:r>
        <w:rPr>
          <w:rStyle w:val="FootnoteReference"/>
        </w:rPr>
        <w:footnoteRef/>
      </w:r>
      <w:r>
        <w:t xml:space="preserve"> Letter of appellant of 2 July 2013 with adjusted percentages of 100%.</w:t>
      </w:r>
    </w:p>
  </w:footnote>
  <w:footnote w:id="41">
    <w:p w14:paraId="7D00D59F" w14:textId="7739934E" w:rsidR="005B3DFB" w:rsidRDefault="005B3DFB" w:rsidP="00EF0778">
      <w:pPr>
        <w:pStyle w:val="FootnoteText"/>
      </w:pPr>
      <w:r>
        <w:rPr>
          <w:rStyle w:val="FootnoteReference"/>
        </w:rPr>
        <w:footnoteRef/>
      </w:r>
      <w:r>
        <w:t xml:space="preserve"> referred by the Commissioner in  his letter of 12 September 2013 p 21 of exh 4 and confirmed by appellant  on 7 October 2013  annexure I page 33 of Commissioner’s case and p 56 of annexure 4</w:t>
      </w:r>
      <w:r w:rsidR="00AE5C1F">
        <w:t xml:space="preserve"> and letter of 19 June 2014 p 14  of R11 documents and 66 of Exh 4</w:t>
      </w:r>
    </w:p>
  </w:footnote>
  <w:footnote w:id="42">
    <w:p w14:paraId="3F018EA8" w14:textId="77777777" w:rsidR="005B3DFB" w:rsidRDefault="005B3DFB" w:rsidP="00CC59BC">
      <w:pPr>
        <w:pStyle w:val="FootnoteText"/>
      </w:pPr>
      <w:r>
        <w:rPr>
          <w:rStyle w:val="FootnoteReference"/>
        </w:rPr>
        <w:footnoteRef/>
      </w:r>
      <w:r>
        <w:t xml:space="preserve"> Letter of 19 June 2014 p 66 of exh 4</w:t>
      </w:r>
    </w:p>
  </w:footnote>
  <w:footnote w:id="43">
    <w:p w14:paraId="398DCA3B" w14:textId="025C6C43" w:rsidR="005B3DFB" w:rsidRDefault="005B3DFB">
      <w:pPr>
        <w:pStyle w:val="FootnoteText"/>
      </w:pPr>
      <w:r>
        <w:rPr>
          <w:rStyle w:val="FootnoteReference"/>
        </w:rPr>
        <w:footnoteRef/>
      </w:r>
      <w:r>
        <w:t xml:space="preserve"> </w:t>
      </w:r>
      <w:r w:rsidRPr="00CC2DE0">
        <w:rPr>
          <w:i/>
        </w:rPr>
        <w:t>Harold Holdsworth &amp; Co (Wakefield) Ltd v Caddies</w:t>
      </w:r>
      <w:r>
        <w:t xml:space="preserve">  ( 1955) 1 All ER 725 (HL) at 730H, 734H-I and 738B and</w:t>
      </w:r>
      <w:r w:rsidRPr="00B05E0A">
        <w:rPr>
          <w:i/>
        </w:rPr>
        <w:t xml:space="preserve"> DHN Food Distributors Ltd v London Borough of Tower Hamlets</w:t>
      </w:r>
      <w:r>
        <w:t xml:space="preserve"> (1976) 3 All ER 462 (CA).</w:t>
      </w:r>
    </w:p>
  </w:footnote>
  <w:footnote w:id="44">
    <w:p w14:paraId="79FD76EA" w14:textId="060CCF6B" w:rsidR="005B3DFB" w:rsidRDefault="005B3DFB">
      <w:pPr>
        <w:pStyle w:val="FootnoteText"/>
      </w:pPr>
      <w:r>
        <w:rPr>
          <w:rStyle w:val="FootnoteReference"/>
        </w:rPr>
        <w:footnoteRef/>
      </w:r>
      <w:r>
        <w:t xml:space="preserve"> in </w:t>
      </w:r>
      <w:r>
        <w:rPr>
          <w:i/>
        </w:rPr>
        <w:t xml:space="preserve">Ritz Hotel Ltd v Charles of the Ritz Ltd v Anor </w:t>
      </w:r>
      <w:r>
        <w:t>1988 (3) SA 290 (A) at 315A</w:t>
      </w:r>
    </w:p>
  </w:footnote>
  <w:footnote w:id="45">
    <w:p w14:paraId="04738D7C" w14:textId="18F94365" w:rsidR="005B3DFB" w:rsidRDefault="005B3DFB">
      <w:pPr>
        <w:pStyle w:val="FootnoteText"/>
      </w:pPr>
      <w:r>
        <w:rPr>
          <w:rStyle w:val="FootnoteReference"/>
        </w:rPr>
        <w:footnoteRef/>
      </w:r>
      <w:r>
        <w:t xml:space="preserve"> </w:t>
      </w:r>
      <w:r w:rsidRPr="008612E0">
        <w:rPr>
          <w:i/>
        </w:rPr>
        <w:t>Moodie v Industrial &amp; Pipe Employees Trust (Pvt) Ltd and Industrial and Pipe Ltd</w:t>
      </w:r>
      <w:r>
        <w:t xml:space="preserve"> SC 165/1997 at p1 and </w:t>
      </w:r>
      <w:r w:rsidRPr="00AD0110">
        <w:rPr>
          <w:i/>
        </w:rPr>
        <w:t>CC Sales Ltd v David Dyer &amp; Dajen (Pvt) Ltd</w:t>
      </w:r>
      <w:r>
        <w:t xml:space="preserve"> HH 230/1998</w:t>
      </w:r>
    </w:p>
  </w:footnote>
  <w:footnote w:id="46">
    <w:p w14:paraId="1209C043" w14:textId="1A195CC8" w:rsidR="005B3DFB" w:rsidRDefault="005B3DFB">
      <w:pPr>
        <w:pStyle w:val="FootnoteText"/>
      </w:pPr>
      <w:r>
        <w:rPr>
          <w:rStyle w:val="FootnoteReference"/>
        </w:rPr>
        <w:footnoteRef/>
      </w:r>
      <w:r>
        <w:t xml:space="preserve"> Section 28(1) read: “whenever the Commissioner is satisfied that any transaction or operation has been entered into or carried out for the purpose of avoiding liability for the payment of any tax imposed by this Act or reducing the amount of any such tax, any liability for any such tax and the amount thereof may be determined as if the transaction or operation had not been entered or carried out.”</w:t>
      </w:r>
    </w:p>
  </w:footnote>
  <w:footnote w:id="47">
    <w:p w14:paraId="6D568568" w14:textId="77777777" w:rsidR="00D442AC" w:rsidRDefault="00D442AC" w:rsidP="00D442AC">
      <w:pPr>
        <w:pStyle w:val="FootnoteText"/>
      </w:pPr>
      <w:r>
        <w:rPr>
          <w:rStyle w:val="FootnoteReference"/>
        </w:rPr>
        <w:footnoteRef/>
      </w:r>
      <w:r>
        <w:t xml:space="preserve"> Note 12 p22 in 2009, note 17 p45 in 2010, note 18 p71 in 2011 and note20 p 102 in 2012 financial statements all in exh 1</w:t>
      </w:r>
    </w:p>
  </w:footnote>
  <w:footnote w:id="48">
    <w:p w14:paraId="7B6FB748" w14:textId="13A7BAC4" w:rsidR="005B3DFB" w:rsidRDefault="005B3DFB">
      <w:pPr>
        <w:pStyle w:val="FootnoteText"/>
      </w:pPr>
      <w:r>
        <w:rPr>
          <w:rStyle w:val="FootnoteReference"/>
        </w:rPr>
        <w:footnoteRef/>
      </w:r>
      <w:r>
        <w:t xml:space="preserve"> Annexure O p 64 of Commissioner’s case and p 8 of r 11 documents and p 60 of exh 4</w:t>
      </w:r>
    </w:p>
  </w:footnote>
  <w:footnote w:id="49">
    <w:p w14:paraId="2300BB18" w14:textId="24B49DDD" w:rsidR="005B3DFB" w:rsidRDefault="005B3DFB">
      <w:pPr>
        <w:pStyle w:val="FootnoteText"/>
      </w:pPr>
      <w:r>
        <w:rPr>
          <w:rStyle w:val="FootnoteReference"/>
        </w:rPr>
        <w:footnoteRef/>
      </w:r>
      <w:r>
        <w:t xml:space="preserve"> Annexure O p 64 of Commissioner’s case and p 8 of r 11 documents and p 60 of exh 4</w:t>
      </w:r>
    </w:p>
  </w:footnote>
  <w:footnote w:id="50">
    <w:p w14:paraId="2D5A7A3C" w14:textId="22E703AB" w:rsidR="005B3DFB" w:rsidRDefault="005B3DFB">
      <w:pPr>
        <w:pStyle w:val="FootnoteText"/>
      </w:pPr>
      <w:r>
        <w:rPr>
          <w:rStyle w:val="FootnoteReference"/>
        </w:rPr>
        <w:footnoteRef/>
      </w:r>
      <w:r>
        <w:t xml:space="preserve"> There were 20 in 2009, p21; 19 in 2010 p 43, 19 in 2011 p 68 and 21  in 2012 p 98 in notes to the financial statements of each year in exh 1, </w:t>
      </w:r>
    </w:p>
  </w:footnote>
  <w:footnote w:id="51">
    <w:p w14:paraId="336F081B" w14:textId="32A0286F" w:rsidR="005B3DFB" w:rsidRDefault="005B3DFB">
      <w:pPr>
        <w:pStyle w:val="FootnoteText"/>
      </w:pPr>
      <w:r>
        <w:rPr>
          <w:rStyle w:val="FootnoteReference"/>
        </w:rPr>
        <w:footnoteRef/>
      </w:r>
      <w:r>
        <w:t xml:space="preserve"> P5-7 and 22-25 of exh 4.</w:t>
      </w:r>
    </w:p>
  </w:footnote>
  <w:footnote w:id="52">
    <w:p w14:paraId="49A9E596" w14:textId="46346A69" w:rsidR="00B214FE" w:rsidRDefault="00B214FE">
      <w:pPr>
        <w:pStyle w:val="FootnoteText"/>
      </w:pPr>
      <w:r>
        <w:rPr>
          <w:rStyle w:val="FootnoteReference"/>
        </w:rPr>
        <w:footnoteRef/>
      </w:r>
      <w:r>
        <w:t xml:space="preserve"> </w:t>
      </w:r>
      <w:r w:rsidR="00976FE2">
        <w:t>p 8 of exh 4</w:t>
      </w:r>
      <w:r>
        <w:t xml:space="preserve"> </w:t>
      </w:r>
    </w:p>
  </w:footnote>
  <w:footnote w:id="53">
    <w:p w14:paraId="523FE54C" w14:textId="314E8E6E" w:rsidR="00976FE2" w:rsidRDefault="00976FE2">
      <w:pPr>
        <w:pStyle w:val="FootnoteText"/>
      </w:pPr>
      <w:r>
        <w:rPr>
          <w:rStyle w:val="FootnoteReference"/>
        </w:rPr>
        <w:footnoteRef/>
      </w:r>
      <w:r>
        <w:t xml:space="preserve"> p44 of exh 4</w:t>
      </w:r>
    </w:p>
  </w:footnote>
  <w:footnote w:id="54">
    <w:p w14:paraId="3CBF8002" w14:textId="160FD17C" w:rsidR="005B3DFB" w:rsidRDefault="005B3DFB">
      <w:pPr>
        <w:pStyle w:val="FootnoteText"/>
      </w:pPr>
      <w:r>
        <w:rPr>
          <w:rStyle w:val="FootnoteReference"/>
        </w:rPr>
        <w:footnoteRef/>
      </w:r>
      <w:r>
        <w:t xml:space="preserve"> para 6 p 2 of exh 4,</w:t>
      </w:r>
    </w:p>
  </w:footnote>
  <w:footnote w:id="55">
    <w:p w14:paraId="70D6DDEC" w14:textId="77E44D1F" w:rsidR="005B3DFB" w:rsidRDefault="005B3DFB">
      <w:pPr>
        <w:pStyle w:val="FootnoteText"/>
      </w:pPr>
      <w:r>
        <w:rPr>
          <w:rStyle w:val="FootnoteReference"/>
        </w:rPr>
        <w:footnoteRef/>
      </w:r>
      <w:r>
        <w:t xml:space="preserve"> p 67 ex 4</w:t>
      </w:r>
    </w:p>
  </w:footnote>
  <w:footnote w:id="56">
    <w:p w14:paraId="0270197C" w14:textId="0C6F9E9E" w:rsidR="005B3DFB" w:rsidRDefault="005B3DFB">
      <w:pPr>
        <w:pStyle w:val="FootnoteText"/>
      </w:pPr>
      <w:r>
        <w:rPr>
          <w:rStyle w:val="FootnoteReference"/>
        </w:rPr>
        <w:footnoteRef/>
      </w:r>
      <w:r>
        <w:t xml:space="preserve"> p 107 of exh 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49775"/>
      <w:docPartObj>
        <w:docPartGallery w:val="Page Numbers (Top of Page)"/>
        <w:docPartUnique/>
      </w:docPartObj>
    </w:sdtPr>
    <w:sdtEndPr>
      <w:rPr>
        <w:noProof/>
      </w:rPr>
    </w:sdtEndPr>
    <w:sdtContent>
      <w:p w14:paraId="7E40F5D2" w14:textId="65155979" w:rsidR="00C97769" w:rsidRDefault="00C97769">
        <w:pPr>
          <w:pStyle w:val="Header"/>
          <w:jc w:val="right"/>
          <w:rPr>
            <w:noProof/>
          </w:rPr>
        </w:pPr>
        <w:r>
          <w:fldChar w:fldCharType="begin"/>
        </w:r>
        <w:r>
          <w:instrText xml:space="preserve"> PAGE   \* MERGEFORMAT </w:instrText>
        </w:r>
        <w:r>
          <w:fldChar w:fldCharType="separate"/>
        </w:r>
        <w:r w:rsidR="00C07A31">
          <w:rPr>
            <w:noProof/>
          </w:rPr>
          <w:t>1</w:t>
        </w:r>
        <w:r>
          <w:rPr>
            <w:noProof/>
          </w:rPr>
          <w:fldChar w:fldCharType="end"/>
        </w:r>
      </w:p>
      <w:p w14:paraId="75B93FED" w14:textId="1418D45E" w:rsidR="00C97769" w:rsidRDefault="00C97769">
        <w:pPr>
          <w:pStyle w:val="Header"/>
          <w:jc w:val="right"/>
          <w:rPr>
            <w:noProof/>
          </w:rPr>
        </w:pPr>
        <w:r>
          <w:rPr>
            <w:noProof/>
          </w:rPr>
          <w:t>HH</w:t>
        </w:r>
        <w:r w:rsidR="00A0485B">
          <w:rPr>
            <w:noProof/>
          </w:rPr>
          <w:t xml:space="preserve"> 99-18</w:t>
        </w:r>
      </w:p>
      <w:p w14:paraId="56288AD6" w14:textId="6328DC93" w:rsidR="00C97769" w:rsidRDefault="00C97769">
        <w:pPr>
          <w:pStyle w:val="Header"/>
          <w:jc w:val="right"/>
        </w:pPr>
        <w:r>
          <w:rPr>
            <w:noProof/>
          </w:rPr>
          <w:t>FA 22/2014</w:t>
        </w:r>
      </w:p>
    </w:sdtContent>
  </w:sdt>
  <w:p w14:paraId="158A87FC" w14:textId="77777777" w:rsidR="005B3DFB" w:rsidRDefault="005B3D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FC7"/>
    <w:multiLevelType w:val="hybridMultilevel"/>
    <w:tmpl w:val="37E2264E"/>
    <w:lvl w:ilvl="0" w:tplc="A0B6E6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A07C01"/>
    <w:multiLevelType w:val="hybridMultilevel"/>
    <w:tmpl w:val="DBCA90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15188C"/>
    <w:multiLevelType w:val="multilevel"/>
    <w:tmpl w:val="7E5E39C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3" w15:restartNumberingAfterBreak="0">
    <w:nsid w:val="0A260017"/>
    <w:multiLevelType w:val="hybridMultilevel"/>
    <w:tmpl w:val="713C9C5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0746208"/>
    <w:multiLevelType w:val="hybridMultilevel"/>
    <w:tmpl w:val="048018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49432B0"/>
    <w:multiLevelType w:val="hybridMultilevel"/>
    <w:tmpl w:val="3DD20C8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8842B9C"/>
    <w:multiLevelType w:val="hybridMultilevel"/>
    <w:tmpl w:val="8508EDDC"/>
    <w:lvl w:ilvl="0" w:tplc="01FEE4B4">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C5C3816"/>
    <w:multiLevelType w:val="hybridMultilevel"/>
    <w:tmpl w:val="035A001C"/>
    <w:lvl w:ilvl="0" w:tplc="9656FE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4411A3D"/>
    <w:multiLevelType w:val="hybridMultilevel"/>
    <w:tmpl w:val="3DD20C8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46A20AF"/>
    <w:multiLevelType w:val="hybridMultilevel"/>
    <w:tmpl w:val="FFA27A8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8FE4B7D"/>
    <w:multiLevelType w:val="hybridMultilevel"/>
    <w:tmpl w:val="D80A82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A7E2C92"/>
    <w:multiLevelType w:val="hybridMultilevel"/>
    <w:tmpl w:val="32DA2AA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410066A6"/>
    <w:multiLevelType w:val="multilevel"/>
    <w:tmpl w:val="9CEECE2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15478DB"/>
    <w:multiLevelType w:val="hybridMultilevel"/>
    <w:tmpl w:val="8BB2C9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264470E"/>
    <w:multiLevelType w:val="hybridMultilevel"/>
    <w:tmpl w:val="7D1C03C6"/>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E8743DC"/>
    <w:multiLevelType w:val="hybridMultilevel"/>
    <w:tmpl w:val="41FA7DDA"/>
    <w:lvl w:ilvl="0" w:tplc="EB581E3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5015B3E"/>
    <w:multiLevelType w:val="hybridMultilevel"/>
    <w:tmpl w:val="7EFE4A10"/>
    <w:lvl w:ilvl="0" w:tplc="17628F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68AB454E"/>
    <w:multiLevelType w:val="hybridMultilevel"/>
    <w:tmpl w:val="3D705F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CA95609"/>
    <w:multiLevelType w:val="hybridMultilevel"/>
    <w:tmpl w:val="C056574A"/>
    <w:lvl w:ilvl="0" w:tplc="9D124C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F817940"/>
    <w:multiLevelType w:val="hybridMultilevel"/>
    <w:tmpl w:val="7EFE4A10"/>
    <w:lvl w:ilvl="0" w:tplc="17628F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1314512"/>
    <w:multiLevelType w:val="hybridMultilevel"/>
    <w:tmpl w:val="E6F2583C"/>
    <w:lvl w:ilvl="0" w:tplc="851C0D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4524E26"/>
    <w:multiLevelType w:val="hybridMultilevel"/>
    <w:tmpl w:val="B15EF3F0"/>
    <w:lvl w:ilvl="0" w:tplc="7D7C7F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C6865FB"/>
    <w:multiLevelType w:val="hybridMultilevel"/>
    <w:tmpl w:val="73B2DE20"/>
    <w:lvl w:ilvl="0" w:tplc="ABBE19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14"/>
  </w:num>
  <w:num w:numId="3">
    <w:abstractNumId w:val="20"/>
  </w:num>
  <w:num w:numId="4">
    <w:abstractNumId w:val="3"/>
  </w:num>
  <w:num w:numId="5">
    <w:abstractNumId w:val="0"/>
  </w:num>
  <w:num w:numId="6">
    <w:abstractNumId w:val="9"/>
  </w:num>
  <w:num w:numId="7">
    <w:abstractNumId w:val="5"/>
  </w:num>
  <w:num w:numId="8">
    <w:abstractNumId w:val="12"/>
  </w:num>
  <w:num w:numId="9">
    <w:abstractNumId w:val="18"/>
  </w:num>
  <w:num w:numId="10">
    <w:abstractNumId w:val="2"/>
  </w:num>
  <w:num w:numId="11">
    <w:abstractNumId w:val="4"/>
  </w:num>
  <w:num w:numId="12">
    <w:abstractNumId w:val="16"/>
  </w:num>
  <w:num w:numId="13">
    <w:abstractNumId w:val="19"/>
  </w:num>
  <w:num w:numId="14">
    <w:abstractNumId w:val="8"/>
  </w:num>
  <w:num w:numId="15">
    <w:abstractNumId w:val="13"/>
  </w:num>
  <w:num w:numId="16">
    <w:abstractNumId w:val="15"/>
  </w:num>
  <w:num w:numId="17">
    <w:abstractNumId w:val="7"/>
  </w:num>
  <w:num w:numId="18">
    <w:abstractNumId w:val="17"/>
  </w:num>
  <w:num w:numId="19">
    <w:abstractNumId w:val="1"/>
  </w:num>
  <w:num w:numId="20">
    <w:abstractNumId w:val="22"/>
  </w:num>
  <w:num w:numId="21">
    <w:abstractNumId w:val="10"/>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79"/>
    <w:rsid w:val="000001D4"/>
    <w:rsid w:val="00000E03"/>
    <w:rsid w:val="00001538"/>
    <w:rsid w:val="000015F0"/>
    <w:rsid w:val="00001A15"/>
    <w:rsid w:val="00002805"/>
    <w:rsid w:val="00004140"/>
    <w:rsid w:val="000043BB"/>
    <w:rsid w:val="0000488D"/>
    <w:rsid w:val="000049FE"/>
    <w:rsid w:val="00004B71"/>
    <w:rsid w:val="00004B97"/>
    <w:rsid w:val="00005451"/>
    <w:rsid w:val="0000553B"/>
    <w:rsid w:val="000055B5"/>
    <w:rsid w:val="00005663"/>
    <w:rsid w:val="000057DF"/>
    <w:rsid w:val="000100AF"/>
    <w:rsid w:val="000108F2"/>
    <w:rsid w:val="00010C06"/>
    <w:rsid w:val="00010DBD"/>
    <w:rsid w:val="0001198A"/>
    <w:rsid w:val="000129F3"/>
    <w:rsid w:val="0001451D"/>
    <w:rsid w:val="00014524"/>
    <w:rsid w:val="0001454A"/>
    <w:rsid w:val="0001495F"/>
    <w:rsid w:val="00017023"/>
    <w:rsid w:val="0001714D"/>
    <w:rsid w:val="00017267"/>
    <w:rsid w:val="0001746B"/>
    <w:rsid w:val="00017AF9"/>
    <w:rsid w:val="00020419"/>
    <w:rsid w:val="00020F33"/>
    <w:rsid w:val="000211C5"/>
    <w:rsid w:val="00021299"/>
    <w:rsid w:val="00021511"/>
    <w:rsid w:val="000220B2"/>
    <w:rsid w:val="0002223E"/>
    <w:rsid w:val="000223DB"/>
    <w:rsid w:val="00022880"/>
    <w:rsid w:val="00022A0B"/>
    <w:rsid w:val="00022CE2"/>
    <w:rsid w:val="00024097"/>
    <w:rsid w:val="000240DB"/>
    <w:rsid w:val="000247ED"/>
    <w:rsid w:val="00024A32"/>
    <w:rsid w:val="000276A1"/>
    <w:rsid w:val="0002771E"/>
    <w:rsid w:val="00027763"/>
    <w:rsid w:val="00027A84"/>
    <w:rsid w:val="00027C8E"/>
    <w:rsid w:val="00027EF6"/>
    <w:rsid w:val="0003094E"/>
    <w:rsid w:val="000310E7"/>
    <w:rsid w:val="000311EC"/>
    <w:rsid w:val="00031BF9"/>
    <w:rsid w:val="00031F73"/>
    <w:rsid w:val="000321C7"/>
    <w:rsid w:val="000322DD"/>
    <w:rsid w:val="000331F3"/>
    <w:rsid w:val="00033391"/>
    <w:rsid w:val="0003390B"/>
    <w:rsid w:val="00033CE7"/>
    <w:rsid w:val="00034378"/>
    <w:rsid w:val="00035754"/>
    <w:rsid w:val="00035A02"/>
    <w:rsid w:val="00035D85"/>
    <w:rsid w:val="00035F94"/>
    <w:rsid w:val="00036716"/>
    <w:rsid w:val="00036B4E"/>
    <w:rsid w:val="000374A1"/>
    <w:rsid w:val="000378F8"/>
    <w:rsid w:val="00040233"/>
    <w:rsid w:val="00041043"/>
    <w:rsid w:val="00041262"/>
    <w:rsid w:val="00041B5D"/>
    <w:rsid w:val="00042E56"/>
    <w:rsid w:val="00043D65"/>
    <w:rsid w:val="00043E15"/>
    <w:rsid w:val="00044C18"/>
    <w:rsid w:val="00045342"/>
    <w:rsid w:val="00045693"/>
    <w:rsid w:val="000458EB"/>
    <w:rsid w:val="00045AA2"/>
    <w:rsid w:val="00046383"/>
    <w:rsid w:val="0004684C"/>
    <w:rsid w:val="00050219"/>
    <w:rsid w:val="0005082C"/>
    <w:rsid w:val="00051B88"/>
    <w:rsid w:val="000520CA"/>
    <w:rsid w:val="00052729"/>
    <w:rsid w:val="00052F73"/>
    <w:rsid w:val="00053574"/>
    <w:rsid w:val="0005361F"/>
    <w:rsid w:val="000543A9"/>
    <w:rsid w:val="0005552C"/>
    <w:rsid w:val="00056336"/>
    <w:rsid w:val="0005689A"/>
    <w:rsid w:val="00056C38"/>
    <w:rsid w:val="00056CB0"/>
    <w:rsid w:val="00056CC9"/>
    <w:rsid w:val="00056DAE"/>
    <w:rsid w:val="00056DB6"/>
    <w:rsid w:val="00056DF8"/>
    <w:rsid w:val="00057052"/>
    <w:rsid w:val="00057E6C"/>
    <w:rsid w:val="00060B0A"/>
    <w:rsid w:val="00060BAF"/>
    <w:rsid w:val="00061D04"/>
    <w:rsid w:val="00062376"/>
    <w:rsid w:val="000623E2"/>
    <w:rsid w:val="0006340C"/>
    <w:rsid w:val="00064845"/>
    <w:rsid w:val="00064968"/>
    <w:rsid w:val="000654B1"/>
    <w:rsid w:val="00065CD4"/>
    <w:rsid w:val="000660EF"/>
    <w:rsid w:val="00066571"/>
    <w:rsid w:val="0006696D"/>
    <w:rsid w:val="00066B50"/>
    <w:rsid w:val="000679BB"/>
    <w:rsid w:val="000710F4"/>
    <w:rsid w:val="00072EC6"/>
    <w:rsid w:val="000736A5"/>
    <w:rsid w:val="00073B99"/>
    <w:rsid w:val="00073C2E"/>
    <w:rsid w:val="00074708"/>
    <w:rsid w:val="00075004"/>
    <w:rsid w:val="00075F6C"/>
    <w:rsid w:val="000761A4"/>
    <w:rsid w:val="00076333"/>
    <w:rsid w:val="00076440"/>
    <w:rsid w:val="000767AF"/>
    <w:rsid w:val="000767C2"/>
    <w:rsid w:val="00076824"/>
    <w:rsid w:val="00076B79"/>
    <w:rsid w:val="00076E48"/>
    <w:rsid w:val="00077ECA"/>
    <w:rsid w:val="00080361"/>
    <w:rsid w:val="00080AAB"/>
    <w:rsid w:val="00080D49"/>
    <w:rsid w:val="0008157D"/>
    <w:rsid w:val="00082446"/>
    <w:rsid w:val="00082739"/>
    <w:rsid w:val="0008382E"/>
    <w:rsid w:val="00084EB6"/>
    <w:rsid w:val="0008523B"/>
    <w:rsid w:val="000855CB"/>
    <w:rsid w:val="000859EC"/>
    <w:rsid w:val="00085A89"/>
    <w:rsid w:val="00085AAD"/>
    <w:rsid w:val="00086D27"/>
    <w:rsid w:val="00086EB4"/>
    <w:rsid w:val="0008722F"/>
    <w:rsid w:val="00087C31"/>
    <w:rsid w:val="00091AB6"/>
    <w:rsid w:val="00091B51"/>
    <w:rsid w:val="00091E9A"/>
    <w:rsid w:val="00092170"/>
    <w:rsid w:val="00093087"/>
    <w:rsid w:val="000931DC"/>
    <w:rsid w:val="000946BC"/>
    <w:rsid w:val="00094A08"/>
    <w:rsid w:val="00094D7A"/>
    <w:rsid w:val="00095316"/>
    <w:rsid w:val="0009591C"/>
    <w:rsid w:val="0009609B"/>
    <w:rsid w:val="0009741A"/>
    <w:rsid w:val="000976BF"/>
    <w:rsid w:val="000A051B"/>
    <w:rsid w:val="000A0589"/>
    <w:rsid w:val="000A07BF"/>
    <w:rsid w:val="000A090A"/>
    <w:rsid w:val="000A0975"/>
    <w:rsid w:val="000A164A"/>
    <w:rsid w:val="000A19E7"/>
    <w:rsid w:val="000A38F6"/>
    <w:rsid w:val="000A3A16"/>
    <w:rsid w:val="000A3EB0"/>
    <w:rsid w:val="000A54F1"/>
    <w:rsid w:val="000A5575"/>
    <w:rsid w:val="000A5EBF"/>
    <w:rsid w:val="000A70B1"/>
    <w:rsid w:val="000A7439"/>
    <w:rsid w:val="000A7545"/>
    <w:rsid w:val="000B0F03"/>
    <w:rsid w:val="000B153E"/>
    <w:rsid w:val="000B18CE"/>
    <w:rsid w:val="000B1DFB"/>
    <w:rsid w:val="000B1F62"/>
    <w:rsid w:val="000B2996"/>
    <w:rsid w:val="000B2AD3"/>
    <w:rsid w:val="000B2CA9"/>
    <w:rsid w:val="000B3147"/>
    <w:rsid w:val="000B3244"/>
    <w:rsid w:val="000B34B7"/>
    <w:rsid w:val="000B376C"/>
    <w:rsid w:val="000B3A3E"/>
    <w:rsid w:val="000B468E"/>
    <w:rsid w:val="000B49E5"/>
    <w:rsid w:val="000B6055"/>
    <w:rsid w:val="000B7A1C"/>
    <w:rsid w:val="000C004E"/>
    <w:rsid w:val="000C0056"/>
    <w:rsid w:val="000C0809"/>
    <w:rsid w:val="000C0A4F"/>
    <w:rsid w:val="000C104B"/>
    <w:rsid w:val="000C1A38"/>
    <w:rsid w:val="000C218F"/>
    <w:rsid w:val="000C3F09"/>
    <w:rsid w:val="000C47F2"/>
    <w:rsid w:val="000C4ED1"/>
    <w:rsid w:val="000C50E6"/>
    <w:rsid w:val="000C5E8E"/>
    <w:rsid w:val="000C6B59"/>
    <w:rsid w:val="000C6EBF"/>
    <w:rsid w:val="000C7BD7"/>
    <w:rsid w:val="000D0189"/>
    <w:rsid w:val="000D0251"/>
    <w:rsid w:val="000D0362"/>
    <w:rsid w:val="000D09A8"/>
    <w:rsid w:val="000D0C61"/>
    <w:rsid w:val="000D1655"/>
    <w:rsid w:val="000D2576"/>
    <w:rsid w:val="000D2583"/>
    <w:rsid w:val="000D2A08"/>
    <w:rsid w:val="000D3949"/>
    <w:rsid w:val="000D3BC8"/>
    <w:rsid w:val="000D4223"/>
    <w:rsid w:val="000D5996"/>
    <w:rsid w:val="000D5C7C"/>
    <w:rsid w:val="000D6545"/>
    <w:rsid w:val="000D68C2"/>
    <w:rsid w:val="000D6EEB"/>
    <w:rsid w:val="000D7859"/>
    <w:rsid w:val="000D7E6D"/>
    <w:rsid w:val="000E0367"/>
    <w:rsid w:val="000E1DCE"/>
    <w:rsid w:val="000E4004"/>
    <w:rsid w:val="000E40BB"/>
    <w:rsid w:val="000E73BF"/>
    <w:rsid w:val="000E7AFF"/>
    <w:rsid w:val="000E7DD3"/>
    <w:rsid w:val="000F02C8"/>
    <w:rsid w:val="000F2015"/>
    <w:rsid w:val="000F35CD"/>
    <w:rsid w:val="000F3830"/>
    <w:rsid w:val="000F3B1C"/>
    <w:rsid w:val="000F41EA"/>
    <w:rsid w:val="000F45A6"/>
    <w:rsid w:val="000F4E62"/>
    <w:rsid w:val="000F5C1E"/>
    <w:rsid w:val="000F5EFB"/>
    <w:rsid w:val="000F7633"/>
    <w:rsid w:val="000F7C1F"/>
    <w:rsid w:val="001015EC"/>
    <w:rsid w:val="00101888"/>
    <w:rsid w:val="00102681"/>
    <w:rsid w:val="0010332A"/>
    <w:rsid w:val="00103384"/>
    <w:rsid w:val="00103455"/>
    <w:rsid w:val="00103E45"/>
    <w:rsid w:val="00103E48"/>
    <w:rsid w:val="001050B2"/>
    <w:rsid w:val="001064D9"/>
    <w:rsid w:val="001064F6"/>
    <w:rsid w:val="00106AA6"/>
    <w:rsid w:val="0010722F"/>
    <w:rsid w:val="00107411"/>
    <w:rsid w:val="00110BF2"/>
    <w:rsid w:val="00110C15"/>
    <w:rsid w:val="00111283"/>
    <w:rsid w:val="00111410"/>
    <w:rsid w:val="00111418"/>
    <w:rsid w:val="001133AE"/>
    <w:rsid w:val="0011376F"/>
    <w:rsid w:val="00114232"/>
    <w:rsid w:val="001146FF"/>
    <w:rsid w:val="00114A8D"/>
    <w:rsid w:val="00114BB9"/>
    <w:rsid w:val="00114EEB"/>
    <w:rsid w:val="0011570A"/>
    <w:rsid w:val="00116D04"/>
    <w:rsid w:val="00117053"/>
    <w:rsid w:val="00117563"/>
    <w:rsid w:val="00117806"/>
    <w:rsid w:val="00120A84"/>
    <w:rsid w:val="00120AE8"/>
    <w:rsid w:val="00121744"/>
    <w:rsid w:val="00123B54"/>
    <w:rsid w:val="001244DA"/>
    <w:rsid w:val="00124661"/>
    <w:rsid w:val="00124B2D"/>
    <w:rsid w:val="001251EE"/>
    <w:rsid w:val="0012573E"/>
    <w:rsid w:val="00125D34"/>
    <w:rsid w:val="001268DC"/>
    <w:rsid w:val="00127CAF"/>
    <w:rsid w:val="00127DF1"/>
    <w:rsid w:val="00127E5E"/>
    <w:rsid w:val="001300BC"/>
    <w:rsid w:val="001307E4"/>
    <w:rsid w:val="00130DA4"/>
    <w:rsid w:val="00131ED5"/>
    <w:rsid w:val="001326C7"/>
    <w:rsid w:val="00132A14"/>
    <w:rsid w:val="00132D5B"/>
    <w:rsid w:val="00132DC1"/>
    <w:rsid w:val="00132F3C"/>
    <w:rsid w:val="001335C0"/>
    <w:rsid w:val="00133766"/>
    <w:rsid w:val="001347C8"/>
    <w:rsid w:val="00135371"/>
    <w:rsid w:val="00136605"/>
    <w:rsid w:val="001368B9"/>
    <w:rsid w:val="00136A5B"/>
    <w:rsid w:val="00136B2D"/>
    <w:rsid w:val="001371A2"/>
    <w:rsid w:val="00137A90"/>
    <w:rsid w:val="001402D6"/>
    <w:rsid w:val="0014286E"/>
    <w:rsid w:val="00142DA7"/>
    <w:rsid w:val="001440C2"/>
    <w:rsid w:val="00144293"/>
    <w:rsid w:val="00144525"/>
    <w:rsid w:val="00144C98"/>
    <w:rsid w:val="00145DFC"/>
    <w:rsid w:val="0014600F"/>
    <w:rsid w:val="0014672B"/>
    <w:rsid w:val="00146847"/>
    <w:rsid w:val="00147507"/>
    <w:rsid w:val="00150F81"/>
    <w:rsid w:val="00151093"/>
    <w:rsid w:val="001517A6"/>
    <w:rsid w:val="00152AC5"/>
    <w:rsid w:val="001530F2"/>
    <w:rsid w:val="0015335C"/>
    <w:rsid w:val="00153B26"/>
    <w:rsid w:val="0015435C"/>
    <w:rsid w:val="001549CA"/>
    <w:rsid w:val="00154A4D"/>
    <w:rsid w:val="00154A55"/>
    <w:rsid w:val="00155218"/>
    <w:rsid w:val="00156CD3"/>
    <w:rsid w:val="00157C91"/>
    <w:rsid w:val="00157D96"/>
    <w:rsid w:val="0016080D"/>
    <w:rsid w:val="0016137E"/>
    <w:rsid w:val="00161A9B"/>
    <w:rsid w:val="00162933"/>
    <w:rsid w:val="00162EE7"/>
    <w:rsid w:val="00162FD7"/>
    <w:rsid w:val="001634EB"/>
    <w:rsid w:val="00163A2C"/>
    <w:rsid w:val="00163E89"/>
    <w:rsid w:val="00164185"/>
    <w:rsid w:val="001643DE"/>
    <w:rsid w:val="00164552"/>
    <w:rsid w:val="00164985"/>
    <w:rsid w:val="00164C50"/>
    <w:rsid w:val="0016584B"/>
    <w:rsid w:val="001659D7"/>
    <w:rsid w:val="00165B50"/>
    <w:rsid w:val="00165CD2"/>
    <w:rsid w:val="001663E0"/>
    <w:rsid w:val="001663E9"/>
    <w:rsid w:val="0016750B"/>
    <w:rsid w:val="00170048"/>
    <w:rsid w:val="00170F25"/>
    <w:rsid w:val="0017182A"/>
    <w:rsid w:val="00171BD1"/>
    <w:rsid w:val="00171E6C"/>
    <w:rsid w:val="0017239E"/>
    <w:rsid w:val="00172824"/>
    <w:rsid w:val="00173411"/>
    <w:rsid w:val="0017516D"/>
    <w:rsid w:val="00175709"/>
    <w:rsid w:val="001758D9"/>
    <w:rsid w:val="00175EE7"/>
    <w:rsid w:val="0017724A"/>
    <w:rsid w:val="00177EE1"/>
    <w:rsid w:val="00181034"/>
    <w:rsid w:val="00181280"/>
    <w:rsid w:val="00181EBE"/>
    <w:rsid w:val="00181FF7"/>
    <w:rsid w:val="001821EB"/>
    <w:rsid w:val="00182851"/>
    <w:rsid w:val="00183239"/>
    <w:rsid w:val="001833D4"/>
    <w:rsid w:val="0018390C"/>
    <w:rsid w:val="00183CB1"/>
    <w:rsid w:val="00183F88"/>
    <w:rsid w:val="00184130"/>
    <w:rsid w:val="001841B5"/>
    <w:rsid w:val="0018484D"/>
    <w:rsid w:val="001849F6"/>
    <w:rsid w:val="001851A6"/>
    <w:rsid w:val="00186583"/>
    <w:rsid w:val="0018676E"/>
    <w:rsid w:val="001868D1"/>
    <w:rsid w:val="00186914"/>
    <w:rsid w:val="00190C18"/>
    <w:rsid w:val="001912DB"/>
    <w:rsid w:val="001915D5"/>
    <w:rsid w:val="00191A81"/>
    <w:rsid w:val="0019241F"/>
    <w:rsid w:val="001938D2"/>
    <w:rsid w:val="00193B67"/>
    <w:rsid w:val="00194F40"/>
    <w:rsid w:val="0019590D"/>
    <w:rsid w:val="00195ED2"/>
    <w:rsid w:val="00196996"/>
    <w:rsid w:val="001974DF"/>
    <w:rsid w:val="00197BCE"/>
    <w:rsid w:val="00197E0C"/>
    <w:rsid w:val="001A10DA"/>
    <w:rsid w:val="001A1110"/>
    <w:rsid w:val="001A151C"/>
    <w:rsid w:val="001A28AC"/>
    <w:rsid w:val="001A3C99"/>
    <w:rsid w:val="001A4207"/>
    <w:rsid w:val="001A4222"/>
    <w:rsid w:val="001A427A"/>
    <w:rsid w:val="001A4419"/>
    <w:rsid w:val="001A4E4B"/>
    <w:rsid w:val="001A50B2"/>
    <w:rsid w:val="001A6F69"/>
    <w:rsid w:val="001B0999"/>
    <w:rsid w:val="001B0CED"/>
    <w:rsid w:val="001B0E46"/>
    <w:rsid w:val="001B1C67"/>
    <w:rsid w:val="001B1F72"/>
    <w:rsid w:val="001B298C"/>
    <w:rsid w:val="001B29CB"/>
    <w:rsid w:val="001B2B12"/>
    <w:rsid w:val="001B311B"/>
    <w:rsid w:val="001B3E6D"/>
    <w:rsid w:val="001B434D"/>
    <w:rsid w:val="001B4D5B"/>
    <w:rsid w:val="001B4FD8"/>
    <w:rsid w:val="001B572F"/>
    <w:rsid w:val="001B5C10"/>
    <w:rsid w:val="001B5E21"/>
    <w:rsid w:val="001B6DE9"/>
    <w:rsid w:val="001B71B9"/>
    <w:rsid w:val="001C03B6"/>
    <w:rsid w:val="001C0EA7"/>
    <w:rsid w:val="001C1258"/>
    <w:rsid w:val="001C197A"/>
    <w:rsid w:val="001C2CE6"/>
    <w:rsid w:val="001C340C"/>
    <w:rsid w:val="001C4672"/>
    <w:rsid w:val="001C54EA"/>
    <w:rsid w:val="001C56C4"/>
    <w:rsid w:val="001C5AAC"/>
    <w:rsid w:val="001C5B40"/>
    <w:rsid w:val="001C6C08"/>
    <w:rsid w:val="001C6DEB"/>
    <w:rsid w:val="001C7A44"/>
    <w:rsid w:val="001D01B9"/>
    <w:rsid w:val="001D0C3F"/>
    <w:rsid w:val="001D0C7D"/>
    <w:rsid w:val="001D0E5A"/>
    <w:rsid w:val="001D1004"/>
    <w:rsid w:val="001D1576"/>
    <w:rsid w:val="001D1A0C"/>
    <w:rsid w:val="001D1E18"/>
    <w:rsid w:val="001D2BEC"/>
    <w:rsid w:val="001D3FF5"/>
    <w:rsid w:val="001D4DAE"/>
    <w:rsid w:val="001D4DB0"/>
    <w:rsid w:val="001D7382"/>
    <w:rsid w:val="001D7DC2"/>
    <w:rsid w:val="001D7F2D"/>
    <w:rsid w:val="001E0960"/>
    <w:rsid w:val="001E1705"/>
    <w:rsid w:val="001E24ED"/>
    <w:rsid w:val="001E2F66"/>
    <w:rsid w:val="001E3B21"/>
    <w:rsid w:val="001E3DA4"/>
    <w:rsid w:val="001E44F4"/>
    <w:rsid w:val="001E46AF"/>
    <w:rsid w:val="001E4859"/>
    <w:rsid w:val="001E4E15"/>
    <w:rsid w:val="001E52AE"/>
    <w:rsid w:val="001E594A"/>
    <w:rsid w:val="001E66C4"/>
    <w:rsid w:val="001E66CD"/>
    <w:rsid w:val="001E68F1"/>
    <w:rsid w:val="001E692C"/>
    <w:rsid w:val="001E6D33"/>
    <w:rsid w:val="001F0351"/>
    <w:rsid w:val="001F0EDB"/>
    <w:rsid w:val="001F118A"/>
    <w:rsid w:val="001F1370"/>
    <w:rsid w:val="001F1697"/>
    <w:rsid w:val="001F280D"/>
    <w:rsid w:val="001F370B"/>
    <w:rsid w:val="001F3D76"/>
    <w:rsid w:val="001F49BB"/>
    <w:rsid w:val="001F515C"/>
    <w:rsid w:val="001F54C4"/>
    <w:rsid w:val="001F5A3C"/>
    <w:rsid w:val="001F6CF3"/>
    <w:rsid w:val="001F7120"/>
    <w:rsid w:val="001F7266"/>
    <w:rsid w:val="001F7620"/>
    <w:rsid w:val="001F78AC"/>
    <w:rsid w:val="001F7CA0"/>
    <w:rsid w:val="002005DA"/>
    <w:rsid w:val="00200913"/>
    <w:rsid w:val="00200989"/>
    <w:rsid w:val="002012A0"/>
    <w:rsid w:val="00201613"/>
    <w:rsid w:val="00201CF8"/>
    <w:rsid w:val="00202EF9"/>
    <w:rsid w:val="00203004"/>
    <w:rsid w:val="002042B0"/>
    <w:rsid w:val="00205340"/>
    <w:rsid w:val="0020564F"/>
    <w:rsid w:val="0020642A"/>
    <w:rsid w:val="00206620"/>
    <w:rsid w:val="002066A0"/>
    <w:rsid w:val="00206CE3"/>
    <w:rsid w:val="00207385"/>
    <w:rsid w:val="00207EA5"/>
    <w:rsid w:val="00207ED8"/>
    <w:rsid w:val="00210247"/>
    <w:rsid w:val="0021047C"/>
    <w:rsid w:val="00210CA0"/>
    <w:rsid w:val="002111B7"/>
    <w:rsid w:val="00212606"/>
    <w:rsid w:val="00212695"/>
    <w:rsid w:val="00213E06"/>
    <w:rsid w:val="002140E0"/>
    <w:rsid w:val="00214997"/>
    <w:rsid w:val="00214BE5"/>
    <w:rsid w:val="002151B1"/>
    <w:rsid w:val="0021770D"/>
    <w:rsid w:val="00217A63"/>
    <w:rsid w:val="00217AD8"/>
    <w:rsid w:val="002200D6"/>
    <w:rsid w:val="00220501"/>
    <w:rsid w:val="002209BC"/>
    <w:rsid w:val="00220AD3"/>
    <w:rsid w:val="002220A5"/>
    <w:rsid w:val="002227F6"/>
    <w:rsid w:val="00222DBC"/>
    <w:rsid w:val="00222E5C"/>
    <w:rsid w:val="0022305F"/>
    <w:rsid w:val="00223C73"/>
    <w:rsid w:val="00224569"/>
    <w:rsid w:val="002249C0"/>
    <w:rsid w:val="002257F5"/>
    <w:rsid w:val="00225C51"/>
    <w:rsid w:val="00230B4E"/>
    <w:rsid w:val="00230E34"/>
    <w:rsid w:val="002311C1"/>
    <w:rsid w:val="0023274D"/>
    <w:rsid w:val="002336C4"/>
    <w:rsid w:val="00234027"/>
    <w:rsid w:val="00234616"/>
    <w:rsid w:val="00234620"/>
    <w:rsid w:val="00234F39"/>
    <w:rsid w:val="0023506D"/>
    <w:rsid w:val="00235D0B"/>
    <w:rsid w:val="00236069"/>
    <w:rsid w:val="0023614B"/>
    <w:rsid w:val="00236DB6"/>
    <w:rsid w:val="00236DD7"/>
    <w:rsid w:val="002370A2"/>
    <w:rsid w:val="00237862"/>
    <w:rsid w:val="00237A32"/>
    <w:rsid w:val="00237B96"/>
    <w:rsid w:val="00240540"/>
    <w:rsid w:val="00240C6E"/>
    <w:rsid w:val="00241DAD"/>
    <w:rsid w:val="00242306"/>
    <w:rsid w:val="00242AEA"/>
    <w:rsid w:val="002430D0"/>
    <w:rsid w:val="00243DC9"/>
    <w:rsid w:val="002450CA"/>
    <w:rsid w:val="0024538A"/>
    <w:rsid w:val="00245E41"/>
    <w:rsid w:val="00246816"/>
    <w:rsid w:val="00246AEF"/>
    <w:rsid w:val="0024735C"/>
    <w:rsid w:val="00247365"/>
    <w:rsid w:val="00247D16"/>
    <w:rsid w:val="002511D1"/>
    <w:rsid w:val="0025146B"/>
    <w:rsid w:val="00252DD4"/>
    <w:rsid w:val="00253995"/>
    <w:rsid w:val="002542C9"/>
    <w:rsid w:val="002548D5"/>
    <w:rsid w:val="00254E5F"/>
    <w:rsid w:val="0025536C"/>
    <w:rsid w:val="00257673"/>
    <w:rsid w:val="00257768"/>
    <w:rsid w:val="00257D09"/>
    <w:rsid w:val="00257EEC"/>
    <w:rsid w:val="00260123"/>
    <w:rsid w:val="00261961"/>
    <w:rsid w:val="00261B92"/>
    <w:rsid w:val="00261FC3"/>
    <w:rsid w:val="0026251C"/>
    <w:rsid w:val="002627DD"/>
    <w:rsid w:val="00262983"/>
    <w:rsid w:val="00262D87"/>
    <w:rsid w:val="00263002"/>
    <w:rsid w:val="002631A9"/>
    <w:rsid w:val="00263A78"/>
    <w:rsid w:val="0026490E"/>
    <w:rsid w:val="002649A8"/>
    <w:rsid w:val="0026542C"/>
    <w:rsid w:val="002656A3"/>
    <w:rsid w:val="00265D59"/>
    <w:rsid w:val="002662DC"/>
    <w:rsid w:val="002664A5"/>
    <w:rsid w:val="00266F5C"/>
    <w:rsid w:val="002677AC"/>
    <w:rsid w:val="002704DD"/>
    <w:rsid w:val="00271AC6"/>
    <w:rsid w:val="00272134"/>
    <w:rsid w:val="0027223D"/>
    <w:rsid w:val="002724DA"/>
    <w:rsid w:val="00272899"/>
    <w:rsid w:val="00272F25"/>
    <w:rsid w:val="00272FFF"/>
    <w:rsid w:val="002743F1"/>
    <w:rsid w:val="00274840"/>
    <w:rsid w:val="00275BD9"/>
    <w:rsid w:val="00275EBC"/>
    <w:rsid w:val="00276C86"/>
    <w:rsid w:val="00277136"/>
    <w:rsid w:val="002803D0"/>
    <w:rsid w:val="00280669"/>
    <w:rsid w:val="0028070B"/>
    <w:rsid w:val="00280D3E"/>
    <w:rsid w:val="00280E1F"/>
    <w:rsid w:val="00280E2E"/>
    <w:rsid w:val="00281362"/>
    <w:rsid w:val="00282179"/>
    <w:rsid w:val="00282589"/>
    <w:rsid w:val="0028289C"/>
    <w:rsid w:val="00283B9E"/>
    <w:rsid w:val="002847D7"/>
    <w:rsid w:val="002848DD"/>
    <w:rsid w:val="00284E31"/>
    <w:rsid w:val="002853A2"/>
    <w:rsid w:val="00285432"/>
    <w:rsid w:val="00286086"/>
    <w:rsid w:val="002861F2"/>
    <w:rsid w:val="00286320"/>
    <w:rsid w:val="002863C4"/>
    <w:rsid w:val="00286685"/>
    <w:rsid w:val="00286ACB"/>
    <w:rsid w:val="00286D57"/>
    <w:rsid w:val="00287AEF"/>
    <w:rsid w:val="00290206"/>
    <w:rsid w:val="0029038D"/>
    <w:rsid w:val="00290A2A"/>
    <w:rsid w:val="00290A3F"/>
    <w:rsid w:val="00290E29"/>
    <w:rsid w:val="00291FDB"/>
    <w:rsid w:val="00292354"/>
    <w:rsid w:val="002925AA"/>
    <w:rsid w:val="00292B2D"/>
    <w:rsid w:val="00293124"/>
    <w:rsid w:val="0029327F"/>
    <w:rsid w:val="00293AC8"/>
    <w:rsid w:val="00293DEA"/>
    <w:rsid w:val="00294A0B"/>
    <w:rsid w:val="00294F87"/>
    <w:rsid w:val="002954F5"/>
    <w:rsid w:val="002955AF"/>
    <w:rsid w:val="00295F5F"/>
    <w:rsid w:val="00297DED"/>
    <w:rsid w:val="002A2843"/>
    <w:rsid w:val="002A2DCB"/>
    <w:rsid w:val="002A2E47"/>
    <w:rsid w:val="002A31DD"/>
    <w:rsid w:val="002A32A5"/>
    <w:rsid w:val="002A344B"/>
    <w:rsid w:val="002A3B14"/>
    <w:rsid w:val="002A3DB1"/>
    <w:rsid w:val="002A4515"/>
    <w:rsid w:val="002A4D1A"/>
    <w:rsid w:val="002A539D"/>
    <w:rsid w:val="002A6538"/>
    <w:rsid w:val="002B05DF"/>
    <w:rsid w:val="002B11F4"/>
    <w:rsid w:val="002B3132"/>
    <w:rsid w:val="002B3506"/>
    <w:rsid w:val="002B401F"/>
    <w:rsid w:val="002B4406"/>
    <w:rsid w:val="002B483E"/>
    <w:rsid w:val="002B5BB2"/>
    <w:rsid w:val="002B60D3"/>
    <w:rsid w:val="002B6213"/>
    <w:rsid w:val="002B6DFC"/>
    <w:rsid w:val="002C076E"/>
    <w:rsid w:val="002C0873"/>
    <w:rsid w:val="002C0E86"/>
    <w:rsid w:val="002C1320"/>
    <w:rsid w:val="002C1BB4"/>
    <w:rsid w:val="002C30BC"/>
    <w:rsid w:val="002C3488"/>
    <w:rsid w:val="002C4A12"/>
    <w:rsid w:val="002C4C4C"/>
    <w:rsid w:val="002C5865"/>
    <w:rsid w:val="002C5F46"/>
    <w:rsid w:val="002C6961"/>
    <w:rsid w:val="002C6EB8"/>
    <w:rsid w:val="002C7D4B"/>
    <w:rsid w:val="002D0AC3"/>
    <w:rsid w:val="002D145D"/>
    <w:rsid w:val="002D1B66"/>
    <w:rsid w:val="002D1F0E"/>
    <w:rsid w:val="002D347A"/>
    <w:rsid w:val="002D3D28"/>
    <w:rsid w:val="002D4EB3"/>
    <w:rsid w:val="002D5A73"/>
    <w:rsid w:val="002D5B95"/>
    <w:rsid w:val="002D70B0"/>
    <w:rsid w:val="002D75B4"/>
    <w:rsid w:val="002E0063"/>
    <w:rsid w:val="002E11D8"/>
    <w:rsid w:val="002E1671"/>
    <w:rsid w:val="002E197A"/>
    <w:rsid w:val="002E2386"/>
    <w:rsid w:val="002E2556"/>
    <w:rsid w:val="002E263B"/>
    <w:rsid w:val="002E2F7C"/>
    <w:rsid w:val="002E38F8"/>
    <w:rsid w:val="002E4A6D"/>
    <w:rsid w:val="002E62AF"/>
    <w:rsid w:val="002E62BC"/>
    <w:rsid w:val="002E632A"/>
    <w:rsid w:val="002E789E"/>
    <w:rsid w:val="002E7DD2"/>
    <w:rsid w:val="002F10BA"/>
    <w:rsid w:val="002F3B3A"/>
    <w:rsid w:val="002F5297"/>
    <w:rsid w:val="002F6887"/>
    <w:rsid w:val="002F6F33"/>
    <w:rsid w:val="002F7580"/>
    <w:rsid w:val="003008D1"/>
    <w:rsid w:val="00302D66"/>
    <w:rsid w:val="003033DA"/>
    <w:rsid w:val="00303B67"/>
    <w:rsid w:val="00304417"/>
    <w:rsid w:val="003065E2"/>
    <w:rsid w:val="00307C7A"/>
    <w:rsid w:val="003105E5"/>
    <w:rsid w:val="003117B7"/>
    <w:rsid w:val="00311E11"/>
    <w:rsid w:val="0031277B"/>
    <w:rsid w:val="00312A89"/>
    <w:rsid w:val="00314760"/>
    <w:rsid w:val="00315005"/>
    <w:rsid w:val="003151FB"/>
    <w:rsid w:val="00317221"/>
    <w:rsid w:val="0032056D"/>
    <w:rsid w:val="003208BC"/>
    <w:rsid w:val="00321AD2"/>
    <w:rsid w:val="00322437"/>
    <w:rsid w:val="0032289C"/>
    <w:rsid w:val="0032297E"/>
    <w:rsid w:val="003247C7"/>
    <w:rsid w:val="00324846"/>
    <w:rsid w:val="0032573C"/>
    <w:rsid w:val="00326B8E"/>
    <w:rsid w:val="00327088"/>
    <w:rsid w:val="00327508"/>
    <w:rsid w:val="00327DF8"/>
    <w:rsid w:val="003301EE"/>
    <w:rsid w:val="00330BC7"/>
    <w:rsid w:val="0033193A"/>
    <w:rsid w:val="003329D0"/>
    <w:rsid w:val="0033300B"/>
    <w:rsid w:val="0033327A"/>
    <w:rsid w:val="003337EB"/>
    <w:rsid w:val="00334FEE"/>
    <w:rsid w:val="00335533"/>
    <w:rsid w:val="003356A7"/>
    <w:rsid w:val="003357EC"/>
    <w:rsid w:val="00335927"/>
    <w:rsid w:val="0033639B"/>
    <w:rsid w:val="00336B52"/>
    <w:rsid w:val="00337442"/>
    <w:rsid w:val="00337668"/>
    <w:rsid w:val="0033774B"/>
    <w:rsid w:val="00340E46"/>
    <w:rsid w:val="00341588"/>
    <w:rsid w:val="00341A16"/>
    <w:rsid w:val="00342CFE"/>
    <w:rsid w:val="00343E63"/>
    <w:rsid w:val="003441C8"/>
    <w:rsid w:val="00345CD4"/>
    <w:rsid w:val="0034607E"/>
    <w:rsid w:val="0034745D"/>
    <w:rsid w:val="003474D3"/>
    <w:rsid w:val="003474E8"/>
    <w:rsid w:val="003475A8"/>
    <w:rsid w:val="003475D7"/>
    <w:rsid w:val="00347AA8"/>
    <w:rsid w:val="003506A0"/>
    <w:rsid w:val="0035113B"/>
    <w:rsid w:val="00351A0A"/>
    <w:rsid w:val="00351B3E"/>
    <w:rsid w:val="00351BD4"/>
    <w:rsid w:val="00351CED"/>
    <w:rsid w:val="00353364"/>
    <w:rsid w:val="00353D16"/>
    <w:rsid w:val="00353F77"/>
    <w:rsid w:val="003542F4"/>
    <w:rsid w:val="003545F9"/>
    <w:rsid w:val="00354E3A"/>
    <w:rsid w:val="00355086"/>
    <w:rsid w:val="00356DAA"/>
    <w:rsid w:val="00357C69"/>
    <w:rsid w:val="00357FEA"/>
    <w:rsid w:val="0036028B"/>
    <w:rsid w:val="003603B2"/>
    <w:rsid w:val="00360632"/>
    <w:rsid w:val="00360658"/>
    <w:rsid w:val="00361089"/>
    <w:rsid w:val="0036118A"/>
    <w:rsid w:val="003612AD"/>
    <w:rsid w:val="00362511"/>
    <w:rsid w:val="003628A6"/>
    <w:rsid w:val="00363579"/>
    <w:rsid w:val="00363A73"/>
    <w:rsid w:val="00363D0D"/>
    <w:rsid w:val="00365D54"/>
    <w:rsid w:val="00365FC2"/>
    <w:rsid w:val="00366506"/>
    <w:rsid w:val="00366CF5"/>
    <w:rsid w:val="0036728E"/>
    <w:rsid w:val="00371983"/>
    <w:rsid w:val="00372493"/>
    <w:rsid w:val="0037277A"/>
    <w:rsid w:val="00372814"/>
    <w:rsid w:val="00372877"/>
    <w:rsid w:val="00373318"/>
    <w:rsid w:val="0037368B"/>
    <w:rsid w:val="00373B9D"/>
    <w:rsid w:val="00373F67"/>
    <w:rsid w:val="003762B8"/>
    <w:rsid w:val="00376CE5"/>
    <w:rsid w:val="003804E2"/>
    <w:rsid w:val="00380754"/>
    <w:rsid w:val="00380D8A"/>
    <w:rsid w:val="00381593"/>
    <w:rsid w:val="003815A9"/>
    <w:rsid w:val="003819BB"/>
    <w:rsid w:val="00382795"/>
    <w:rsid w:val="003828F2"/>
    <w:rsid w:val="0038302B"/>
    <w:rsid w:val="00383581"/>
    <w:rsid w:val="00384337"/>
    <w:rsid w:val="00384CF0"/>
    <w:rsid w:val="00385464"/>
    <w:rsid w:val="0038629A"/>
    <w:rsid w:val="00386362"/>
    <w:rsid w:val="00386A9F"/>
    <w:rsid w:val="0038745F"/>
    <w:rsid w:val="003874DF"/>
    <w:rsid w:val="003877C0"/>
    <w:rsid w:val="003901BC"/>
    <w:rsid w:val="00390410"/>
    <w:rsid w:val="003907C3"/>
    <w:rsid w:val="003908D4"/>
    <w:rsid w:val="00390B53"/>
    <w:rsid w:val="00391741"/>
    <w:rsid w:val="00391C5C"/>
    <w:rsid w:val="00391DF2"/>
    <w:rsid w:val="003926D3"/>
    <w:rsid w:val="0039337D"/>
    <w:rsid w:val="00393B6A"/>
    <w:rsid w:val="003944A6"/>
    <w:rsid w:val="00394535"/>
    <w:rsid w:val="00397C2E"/>
    <w:rsid w:val="003A01E0"/>
    <w:rsid w:val="003A172C"/>
    <w:rsid w:val="003A1F9B"/>
    <w:rsid w:val="003A2141"/>
    <w:rsid w:val="003A242C"/>
    <w:rsid w:val="003A2CA5"/>
    <w:rsid w:val="003A3700"/>
    <w:rsid w:val="003A37DB"/>
    <w:rsid w:val="003A3FD9"/>
    <w:rsid w:val="003A43A0"/>
    <w:rsid w:val="003A43E5"/>
    <w:rsid w:val="003A4663"/>
    <w:rsid w:val="003A4F91"/>
    <w:rsid w:val="003A5467"/>
    <w:rsid w:val="003A5FF4"/>
    <w:rsid w:val="003A6430"/>
    <w:rsid w:val="003A65CB"/>
    <w:rsid w:val="003A691E"/>
    <w:rsid w:val="003A6F4B"/>
    <w:rsid w:val="003A7490"/>
    <w:rsid w:val="003B030A"/>
    <w:rsid w:val="003B06CF"/>
    <w:rsid w:val="003B0C86"/>
    <w:rsid w:val="003B1A9A"/>
    <w:rsid w:val="003B2607"/>
    <w:rsid w:val="003B2BB8"/>
    <w:rsid w:val="003B3198"/>
    <w:rsid w:val="003B3AF8"/>
    <w:rsid w:val="003B3FE5"/>
    <w:rsid w:val="003B4ABD"/>
    <w:rsid w:val="003B4CE0"/>
    <w:rsid w:val="003B51A5"/>
    <w:rsid w:val="003B5735"/>
    <w:rsid w:val="003B5831"/>
    <w:rsid w:val="003B596D"/>
    <w:rsid w:val="003B59D6"/>
    <w:rsid w:val="003B5A04"/>
    <w:rsid w:val="003B65B7"/>
    <w:rsid w:val="003B7934"/>
    <w:rsid w:val="003C06B7"/>
    <w:rsid w:val="003C0E59"/>
    <w:rsid w:val="003C0EB6"/>
    <w:rsid w:val="003C1258"/>
    <w:rsid w:val="003C14CA"/>
    <w:rsid w:val="003C1553"/>
    <w:rsid w:val="003C1762"/>
    <w:rsid w:val="003C1827"/>
    <w:rsid w:val="003C340D"/>
    <w:rsid w:val="003C3913"/>
    <w:rsid w:val="003C410A"/>
    <w:rsid w:val="003C41D0"/>
    <w:rsid w:val="003C4990"/>
    <w:rsid w:val="003C49E1"/>
    <w:rsid w:val="003C57B0"/>
    <w:rsid w:val="003C60AB"/>
    <w:rsid w:val="003C637F"/>
    <w:rsid w:val="003C66CD"/>
    <w:rsid w:val="003C6BA0"/>
    <w:rsid w:val="003C6F16"/>
    <w:rsid w:val="003C73D4"/>
    <w:rsid w:val="003C7D9B"/>
    <w:rsid w:val="003D1390"/>
    <w:rsid w:val="003D13B1"/>
    <w:rsid w:val="003D2211"/>
    <w:rsid w:val="003D32D3"/>
    <w:rsid w:val="003D3330"/>
    <w:rsid w:val="003D3A0C"/>
    <w:rsid w:val="003D4024"/>
    <w:rsid w:val="003D453E"/>
    <w:rsid w:val="003D4AE5"/>
    <w:rsid w:val="003D4E54"/>
    <w:rsid w:val="003D500B"/>
    <w:rsid w:val="003D5024"/>
    <w:rsid w:val="003D5246"/>
    <w:rsid w:val="003D5413"/>
    <w:rsid w:val="003D564C"/>
    <w:rsid w:val="003D7029"/>
    <w:rsid w:val="003E0EFF"/>
    <w:rsid w:val="003E1DB4"/>
    <w:rsid w:val="003E2CC9"/>
    <w:rsid w:val="003E3E33"/>
    <w:rsid w:val="003E4288"/>
    <w:rsid w:val="003E4636"/>
    <w:rsid w:val="003E4724"/>
    <w:rsid w:val="003E472F"/>
    <w:rsid w:val="003E4838"/>
    <w:rsid w:val="003E53B4"/>
    <w:rsid w:val="003E558C"/>
    <w:rsid w:val="003E5F03"/>
    <w:rsid w:val="003E60A7"/>
    <w:rsid w:val="003E7021"/>
    <w:rsid w:val="003E795C"/>
    <w:rsid w:val="003F009A"/>
    <w:rsid w:val="003F05B3"/>
    <w:rsid w:val="003F0CD8"/>
    <w:rsid w:val="003F1DE5"/>
    <w:rsid w:val="003F1E4C"/>
    <w:rsid w:val="003F2B05"/>
    <w:rsid w:val="003F3082"/>
    <w:rsid w:val="003F319D"/>
    <w:rsid w:val="003F3642"/>
    <w:rsid w:val="003F3A0A"/>
    <w:rsid w:val="003F49AB"/>
    <w:rsid w:val="003F548E"/>
    <w:rsid w:val="003F59B8"/>
    <w:rsid w:val="003F6718"/>
    <w:rsid w:val="003F7246"/>
    <w:rsid w:val="003F7398"/>
    <w:rsid w:val="003F7643"/>
    <w:rsid w:val="004005B1"/>
    <w:rsid w:val="00401457"/>
    <w:rsid w:val="004016D7"/>
    <w:rsid w:val="00401EA5"/>
    <w:rsid w:val="00402449"/>
    <w:rsid w:val="004027A5"/>
    <w:rsid w:val="00402929"/>
    <w:rsid w:val="00402D32"/>
    <w:rsid w:val="00402E85"/>
    <w:rsid w:val="00402EB6"/>
    <w:rsid w:val="00403B30"/>
    <w:rsid w:val="004059BD"/>
    <w:rsid w:val="00406C64"/>
    <w:rsid w:val="00407AC2"/>
    <w:rsid w:val="00407D87"/>
    <w:rsid w:val="004106E8"/>
    <w:rsid w:val="00410BB4"/>
    <w:rsid w:val="00410DB6"/>
    <w:rsid w:val="0041123F"/>
    <w:rsid w:val="004119A0"/>
    <w:rsid w:val="004128C0"/>
    <w:rsid w:val="00412930"/>
    <w:rsid w:val="00412DAB"/>
    <w:rsid w:val="00413598"/>
    <w:rsid w:val="00413612"/>
    <w:rsid w:val="004139EE"/>
    <w:rsid w:val="0041454D"/>
    <w:rsid w:val="00414562"/>
    <w:rsid w:val="00414A2F"/>
    <w:rsid w:val="00414D44"/>
    <w:rsid w:val="0041502A"/>
    <w:rsid w:val="0041554E"/>
    <w:rsid w:val="004162B5"/>
    <w:rsid w:val="0041636D"/>
    <w:rsid w:val="00416814"/>
    <w:rsid w:val="0041695E"/>
    <w:rsid w:val="00420884"/>
    <w:rsid w:val="00420A18"/>
    <w:rsid w:val="0042149C"/>
    <w:rsid w:val="004217A7"/>
    <w:rsid w:val="00422275"/>
    <w:rsid w:val="00422CB4"/>
    <w:rsid w:val="00424201"/>
    <w:rsid w:val="00424470"/>
    <w:rsid w:val="00424538"/>
    <w:rsid w:val="00425782"/>
    <w:rsid w:val="004258F9"/>
    <w:rsid w:val="00425920"/>
    <w:rsid w:val="00426A23"/>
    <w:rsid w:val="00427245"/>
    <w:rsid w:val="0043260F"/>
    <w:rsid w:val="00432869"/>
    <w:rsid w:val="00432E8A"/>
    <w:rsid w:val="00433161"/>
    <w:rsid w:val="00433F3A"/>
    <w:rsid w:val="004346E7"/>
    <w:rsid w:val="0043480C"/>
    <w:rsid w:val="004353A3"/>
    <w:rsid w:val="00435E8D"/>
    <w:rsid w:val="00437226"/>
    <w:rsid w:val="004374BF"/>
    <w:rsid w:val="004379CC"/>
    <w:rsid w:val="004405BB"/>
    <w:rsid w:val="0044122C"/>
    <w:rsid w:val="00441288"/>
    <w:rsid w:val="0044276D"/>
    <w:rsid w:val="004429F4"/>
    <w:rsid w:val="004436C7"/>
    <w:rsid w:val="00443D62"/>
    <w:rsid w:val="0044496A"/>
    <w:rsid w:val="00444FD9"/>
    <w:rsid w:val="0044561A"/>
    <w:rsid w:val="0044579F"/>
    <w:rsid w:val="00445E31"/>
    <w:rsid w:val="004465B0"/>
    <w:rsid w:val="0045045D"/>
    <w:rsid w:val="00450AFC"/>
    <w:rsid w:val="00450D11"/>
    <w:rsid w:val="00452CE3"/>
    <w:rsid w:val="00453744"/>
    <w:rsid w:val="00453847"/>
    <w:rsid w:val="0045387A"/>
    <w:rsid w:val="00455440"/>
    <w:rsid w:val="00455C4F"/>
    <w:rsid w:val="00455E18"/>
    <w:rsid w:val="00456156"/>
    <w:rsid w:val="00456181"/>
    <w:rsid w:val="004568AA"/>
    <w:rsid w:val="00456C18"/>
    <w:rsid w:val="00456E24"/>
    <w:rsid w:val="0045708F"/>
    <w:rsid w:val="00460CD6"/>
    <w:rsid w:val="004622CD"/>
    <w:rsid w:val="004622DD"/>
    <w:rsid w:val="00463816"/>
    <w:rsid w:val="00463CD6"/>
    <w:rsid w:val="00463EB6"/>
    <w:rsid w:val="00464138"/>
    <w:rsid w:val="00464ADE"/>
    <w:rsid w:val="00464F27"/>
    <w:rsid w:val="00464F30"/>
    <w:rsid w:val="00465AA5"/>
    <w:rsid w:val="0046614F"/>
    <w:rsid w:val="00466291"/>
    <w:rsid w:val="00467ABB"/>
    <w:rsid w:val="00467DF9"/>
    <w:rsid w:val="00467F13"/>
    <w:rsid w:val="00470DC8"/>
    <w:rsid w:val="00471004"/>
    <w:rsid w:val="00471074"/>
    <w:rsid w:val="00472767"/>
    <w:rsid w:val="00474FFD"/>
    <w:rsid w:val="00475634"/>
    <w:rsid w:val="00475666"/>
    <w:rsid w:val="0047608C"/>
    <w:rsid w:val="00476097"/>
    <w:rsid w:val="00480C18"/>
    <w:rsid w:val="00480F6E"/>
    <w:rsid w:val="004826EB"/>
    <w:rsid w:val="00482A6C"/>
    <w:rsid w:val="00483168"/>
    <w:rsid w:val="004834A8"/>
    <w:rsid w:val="004843E7"/>
    <w:rsid w:val="00484C29"/>
    <w:rsid w:val="00484EF5"/>
    <w:rsid w:val="004850CE"/>
    <w:rsid w:val="0048543B"/>
    <w:rsid w:val="00485558"/>
    <w:rsid w:val="004860C6"/>
    <w:rsid w:val="00486736"/>
    <w:rsid w:val="00487590"/>
    <w:rsid w:val="00487D6A"/>
    <w:rsid w:val="0049073B"/>
    <w:rsid w:val="004909A0"/>
    <w:rsid w:val="00491AD8"/>
    <w:rsid w:val="0049206C"/>
    <w:rsid w:val="00492F70"/>
    <w:rsid w:val="00493463"/>
    <w:rsid w:val="00494796"/>
    <w:rsid w:val="00494C0E"/>
    <w:rsid w:val="0049518A"/>
    <w:rsid w:val="00495BFB"/>
    <w:rsid w:val="0049646D"/>
    <w:rsid w:val="00496810"/>
    <w:rsid w:val="00497B3F"/>
    <w:rsid w:val="004A02A5"/>
    <w:rsid w:val="004A2C28"/>
    <w:rsid w:val="004A4A89"/>
    <w:rsid w:val="004A5604"/>
    <w:rsid w:val="004A5DDE"/>
    <w:rsid w:val="004A64A4"/>
    <w:rsid w:val="004A71A5"/>
    <w:rsid w:val="004A79BE"/>
    <w:rsid w:val="004B035D"/>
    <w:rsid w:val="004B07AA"/>
    <w:rsid w:val="004B1AF1"/>
    <w:rsid w:val="004B2148"/>
    <w:rsid w:val="004B2EB9"/>
    <w:rsid w:val="004B3043"/>
    <w:rsid w:val="004B3B57"/>
    <w:rsid w:val="004B44F8"/>
    <w:rsid w:val="004B4B4D"/>
    <w:rsid w:val="004B4D6E"/>
    <w:rsid w:val="004B551F"/>
    <w:rsid w:val="004B5948"/>
    <w:rsid w:val="004B5AD5"/>
    <w:rsid w:val="004B5D72"/>
    <w:rsid w:val="004B624E"/>
    <w:rsid w:val="004B7579"/>
    <w:rsid w:val="004B78AD"/>
    <w:rsid w:val="004C0DE5"/>
    <w:rsid w:val="004C1065"/>
    <w:rsid w:val="004C1E23"/>
    <w:rsid w:val="004C2E75"/>
    <w:rsid w:val="004C3145"/>
    <w:rsid w:val="004C417E"/>
    <w:rsid w:val="004C534C"/>
    <w:rsid w:val="004C6840"/>
    <w:rsid w:val="004C7714"/>
    <w:rsid w:val="004C7E2D"/>
    <w:rsid w:val="004D0AB4"/>
    <w:rsid w:val="004D120C"/>
    <w:rsid w:val="004D14A3"/>
    <w:rsid w:val="004D20B5"/>
    <w:rsid w:val="004D24B6"/>
    <w:rsid w:val="004D2605"/>
    <w:rsid w:val="004D273A"/>
    <w:rsid w:val="004D3E84"/>
    <w:rsid w:val="004D3F3B"/>
    <w:rsid w:val="004D4367"/>
    <w:rsid w:val="004D4841"/>
    <w:rsid w:val="004D49BB"/>
    <w:rsid w:val="004D49CD"/>
    <w:rsid w:val="004D4AC8"/>
    <w:rsid w:val="004D561C"/>
    <w:rsid w:val="004D577A"/>
    <w:rsid w:val="004D5A50"/>
    <w:rsid w:val="004D5D6E"/>
    <w:rsid w:val="004D6468"/>
    <w:rsid w:val="004D65A9"/>
    <w:rsid w:val="004D6CD1"/>
    <w:rsid w:val="004D6EB5"/>
    <w:rsid w:val="004D7938"/>
    <w:rsid w:val="004D7A51"/>
    <w:rsid w:val="004E0083"/>
    <w:rsid w:val="004E0361"/>
    <w:rsid w:val="004E0BA9"/>
    <w:rsid w:val="004E15CC"/>
    <w:rsid w:val="004E20FF"/>
    <w:rsid w:val="004E232E"/>
    <w:rsid w:val="004E25EA"/>
    <w:rsid w:val="004E2BAA"/>
    <w:rsid w:val="004E2CC3"/>
    <w:rsid w:val="004E3993"/>
    <w:rsid w:val="004E4E67"/>
    <w:rsid w:val="004E4E94"/>
    <w:rsid w:val="004E5640"/>
    <w:rsid w:val="004E6A25"/>
    <w:rsid w:val="004E716B"/>
    <w:rsid w:val="004E7286"/>
    <w:rsid w:val="004F0350"/>
    <w:rsid w:val="004F042D"/>
    <w:rsid w:val="004F05A9"/>
    <w:rsid w:val="004F0E60"/>
    <w:rsid w:val="004F28BB"/>
    <w:rsid w:val="004F31E6"/>
    <w:rsid w:val="004F57E1"/>
    <w:rsid w:val="004F6C79"/>
    <w:rsid w:val="004F7280"/>
    <w:rsid w:val="004F76D0"/>
    <w:rsid w:val="005007C9"/>
    <w:rsid w:val="0050098D"/>
    <w:rsid w:val="005019F2"/>
    <w:rsid w:val="00501DDD"/>
    <w:rsid w:val="00501F11"/>
    <w:rsid w:val="00502AB6"/>
    <w:rsid w:val="00504D88"/>
    <w:rsid w:val="005055B3"/>
    <w:rsid w:val="00505665"/>
    <w:rsid w:val="00506AC0"/>
    <w:rsid w:val="0050775E"/>
    <w:rsid w:val="00507FBB"/>
    <w:rsid w:val="0051003C"/>
    <w:rsid w:val="00510287"/>
    <w:rsid w:val="00510AA8"/>
    <w:rsid w:val="00511559"/>
    <w:rsid w:val="005117A6"/>
    <w:rsid w:val="00512B02"/>
    <w:rsid w:val="00513882"/>
    <w:rsid w:val="0051438D"/>
    <w:rsid w:val="005145C3"/>
    <w:rsid w:val="00514A5E"/>
    <w:rsid w:val="00514B90"/>
    <w:rsid w:val="00515481"/>
    <w:rsid w:val="005155A1"/>
    <w:rsid w:val="00515924"/>
    <w:rsid w:val="00515F10"/>
    <w:rsid w:val="005164C1"/>
    <w:rsid w:val="00516680"/>
    <w:rsid w:val="00520A8B"/>
    <w:rsid w:val="00521B2B"/>
    <w:rsid w:val="00523C37"/>
    <w:rsid w:val="00523FAF"/>
    <w:rsid w:val="00524AAE"/>
    <w:rsid w:val="005252E8"/>
    <w:rsid w:val="005257E4"/>
    <w:rsid w:val="00527064"/>
    <w:rsid w:val="00527067"/>
    <w:rsid w:val="005273BB"/>
    <w:rsid w:val="00527AB4"/>
    <w:rsid w:val="00531977"/>
    <w:rsid w:val="005322CE"/>
    <w:rsid w:val="0053285E"/>
    <w:rsid w:val="00532C74"/>
    <w:rsid w:val="00532F75"/>
    <w:rsid w:val="0053394E"/>
    <w:rsid w:val="00533D63"/>
    <w:rsid w:val="00534C78"/>
    <w:rsid w:val="00535396"/>
    <w:rsid w:val="005355BD"/>
    <w:rsid w:val="00535EA5"/>
    <w:rsid w:val="00535ED7"/>
    <w:rsid w:val="005360F4"/>
    <w:rsid w:val="005361E7"/>
    <w:rsid w:val="005361F4"/>
    <w:rsid w:val="00536D1E"/>
    <w:rsid w:val="005370A6"/>
    <w:rsid w:val="00537239"/>
    <w:rsid w:val="0053729B"/>
    <w:rsid w:val="00540F4B"/>
    <w:rsid w:val="0054113C"/>
    <w:rsid w:val="0054118C"/>
    <w:rsid w:val="005418A0"/>
    <w:rsid w:val="00542190"/>
    <w:rsid w:val="00543512"/>
    <w:rsid w:val="005439B8"/>
    <w:rsid w:val="005448E8"/>
    <w:rsid w:val="00544C1F"/>
    <w:rsid w:val="00544C47"/>
    <w:rsid w:val="00544CEA"/>
    <w:rsid w:val="00545246"/>
    <w:rsid w:val="00545D2E"/>
    <w:rsid w:val="00545F2B"/>
    <w:rsid w:val="005460C4"/>
    <w:rsid w:val="00546190"/>
    <w:rsid w:val="005470DC"/>
    <w:rsid w:val="00547E73"/>
    <w:rsid w:val="0055004A"/>
    <w:rsid w:val="005504DF"/>
    <w:rsid w:val="005506AA"/>
    <w:rsid w:val="0055078F"/>
    <w:rsid w:val="00552333"/>
    <w:rsid w:val="005526DE"/>
    <w:rsid w:val="00553F94"/>
    <w:rsid w:val="00554958"/>
    <w:rsid w:val="00554A9A"/>
    <w:rsid w:val="00555010"/>
    <w:rsid w:val="005552AC"/>
    <w:rsid w:val="00555BA0"/>
    <w:rsid w:val="00555CD7"/>
    <w:rsid w:val="00555D36"/>
    <w:rsid w:val="00556149"/>
    <w:rsid w:val="00556EBC"/>
    <w:rsid w:val="0055794E"/>
    <w:rsid w:val="005609D2"/>
    <w:rsid w:val="00560BD5"/>
    <w:rsid w:val="0056111D"/>
    <w:rsid w:val="00561E23"/>
    <w:rsid w:val="00561F86"/>
    <w:rsid w:val="00562C80"/>
    <w:rsid w:val="00563121"/>
    <w:rsid w:val="00563B20"/>
    <w:rsid w:val="0056472B"/>
    <w:rsid w:val="00565833"/>
    <w:rsid w:val="00566F88"/>
    <w:rsid w:val="005670B1"/>
    <w:rsid w:val="0057050D"/>
    <w:rsid w:val="005717DE"/>
    <w:rsid w:val="00572B5E"/>
    <w:rsid w:val="0057324F"/>
    <w:rsid w:val="0057411A"/>
    <w:rsid w:val="00574556"/>
    <w:rsid w:val="00574ECD"/>
    <w:rsid w:val="00574F67"/>
    <w:rsid w:val="00575B38"/>
    <w:rsid w:val="00575FDB"/>
    <w:rsid w:val="00577086"/>
    <w:rsid w:val="00577656"/>
    <w:rsid w:val="00577CD6"/>
    <w:rsid w:val="00580E72"/>
    <w:rsid w:val="0058363C"/>
    <w:rsid w:val="00583DBC"/>
    <w:rsid w:val="00584E2C"/>
    <w:rsid w:val="00585624"/>
    <w:rsid w:val="00585652"/>
    <w:rsid w:val="00585A2A"/>
    <w:rsid w:val="00587D7D"/>
    <w:rsid w:val="00587E77"/>
    <w:rsid w:val="0059004C"/>
    <w:rsid w:val="0059142A"/>
    <w:rsid w:val="005915C2"/>
    <w:rsid w:val="005921CE"/>
    <w:rsid w:val="00592469"/>
    <w:rsid w:val="0059285D"/>
    <w:rsid w:val="005929BD"/>
    <w:rsid w:val="005945FF"/>
    <w:rsid w:val="0059481A"/>
    <w:rsid w:val="0059536F"/>
    <w:rsid w:val="005956C0"/>
    <w:rsid w:val="005958F8"/>
    <w:rsid w:val="00596043"/>
    <w:rsid w:val="005960C9"/>
    <w:rsid w:val="0059765E"/>
    <w:rsid w:val="00597CE4"/>
    <w:rsid w:val="005A10FB"/>
    <w:rsid w:val="005A147E"/>
    <w:rsid w:val="005A1802"/>
    <w:rsid w:val="005A1EED"/>
    <w:rsid w:val="005A24F6"/>
    <w:rsid w:val="005A260E"/>
    <w:rsid w:val="005A2EAA"/>
    <w:rsid w:val="005A2F07"/>
    <w:rsid w:val="005A3D5D"/>
    <w:rsid w:val="005A3EEB"/>
    <w:rsid w:val="005A43CD"/>
    <w:rsid w:val="005A4446"/>
    <w:rsid w:val="005A44B1"/>
    <w:rsid w:val="005A5A74"/>
    <w:rsid w:val="005A5B5D"/>
    <w:rsid w:val="005A647E"/>
    <w:rsid w:val="005A6687"/>
    <w:rsid w:val="005A73C7"/>
    <w:rsid w:val="005A774A"/>
    <w:rsid w:val="005A78D7"/>
    <w:rsid w:val="005B111C"/>
    <w:rsid w:val="005B1203"/>
    <w:rsid w:val="005B3DFB"/>
    <w:rsid w:val="005B42E4"/>
    <w:rsid w:val="005B4413"/>
    <w:rsid w:val="005B5A68"/>
    <w:rsid w:val="005B6D52"/>
    <w:rsid w:val="005B6D7F"/>
    <w:rsid w:val="005C0DCF"/>
    <w:rsid w:val="005C13AE"/>
    <w:rsid w:val="005C1765"/>
    <w:rsid w:val="005C1B63"/>
    <w:rsid w:val="005C1B7E"/>
    <w:rsid w:val="005C1EAA"/>
    <w:rsid w:val="005C2678"/>
    <w:rsid w:val="005C3CA7"/>
    <w:rsid w:val="005C4A61"/>
    <w:rsid w:val="005C4E3B"/>
    <w:rsid w:val="005C5AAE"/>
    <w:rsid w:val="005C7AA2"/>
    <w:rsid w:val="005C7D76"/>
    <w:rsid w:val="005D1707"/>
    <w:rsid w:val="005D1FB2"/>
    <w:rsid w:val="005D2182"/>
    <w:rsid w:val="005D35CE"/>
    <w:rsid w:val="005D453A"/>
    <w:rsid w:val="005D5392"/>
    <w:rsid w:val="005D66A2"/>
    <w:rsid w:val="005D6D9D"/>
    <w:rsid w:val="005D72E5"/>
    <w:rsid w:val="005D7F70"/>
    <w:rsid w:val="005E18E2"/>
    <w:rsid w:val="005E2760"/>
    <w:rsid w:val="005E2C9E"/>
    <w:rsid w:val="005E357B"/>
    <w:rsid w:val="005E4884"/>
    <w:rsid w:val="005E4AE5"/>
    <w:rsid w:val="005E4D38"/>
    <w:rsid w:val="005E5013"/>
    <w:rsid w:val="005E5041"/>
    <w:rsid w:val="005E59DD"/>
    <w:rsid w:val="005E5AF4"/>
    <w:rsid w:val="005E6CBD"/>
    <w:rsid w:val="005E6CFF"/>
    <w:rsid w:val="005E75BE"/>
    <w:rsid w:val="005E7B21"/>
    <w:rsid w:val="005E7B6E"/>
    <w:rsid w:val="005E7DF4"/>
    <w:rsid w:val="005F097C"/>
    <w:rsid w:val="005F09FE"/>
    <w:rsid w:val="005F17D9"/>
    <w:rsid w:val="005F300E"/>
    <w:rsid w:val="005F3488"/>
    <w:rsid w:val="005F3984"/>
    <w:rsid w:val="005F4853"/>
    <w:rsid w:val="005F4FCB"/>
    <w:rsid w:val="005F5280"/>
    <w:rsid w:val="005F5BC7"/>
    <w:rsid w:val="005F6364"/>
    <w:rsid w:val="005F6815"/>
    <w:rsid w:val="005F73F3"/>
    <w:rsid w:val="006001D4"/>
    <w:rsid w:val="00600720"/>
    <w:rsid w:val="00600940"/>
    <w:rsid w:val="00600FC3"/>
    <w:rsid w:val="00601378"/>
    <w:rsid w:val="0060275E"/>
    <w:rsid w:val="00602FEB"/>
    <w:rsid w:val="0060315B"/>
    <w:rsid w:val="0060322F"/>
    <w:rsid w:val="006032AE"/>
    <w:rsid w:val="00603698"/>
    <w:rsid w:val="00603BAF"/>
    <w:rsid w:val="00603EDA"/>
    <w:rsid w:val="006053E1"/>
    <w:rsid w:val="00605C51"/>
    <w:rsid w:val="006060E7"/>
    <w:rsid w:val="00606A13"/>
    <w:rsid w:val="00606B60"/>
    <w:rsid w:val="0060778B"/>
    <w:rsid w:val="00607D0C"/>
    <w:rsid w:val="00610A64"/>
    <w:rsid w:val="0061149A"/>
    <w:rsid w:val="00611808"/>
    <w:rsid w:val="00612856"/>
    <w:rsid w:val="00613A8D"/>
    <w:rsid w:val="006140CE"/>
    <w:rsid w:val="0061434A"/>
    <w:rsid w:val="006156AA"/>
    <w:rsid w:val="00616C5B"/>
    <w:rsid w:val="006173B1"/>
    <w:rsid w:val="00617774"/>
    <w:rsid w:val="00617D94"/>
    <w:rsid w:val="006200E4"/>
    <w:rsid w:val="00620982"/>
    <w:rsid w:val="00620EA1"/>
    <w:rsid w:val="00621775"/>
    <w:rsid w:val="00621C67"/>
    <w:rsid w:val="006222A8"/>
    <w:rsid w:val="00622EAD"/>
    <w:rsid w:val="006234D8"/>
    <w:rsid w:val="00623598"/>
    <w:rsid w:val="006241EE"/>
    <w:rsid w:val="00625680"/>
    <w:rsid w:val="00626995"/>
    <w:rsid w:val="00626E45"/>
    <w:rsid w:val="00626EA8"/>
    <w:rsid w:val="006274AE"/>
    <w:rsid w:val="00627FBA"/>
    <w:rsid w:val="0063004B"/>
    <w:rsid w:val="0063010C"/>
    <w:rsid w:val="00630878"/>
    <w:rsid w:val="00630A08"/>
    <w:rsid w:val="006311AF"/>
    <w:rsid w:val="006311E9"/>
    <w:rsid w:val="00631324"/>
    <w:rsid w:val="0063135A"/>
    <w:rsid w:val="006317D7"/>
    <w:rsid w:val="006321F0"/>
    <w:rsid w:val="00632A38"/>
    <w:rsid w:val="00632BA4"/>
    <w:rsid w:val="0063378F"/>
    <w:rsid w:val="006339FC"/>
    <w:rsid w:val="00633B6C"/>
    <w:rsid w:val="00634108"/>
    <w:rsid w:val="0063462E"/>
    <w:rsid w:val="006346BC"/>
    <w:rsid w:val="0063487C"/>
    <w:rsid w:val="00634C8C"/>
    <w:rsid w:val="00634D8A"/>
    <w:rsid w:val="00636A9F"/>
    <w:rsid w:val="00636E1D"/>
    <w:rsid w:val="00636E82"/>
    <w:rsid w:val="00640A79"/>
    <w:rsid w:val="006414BF"/>
    <w:rsid w:val="00641751"/>
    <w:rsid w:val="0064195F"/>
    <w:rsid w:val="00641CCE"/>
    <w:rsid w:val="00641E97"/>
    <w:rsid w:val="00642ABD"/>
    <w:rsid w:val="00642E26"/>
    <w:rsid w:val="0064413A"/>
    <w:rsid w:val="0064422C"/>
    <w:rsid w:val="00644AAA"/>
    <w:rsid w:val="00645434"/>
    <w:rsid w:val="00645B74"/>
    <w:rsid w:val="00645CF0"/>
    <w:rsid w:val="00646031"/>
    <w:rsid w:val="0064630B"/>
    <w:rsid w:val="00646B91"/>
    <w:rsid w:val="00646D22"/>
    <w:rsid w:val="006471B4"/>
    <w:rsid w:val="00650A38"/>
    <w:rsid w:val="006523F7"/>
    <w:rsid w:val="00652779"/>
    <w:rsid w:val="00653C7E"/>
    <w:rsid w:val="00653DC2"/>
    <w:rsid w:val="00653EB7"/>
    <w:rsid w:val="00653ED8"/>
    <w:rsid w:val="006559CE"/>
    <w:rsid w:val="00656105"/>
    <w:rsid w:val="0065692E"/>
    <w:rsid w:val="00656A42"/>
    <w:rsid w:val="00657835"/>
    <w:rsid w:val="00660549"/>
    <w:rsid w:val="0066075B"/>
    <w:rsid w:val="0066212A"/>
    <w:rsid w:val="006623B6"/>
    <w:rsid w:val="0066290A"/>
    <w:rsid w:val="006631F0"/>
    <w:rsid w:val="00663877"/>
    <w:rsid w:val="00664284"/>
    <w:rsid w:val="006643D5"/>
    <w:rsid w:val="00664981"/>
    <w:rsid w:val="00664A2D"/>
    <w:rsid w:val="00665091"/>
    <w:rsid w:val="006665F9"/>
    <w:rsid w:val="006667E7"/>
    <w:rsid w:val="006669B9"/>
    <w:rsid w:val="00666B55"/>
    <w:rsid w:val="00666C71"/>
    <w:rsid w:val="00667198"/>
    <w:rsid w:val="00667B7C"/>
    <w:rsid w:val="006704BC"/>
    <w:rsid w:val="00670EC1"/>
    <w:rsid w:val="00671081"/>
    <w:rsid w:val="0067135A"/>
    <w:rsid w:val="00671D47"/>
    <w:rsid w:val="00671DD7"/>
    <w:rsid w:val="0067265C"/>
    <w:rsid w:val="006726CA"/>
    <w:rsid w:val="006729C3"/>
    <w:rsid w:val="00672C0D"/>
    <w:rsid w:val="00672EEE"/>
    <w:rsid w:val="00673A6F"/>
    <w:rsid w:val="00674AFE"/>
    <w:rsid w:val="00674DDC"/>
    <w:rsid w:val="00675703"/>
    <w:rsid w:val="006764D2"/>
    <w:rsid w:val="00676A75"/>
    <w:rsid w:val="00680050"/>
    <w:rsid w:val="00680235"/>
    <w:rsid w:val="00680C78"/>
    <w:rsid w:val="0068122A"/>
    <w:rsid w:val="0068130A"/>
    <w:rsid w:val="00682179"/>
    <w:rsid w:val="00682302"/>
    <w:rsid w:val="00683AF2"/>
    <w:rsid w:val="00683CBE"/>
    <w:rsid w:val="0068451C"/>
    <w:rsid w:val="00685C2E"/>
    <w:rsid w:val="00685C4B"/>
    <w:rsid w:val="006867A5"/>
    <w:rsid w:val="00687920"/>
    <w:rsid w:val="00687C72"/>
    <w:rsid w:val="00687E51"/>
    <w:rsid w:val="00690469"/>
    <w:rsid w:val="00690C84"/>
    <w:rsid w:val="00690DE4"/>
    <w:rsid w:val="0069118A"/>
    <w:rsid w:val="006913AF"/>
    <w:rsid w:val="006914A3"/>
    <w:rsid w:val="00692115"/>
    <w:rsid w:val="0069264B"/>
    <w:rsid w:val="0069333F"/>
    <w:rsid w:val="00693380"/>
    <w:rsid w:val="006933C3"/>
    <w:rsid w:val="00694B0A"/>
    <w:rsid w:val="00694D2A"/>
    <w:rsid w:val="006956DF"/>
    <w:rsid w:val="00695AB2"/>
    <w:rsid w:val="00695B12"/>
    <w:rsid w:val="00695CAA"/>
    <w:rsid w:val="0069609D"/>
    <w:rsid w:val="006961CA"/>
    <w:rsid w:val="00697104"/>
    <w:rsid w:val="006971D1"/>
    <w:rsid w:val="00697267"/>
    <w:rsid w:val="0069737D"/>
    <w:rsid w:val="006A002A"/>
    <w:rsid w:val="006A07FE"/>
    <w:rsid w:val="006A0819"/>
    <w:rsid w:val="006A0A88"/>
    <w:rsid w:val="006A1851"/>
    <w:rsid w:val="006A1F01"/>
    <w:rsid w:val="006A2CCD"/>
    <w:rsid w:val="006A2F51"/>
    <w:rsid w:val="006A32BB"/>
    <w:rsid w:val="006A32C3"/>
    <w:rsid w:val="006A34AA"/>
    <w:rsid w:val="006A36D1"/>
    <w:rsid w:val="006A38F2"/>
    <w:rsid w:val="006A3998"/>
    <w:rsid w:val="006A4363"/>
    <w:rsid w:val="006A4419"/>
    <w:rsid w:val="006A4811"/>
    <w:rsid w:val="006A5585"/>
    <w:rsid w:val="006A55FD"/>
    <w:rsid w:val="006A5EA5"/>
    <w:rsid w:val="006A6D0E"/>
    <w:rsid w:val="006B126A"/>
    <w:rsid w:val="006B1877"/>
    <w:rsid w:val="006B1E4E"/>
    <w:rsid w:val="006B2220"/>
    <w:rsid w:val="006B2295"/>
    <w:rsid w:val="006B2AFE"/>
    <w:rsid w:val="006B2F3B"/>
    <w:rsid w:val="006B340A"/>
    <w:rsid w:val="006B3501"/>
    <w:rsid w:val="006B3881"/>
    <w:rsid w:val="006B48F5"/>
    <w:rsid w:val="006B52FE"/>
    <w:rsid w:val="006B5960"/>
    <w:rsid w:val="006B63BB"/>
    <w:rsid w:val="006B6E9B"/>
    <w:rsid w:val="006C0408"/>
    <w:rsid w:val="006C3063"/>
    <w:rsid w:val="006C3391"/>
    <w:rsid w:val="006C3577"/>
    <w:rsid w:val="006C3867"/>
    <w:rsid w:val="006C391C"/>
    <w:rsid w:val="006C3FDF"/>
    <w:rsid w:val="006C4060"/>
    <w:rsid w:val="006C40BC"/>
    <w:rsid w:val="006C4D86"/>
    <w:rsid w:val="006C55BF"/>
    <w:rsid w:val="006C6299"/>
    <w:rsid w:val="006D217F"/>
    <w:rsid w:val="006D28D7"/>
    <w:rsid w:val="006D2FD0"/>
    <w:rsid w:val="006D3723"/>
    <w:rsid w:val="006D37A9"/>
    <w:rsid w:val="006D3A8C"/>
    <w:rsid w:val="006D4094"/>
    <w:rsid w:val="006D576B"/>
    <w:rsid w:val="006D590D"/>
    <w:rsid w:val="006D6A20"/>
    <w:rsid w:val="006D7325"/>
    <w:rsid w:val="006E05B2"/>
    <w:rsid w:val="006E0A3D"/>
    <w:rsid w:val="006E238C"/>
    <w:rsid w:val="006E252A"/>
    <w:rsid w:val="006E2C75"/>
    <w:rsid w:val="006E34E8"/>
    <w:rsid w:val="006E4514"/>
    <w:rsid w:val="006E45E3"/>
    <w:rsid w:val="006E6B19"/>
    <w:rsid w:val="006E6D3E"/>
    <w:rsid w:val="006E6DFB"/>
    <w:rsid w:val="006E753B"/>
    <w:rsid w:val="006E7AC8"/>
    <w:rsid w:val="006E7E9D"/>
    <w:rsid w:val="006F1271"/>
    <w:rsid w:val="006F1FF3"/>
    <w:rsid w:val="006F2236"/>
    <w:rsid w:val="006F259B"/>
    <w:rsid w:val="006F26E9"/>
    <w:rsid w:val="006F2FC4"/>
    <w:rsid w:val="006F312B"/>
    <w:rsid w:val="006F4906"/>
    <w:rsid w:val="006F53F7"/>
    <w:rsid w:val="006F5714"/>
    <w:rsid w:val="006F5F76"/>
    <w:rsid w:val="006F6191"/>
    <w:rsid w:val="006F6754"/>
    <w:rsid w:val="006F6C66"/>
    <w:rsid w:val="006F7285"/>
    <w:rsid w:val="0070018C"/>
    <w:rsid w:val="0070094F"/>
    <w:rsid w:val="00700E8F"/>
    <w:rsid w:val="00701101"/>
    <w:rsid w:val="0070146D"/>
    <w:rsid w:val="0070170B"/>
    <w:rsid w:val="00701D64"/>
    <w:rsid w:val="007027F1"/>
    <w:rsid w:val="00702C4E"/>
    <w:rsid w:val="00706163"/>
    <w:rsid w:val="00706601"/>
    <w:rsid w:val="00706B04"/>
    <w:rsid w:val="00707601"/>
    <w:rsid w:val="00710053"/>
    <w:rsid w:val="00710193"/>
    <w:rsid w:val="007102D7"/>
    <w:rsid w:val="0071051A"/>
    <w:rsid w:val="007110C1"/>
    <w:rsid w:val="00712157"/>
    <w:rsid w:val="00713358"/>
    <w:rsid w:val="0071344A"/>
    <w:rsid w:val="00713710"/>
    <w:rsid w:val="007139CA"/>
    <w:rsid w:val="00713A7C"/>
    <w:rsid w:val="0071441E"/>
    <w:rsid w:val="00714E21"/>
    <w:rsid w:val="00715423"/>
    <w:rsid w:val="00715B34"/>
    <w:rsid w:val="00715CBD"/>
    <w:rsid w:val="0071603F"/>
    <w:rsid w:val="0071606A"/>
    <w:rsid w:val="00716E31"/>
    <w:rsid w:val="007170F5"/>
    <w:rsid w:val="007177DE"/>
    <w:rsid w:val="00717EF3"/>
    <w:rsid w:val="00720C0A"/>
    <w:rsid w:val="00720FCE"/>
    <w:rsid w:val="007216D5"/>
    <w:rsid w:val="007218F3"/>
    <w:rsid w:val="0072223A"/>
    <w:rsid w:val="007241E3"/>
    <w:rsid w:val="007251FA"/>
    <w:rsid w:val="00725590"/>
    <w:rsid w:val="00725CC4"/>
    <w:rsid w:val="007266A0"/>
    <w:rsid w:val="00726C01"/>
    <w:rsid w:val="00726D4F"/>
    <w:rsid w:val="007272B9"/>
    <w:rsid w:val="00727944"/>
    <w:rsid w:val="00727ED1"/>
    <w:rsid w:val="00727EFD"/>
    <w:rsid w:val="0073086B"/>
    <w:rsid w:val="00730AB9"/>
    <w:rsid w:val="0073284B"/>
    <w:rsid w:val="00732DE3"/>
    <w:rsid w:val="00733E89"/>
    <w:rsid w:val="00734752"/>
    <w:rsid w:val="00734F9A"/>
    <w:rsid w:val="0073544A"/>
    <w:rsid w:val="007355A3"/>
    <w:rsid w:val="00735A26"/>
    <w:rsid w:val="0073601C"/>
    <w:rsid w:val="007368D2"/>
    <w:rsid w:val="00736AB1"/>
    <w:rsid w:val="007370F3"/>
    <w:rsid w:val="007378F3"/>
    <w:rsid w:val="00737F65"/>
    <w:rsid w:val="00740BC1"/>
    <w:rsid w:val="00740E2D"/>
    <w:rsid w:val="00740E66"/>
    <w:rsid w:val="0074188C"/>
    <w:rsid w:val="007419DE"/>
    <w:rsid w:val="007422D7"/>
    <w:rsid w:val="00742958"/>
    <w:rsid w:val="00743470"/>
    <w:rsid w:val="0074361E"/>
    <w:rsid w:val="007438A9"/>
    <w:rsid w:val="007439A2"/>
    <w:rsid w:val="00743F27"/>
    <w:rsid w:val="00744A9C"/>
    <w:rsid w:val="007459E5"/>
    <w:rsid w:val="0074647D"/>
    <w:rsid w:val="00746F84"/>
    <w:rsid w:val="00747918"/>
    <w:rsid w:val="00747FC8"/>
    <w:rsid w:val="00750DE0"/>
    <w:rsid w:val="007514FC"/>
    <w:rsid w:val="0075152D"/>
    <w:rsid w:val="00751CD1"/>
    <w:rsid w:val="00751DB9"/>
    <w:rsid w:val="00752726"/>
    <w:rsid w:val="0075310A"/>
    <w:rsid w:val="00753335"/>
    <w:rsid w:val="00753355"/>
    <w:rsid w:val="00753C5D"/>
    <w:rsid w:val="007541FA"/>
    <w:rsid w:val="007545B2"/>
    <w:rsid w:val="0075541E"/>
    <w:rsid w:val="00755785"/>
    <w:rsid w:val="00755B78"/>
    <w:rsid w:val="007563A6"/>
    <w:rsid w:val="007568DA"/>
    <w:rsid w:val="00756918"/>
    <w:rsid w:val="00756D1D"/>
    <w:rsid w:val="00756EA7"/>
    <w:rsid w:val="00757B9F"/>
    <w:rsid w:val="00761152"/>
    <w:rsid w:val="00761224"/>
    <w:rsid w:val="00761725"/>
    <w:rsid w:val="00761B0B"/>
    <w:rsid w:val="00762B8B"/>
    <w:rsid w:val="00762FE8"/>
    <w:rsid w:val="007633A6"/>
    <w:rsid w:val="00763DAB"/>
    <w:rsid w:val="0076411A"/>
    <w:rsid w:val="0076415C"/>
    <w:rsid w:val="00764479"/>
    <w:rsid w:val="00764725"/>
    <w:rsid w:val="00764783"/>
    <w:rsid w:val="00764FFA"/>
    <w:rsid w:val="0076502E"/>
    <w:rsid w:val="00765EEF"/>
    <w:rsid w:val="00767012"/>
    <w:rsid w:val="00770365"/>
    <w:rsid w:val="007706EC"/>
    <w:rsid w:val="007708EE"/>
    <w:rsid w:val="00770D0F"/>
    <w:rsid w:val="00771022"/>
    <w:rsid w:val="00771299"/>
    <w:rsid w:val="007724C5"/>
    <w:rsid w:val="007727B3"/>
    <w:rsid w:val="007728DA"/>
    <w:rsid w:val="00772C79"/>
    <w:rsid w:val="00773A28"/>
    <w:rsid w:val="00773D10"/>
    <w:rsid w:val="00773E3B"/>
    <w:rsid w:val="00774879"/>
    <w:rsid w:val="00774BE5"/>
    <w:rsid w:val="00774C0B"/>
    <w:rsid w:val="00776C26"/>
    <w:rsid w:val="00777C92"/>
    <w:rsid w:val="00780ACD"/>
    <w:rsid w:val="0078133F"/>
    <w:rsid w:val="007820A9"/>
    <w:rsid w:val="007825E8"/>
    <w:rsid w:val="0078295A"/>
    <w:rsid w:val="00782C22"/>
    <w:rsid w:val="00782F03"/>
    <w:rsid w:val="00783045"/>
    <w:rsid w:val="007832CA"/>
    <w:rsid w:val="00783605"/>
    <w:rsid w:val="00783C58"/>
    <w:rsid w:val="00783F39"/>
    <w:rsid w:val="00784189"/>
    <w:rsid w:val="00784F7A"/>
    <w:rsid w:val="0078529E"/>
    <w:rsid w:val="00785827"/>
    <w:rsid w:val="00785F82"/>
    <w:rsid w:val="00786520"/>
    <w:rsid w:val="00786558"/>
    <w:rsid w:val="00786B41"/>
    <w:rsid w:val="00787F47"/>
    <w:rsid w:val="00787F53"/>
    <w:rsid w:val="00787FA1"/>
    <w:rsid w:val="00790304"/>
    <w:rsid w:val="00791D8B"/>
    <w:rsid w:val="0079262D"/>
    <w:rsid w:val="00792639"/>
    <w:rsid w:val="00792F6C"/>
    <w:rsid w:val="007930EA"/>
    <w:rsid w:val="007935D4"/>
    <w:rsid w:val="00793C60"/>
    <w:rsid w:val="007945A2"/>
    <w:rsid w:val="007948CB"/>
    <w:rsid w:val="00794A5C"/>
    <w:rsid w:val="0079578E"/>
    <w:rsid w:val="0079673F"/>
    <w:rsid w:val="00796C19"/>
    <w:rsid w:val="00796F28"/>
    <w:rsid w:val="007975F9"/>
    <w:rsid w:val="00797655"/>
    <w:rsid w:val="00797C41"/>
    <w:rsid w:val="007A087A"/>
    <w:rsid w:val="007A13A2"/>
    <w:rsid w:val="007A1DD2"/>
    <w:rsid w:val="007A209C"/>
    <w:rsid w:val="007A217A"/>
    <w:rsid w:val="007A2199"/>
    <w:rsid w:val="007A259D"/>
    <w:rsid w:val="007A2C69"/>
    <w:rsid w:val="007A2D87"/>
    <w:rsid w:val="007A331B"/>
    <w:rsid w:val="007A35FD"/>
    <w:rsid w:val="007A3F60"/>
    <w:rsid w:val="007A4929"/>
    <w:rsid w:val="007A549C"/>
    <w:rsid w:val="007B0510"/>
    <w:rsid w:val="007B088B"/>
    <w:rsid w:val="007B08DF"/>
    <w:rsid w:val="007B131B"/>
    <w:rsid w:val="007B1631"/>
    <w:rsid w:val="007B1896"/>
    <w:rsid w:val="007B1EDA"/>
    <w:rsid w:val="007B32F1"/>
    <w:rsid w:val="007B3EA3"/>
    <w:rsid w:val="007B4285"/>
    <w:rsid w:val="007B43A8"/>
    <w:rsid w:val="007B5703"/>
    <w:rsid w:val="007B67AF"/>
    <w:rsid w:val="007B7875"/>
    <w:rsid w:val="007B7E4B"/>
    <w:rsid w:val="007B7E62"/>
    <w:rsid w:val="007C0AB4"/>
    <w:rsid w:val="007C142B"/>
    <w:rsid w:val="007C1F83"/>
    <w:rsid w:val="007C27E8"/>
    <w:rsid w:val="007C2A57"/>
    <w:rsid w:val="007C3A16"/>
    <w:rsid w:val="007C3E91"/>
    <w:rsid w:val="007C45A2"/>
    <w:rsid w:val="007C46AF"/>
    <w:rsid w:val="007C4777"/>
    <w:rsid w:val="007C4D02"/>
    <w:rsid w:val="007C5017"/>
    <w:rsid w:val="007C5AB2"/>
    <w:rsid w:val="007C6B21"/>
    <w:rsid w:val="007C6F7B"/>
    <w:rsid w:val="007C7077"/>
    <w:rsid w:val="007C79B2"/>
    <w:rsid w:val="007D0359"/>
    <w:rsid w:val="007D03D5"/>
    <w:rsid w:val="007D08A1"/>
    <w:rsid w:val="007D0A2C"/>
    <w:rsid w:val="007D0A30"/>
    <w:rsid w:val="007D13D1"/>
    <w:rsid w:val="007D19EE"/>
    <w:rsid w:val="007D1A6E"/>
    <w:rsid w:val="007D1C33"/>
    <w:rsid w:val="007D20D7"/>
    <w:rsid w:val="007D2285"/>
    <w:rsid w:val="007D2B71"/>
    <w:rsid w:val="007D2CCB"/>
    <w:rsid w:val="007D3D7D"/>
    <w:rsid w:val="007D60F8"/>
    <w:rsid w:val="007D6913"/>
    <w:rsid w:val="007D6EBB"/>
    <w:rsid w:val="007D71C5"/>
    <w:rsid w:val="007D73E0"/>
    <w:rsid w:val="007D7BF4"/>
    <w:rsid w:val="007D7EC5"/>
    <w:rsid w:val="007E0031"/>
    <w:rsid w:val="007E028E"/>
    <w:rsid w:val="007E02B3"/>
    <w:rsid w:val="007E085E"/>
    <w:rsid w:val="007E0B05"/>
    <w:rsid w:val="007E0C5F"/>
    <w:rsid w:val="007E1269"/>
    <w:rsid w:val="007E129E"/>
    <w:rsid w:val="007E1AAE"/>
    <w:rsid w:val="007E1E8F"/>
    <w:rsid w:val="007E2570"/>
    <w:rsid w:val="007E32B8"/>
    <w:rsid w:val="007E3FC1"/>
    <w:rsid w:val="007E40BD"/>
    <w:rsid w:val="007E4833"/>
    <w:rsid w:val="007E4A12"/>
    <w:rsid w:val="007E5394"/>
    <w:rsid w:val="007E587D"/>
    <w:rsid w:val="007E5BB3"/>
    <w:rsid w:val="007E5DFD"/>
    <w:rsid w:val="007E6155"/>
    <w:rsid w:val="007E62EB"/>
    <w:rsid w:val="007E6E76"/>
    <w:rsid w:val="007E703D"/>
    <w:rsid w:val="007F043E"/>
    <w:rsid w:val="007F0662"/>
    <w:rsid w:val="007F0A63"/>
    <w:rsid w:val="007F10B4"/>
    <w:rsid w:val="007F1170"/>
    <w:rsid w:val="007F1F4D"/>
    <w:rsid w:val="007F2344"/>
    <w:rsid w:val="007F2917"/>
    <w:rsid w:val="007F3BBA"/>
    <w:rsid w:val="007F4082"/>
    <w:rsid w:val="007F46FF"/>
    <w:rsid w:val="007F4DC3"/>
    <w:rsid w:val="007F5399"/>
    <w:rsid w:val="007F5F99"/>
    <w:rsid w:val="007F658C"/>
    <w:rsid w:val="007F6A47"/>
    <w:rsid w:val="007F7867"/>
    <w:rsid w:val="007F7B2A"/>
    <w:rsid w:val="00800270"/>
    <w:rsid w:val="008012FD"/>
    <w:rsid w:val="008014A7"/>
    <w:rsid w:val="00801588"/>
    <w:rsid w:val="00801B31"/>
    <w:rsid w:val="00801F99"/>
    <w:rsid w:val="008026F1"/>
    <w:rsid w:val="00802CE4"/>
    <w:rsid w:val="00803585"/>
    <w:rsid w:val="00804C9C"/>
    <w:rsid w:val="008058E3"/>
    <w:rsid w:val="00806631"/>
    <w:rsid w:val="00807D57"/>
    <w:rsid w:val="00810622"/>
    <w:rsid w:val="00810AC3"/>
    <w:rsid w:val="00810D39"/>
    <w:rsid w:val="00810FF1"/>
    <w:rsid w:val="008118AD"/>
    <w:rsid w:val="00811DC3"/>
    <w:rsid w:val="00812C00"/>
    <w:rsid w:val="008144F7"/>
    <w:rsid w:val="00815A2C"/>
    <w:rsid w:val="008162CF"/>
    <w:rsid w:val="00816CB3"/>
    <w:rsid w:val="008172A2"/>
    <w:rsid w:val="00817C93"/>
    <w:rsid w:val="00820254"/>
    <w:rsid w:val="00820904"/>
    <w:rsid w:val="008215B0"/>
    <w:rsid w:val="00821982"/>
    <w:rsid w:val="00822097"/>
    <w:rsid w:val="008223D7"/>
    <w:rsid w:val="00822DDC"/>
    <w:rsid w:val="008231E3"/>
    <w:rsid w:val="0082326B"/>
    <w:rsid w:val="00825460"/>
    <w:rsid w:val="00825501"/>
    <w:rsid w:val="00825618"/>
    <w:rsid w:val="00826282"/>
    <w:rsid w:val="00826B2C"/>
    <w:rsid w:val="00827022"/>
    <w:rsid w:val="0082715F"/>
    <w:rsid w:val="00827DFD"/>
    <w:rsid w:val="008303B5"/>
    <w:rsid w:val="00830865"/>
    <w:rsid w:val="0083177C"/>
    <w:rsid w:val="008317C4"/>
    <w:rsid w:val="008317DD"/>
    <w:rsid w:val="00831B02"/>
    <w:rsid w:val="00831D16"/>
    <w:rsid w:val="008323D9"/>
    <w:rsid w:val="00832838"/>
    <w:rsid w:val="00832962"/>
    <w:rsid w:val="0083363D"/>
    <w:rsid w:val="008338DD"/>
    <w:rsid w:val="00833A5F"/>
    <w:rsid w:val="00834531"/>
    <w:rsid w:val="00834DCF"/>
    <w:rsid w:val="00835B98"/>
    <w:rsid w:val="00836319"/>
    <w:rsid w:val="00836755"/>
    <w:rsid w:val="008368AE"/>
    <w:rsid w:val="00836F19"/>
    <w:rsid w:val="00836F20"/>
    <w:rsid w:val="00837C00"/>
    <w:rsid w:val="0084062A"/>
    <w:rsid w:val="0084073B"/>
    <w:rsid w:val="00840757"/>
    <w:rsid w:val="008409E8"/>
    <w:rsid w:val="00841F94"/>
    <w:rsid w:val="008420F6"/>
    <w:rsid w:val="0084248D"/>
    <w:rsid w:val="0084290A"/>
    <w:rsid w:val="00842D81"/>
    <w:rsid w:val="00845D28"/>
    <w:rsid w:val="008502BE"/>
    <w:rsid w:val="00850950"/>
    <w:rsid w:val="00851117"/>
    <w:rsid w:val="008515D5"/>
    <w:rsid w:val="0085177C"/>
    <w:rsid w:val="00851824"/>
    <w:rsid w:val="008529FF"/>
    <w:rsid w:val="00852C42"/>
    <w:rsid w:val="00854233"/>
    <w:rsid w:val="0085496A"/>
    <w:rsid w:val="00854A3F"/>
    <w:rsid w:val="00856823"/>
    <w:rsid w:val="00856CE7"/>
    <w:rsid w:val="00857932"/>
    <w:rsid w:val="00857ABA"/>
    <w:rsid w:val="00857D06"/>
    <w:rsid w:val="00857E23"/>
    <w:rsid w:val="00860470"/>
    <w:rsid w:val="00860D9D"/>
    <w:rsid w:val="008612E0"/>
    <w:rsid w:val="00861991"/>
    <w:rsid w:val="008622F6"/>
    <w:rsid w:val="00863A34"/>
    <w:rsid w:val="00867973"/>
    <w:rsid w:val="00867D13"/>
    <w:rsid w:val="00870476"/>
    <w:rsid w:val="00870A3B"/>
    <w:rsid w:val="00870EFF"/>
    <w:rsid w:val="00871350"/>
    <w:rsid w:val="008717FD"/>
    <w:rsid w:val="00871F58"/>
    <w:rsid w:val="00872354"/>
    <w:rsid w:val="00873CF2"/>
    <w:rsid w:val="00874104"/>
    <w:rsid w:val="0087422F"/>
    <w:rsid w:val="008744D0"/>
    <w:rsid w:val="008753B1"/>
    <w:rsid w:val="00875A43"/>
    <w:rsid w:val="00875E36"/>
    <w:rsid w:val="00875F7E"/>
    <w:rsid w:val="0087677D"/>
    <w:rsid w:val="00876BED"/>
    <w:rsid w:val="00876F2A"/>
    <w:rsid w:val="0088166C"/>
    <w:rsid w:val="00881814"/>
    <w:rsid w:val="00881B86"/>
    <w:rsid w:val="00882739"/>
    <w:rsid w:val="008834B7"/>
    <w:rsid w:val="008834F4"/>
    <w:rsid w:val="00883631"/>
    <w:rsid w:val="008837C4"/>
    <w:rsid w:val="00883AA4"/>
    <w:rsid w:val="00883D30"/>
    <w:rsid w:val="00883E7C"/>
    <w:rsid w:val="008841E4"/>
    <w:rsid w:val="00884207"/>
    <w:rsid w:val="00884248"/>
    <w:rsid w:val="008856C2"/>
    <w:rsid w:val="00885B19"/>
    <w:rsid w:val="0088735B"/>
    <w:rsid w:val="00890797"/>
    <w:rsid w:val="00891DDC"/>
    <w:rsid w:val="00892397"/>
    <w:rsid w:val="008932DF"/>
    <w:rsid w:val="008933D2"/>
    <w:rsid w:val="00894B21"/>
    <w:rsid w:val="00896371"/>
    <w:rsid w:val="0089664F"/>
    <w:rsid w:val="008967AD"/>
    <w:rsid w:val="00896CB2"/>
    <w:rsid w:val="008978B6"/>
    <w:rsid w:val="008A101F"/>
    <w:rsid w:val="008A115A"/>
    <w:rsid w:val="008A1E9D"/>
    <w:rsid w:val="008A2AF7"/>
    <w:rsid w:val="008A2DA4"/>
    <w:rsid w:val="008A35FC"/>
    <w:rsid w:val="008A37A0"/>
    <w:rsid w:val="008A4DF6"/>
    <w:rsid w:val="008A5578"/>
    <w:rsid w:val="008A5780"/>
    <w:rsid w:val="008A5DB5"/>
    <w:rsid w:val="008A5FC6"/>
    <w:rsid w:val="008A6542"/>
    <w:rsid w:val="008A68F3"/>
    <w:rsid w:val="008A6FAB"/>
    <w:rsid w:val="008A72C8"/>
    <w:rsid w:val="008A7E84"/>
    <w:rsid w:val="008B099B"/>
    <w:rsid w:val="008B10BD"/>
    <w:rsid w:val="008B128A"/>
    <w:rsid w:val="008B18C7"/>
    <w:rsid w:val="008B1DBF"/>
    <w:rsid w:val="008B2220"/>
    <w:rsid w:val="008B26B4"/>
    <w:rsid w:val="008B2CD5"/>
    <w:rsid w:val="008B35E0"/>
    <w:rsid w:val="008B3DA2"/>
    <w:rsid w:val="008B3FA0"/>
    <w:rsid w:val="008B476D"/>
    <w:rsid w:val="008B5C11"/>
    <w:rsid w:val="008B6379"/>
    <w:rsid w:val="008B6691"/>
    <w:rsid w:val="008B7C72"/>
    <w:rsid w:val="008C0627"/>
    <w:rsid w:val="008C0804"/>
    <w:rsid w:val="008C129F"/>
    <w:rsid w:val="008C12E2"/>
    <w:rsid w:val="008C151A"/>
    <w:rsid w:val="008C15B5"/>
    <w:rsid w:val="008C273C"/>
    <w:rsid w:val="008C3C59"/>
    <w:rsid w:val="008C57EE"/>
    <w:rsid w:val="008C5D47"/>
    <w:rsid w:val="008C796F"/>
    <w:rsid w:val="008C7AFD"/>
    <w:rsid w:val="008D015B"/>
    <w:rsid w:val="008D016F"/>
    <w:rsid w:val="008D0A8A"/>
    <w:rsid w:val="008D18F6"/>
    <w:rsid w:val="008D2949"/>
    <w:rsid w:val="008D3133"/>
    <w:rsid w:val="008D3772"/>
    <w:rsid w:val="008D46B9"/>
    <w:rsid w:val="008D4D0F"/>
    <w:rsid w:val="008D67E5"/>
    <w:rsid w:val="008D6DFE"/>
    <w:rsid w:val="008D7107"/>
    <w:rsid w:val="008D7DBB"/>
    <w:rsid w:val="008E028A"/>
    <w:rsid w:val="008E04DF"/>
    <w:rsid w:val="008E095F"/>
    <w:rsid w:val="008E15FC"/>
    <w:rsid w:val="008E1886"/>
    <w:rsid w:val="008E2763"/>
    <w:rsid w:val="008E2BC8"/>
    <w:rsid w:val="008E3831"/>
    <w:rsid w:val="008E3CFA"/>
    <w:rsid w:val="008E3FF8"/>
    <w:rsid w:val="008E4BFE"/>
    <w:rsid w:val="008E5AB6"/>
    <w:rsid w:val="008E6926"/>
    <w:rsid w:val="008E7D77"/>
    <w:rsid w:val="008E7EF0"/>
    <w:rsid w:val="008F00A5"/>
    <w:rsid w:val="008F01B3"/>
    <w:rsid w:val="008F0329"/>
    <w:rsid w:val="008F11E3"/>
    <w:rsid w:val="008F2684"/>
    <w:rsid w:val="008F3247"/>
    <w:rsid w:val="008F67C1"/>
    <w:rsid w:val="008F73E9"/>
    <w:rsid w:val="008F7400"/>
    <w:rsid w:val="008F760B"/>
    <w:rsid w:val="00900274"/>
    <w:rsid w:val="00900931"/>
    <w:rsid w:val="00901174"/>
    <w:rsid w:val="0090172F"/>
    <w:rsid w:val="00901AF1"/>
    <w:rsid w:val="00903E4A"/>
    <w:rsid w:val="00904BEF"/>
    <w:rsid w:val="00907FE0"/>
    <w:rsid w:val="00910BAD"/>
    <w:rsid w:val="0091185D"/>
    <w:rsid w:val="009118CF"/>
    <w:rsid w:val="0091254D"/>
    <w:rsid w:val="00912DFE"/>
    <w:rsid w:val="00913980"/>
    <w:rsid w:val="00913F2C"/>
    <w:rsid w:val="009140DD"/>
    <w:rsid w:val="00914125"/>
    <w:rsid w:val="00914527"/>
    <w:rsid w:val="00915505"/>
    <w:rsid w:val="00915565"/>
    <w:rsid w:val="00915F46"/>
    <w:rsid w:val="00916111"/>
    <w:rsid w:val="0091622B"/>
    <w:rsid w:val="0091741C"/>
    <w:rsid w:val="00917D86"/>
    <w:rsid w:val="00920A47"/>
    <w:rsid w:val="00920DDF"/>
    <w:rsid w:val="009211DE"/>
    <w:rsid w:val="00921578"/>
    <w:rsid w:val="0092192F"/>
    <w:rsid w:val="00921A86"/>
    <w:rsid w:val="00921D1A"/>
    <w:rsid w:val="009222E8"/>
    <w:rsid w:val="00922951"/>
    <w:rsid w:val="00922C58"/>
    <w:rsid w:val="00922FB9"/>
    <w:rsid w:val="00923252"/>
    <w:rsid w:val="00924554"/>
    <w:rsid w:val="00925320"/>
    <w:rsid w:val="00925906"/>
    <w:rsid w:val="00925A3D"/>
    <w:rsid w:val="00925EF1"/>
    <w:rsid w:val="00925FAB"/>
    <w:rsid w:val="00926034"/>
    <w:rsid w:val="009260DB"/>
    <w:rsid w:val="00926372"/>
    <w:rsid w:val="00927346"/>
    <w:rsid w:val="00927AFB"/>
    <w:rsid w:val="009303CB"/>
    <w:rsid w:val="00930BF3"/>
    <w:rsid w:val="00930E71"/>
    <w:rsid w:val="00931346"/>
    <w:rsid w:val="009314B8"/>
    <w:rsid w:val="00931B19"/>
    <w:rsid w:val="00931E2A"/>
    <w:rsid w:val="00932781"/>
    <w:rsid w:val="00932934"/>
    <w:rsid w:val="00932F2F"/>
    <w:rsid w:val="00934F09"/>
    <w:rsid w:val="009351D5"/>
    <w:rsid w:val="00935A4C"/>
    <w:rsid w:val="009372D8"/>
    <w:rsid w:val="00937BE7"/>
    <w:rsid w:val="009400D1"/>
    <w:rsid w:val="00941A99"/>
    <w:rsid w:val="00941F2D"/>
    <w:rsid w:val="00941F9B"/>
    <w:rsid w:val="0094259F"/>
    <w:rsid w:val="0094366D"/>
    <w:rsid w:val="0094463B"/>
    <w:rsid w:val="0094494B"/>
    <w:rsid w:val="00944C4B"/>
    <w:rsid w:val="009453A1"/>
    <w:rsid w:val="009455E0"/>
    <w:rsid w:val="00946685"/>
    <w:rsid w:val="0094754D"/>
    <w:rsid w:val="00947A70"/>
    <w:rsid w:val="00950D76"/>
    <w:rsid w:val="00951AE1"/>
    <w:rsid w:val="00951C67"/>
    <w:rsid w:val="00951C6B"/>
    <w:rsid w:val="00951E84"/>
    <w:rsid w:val="0095253C"/>
    <w:rsid w:val="0095284F"/>
    <w:rsid w:val="009537A2"/>
    <w:rsid w:val="009546C8"/>
    <w:rsid w:val="0095507D"/>
    <w:rsid w:val="0095567B"/>
    <w:rsid w:val="00955758"/>
    <w:rsid w:val="009562FD"/>
    <w:rsid w:val="0095637E"/>
    <w:rsid w:val="0095687D"/>
    <w:rsid w:val="00956BD4"/>
    <w:rsid w:val="009571A7"/>
    <w:rsid w:val="00957322"/>
    <w:rsid w:val="00957CF8"/>
    <w:rsid w:val="00957CFF"/>
    <w:rsid w:val="00960687"/>
    <w:rsid w:val="00961923"/>
    <w:rsid w:val="00961B54"/>
    <w:rsid w:val="009621C4"/>
    <w:rsid w:val="00962468"/>
    <w:rsid w:val="009636BB"/>
    <w:rsid w:val="009638E2"/>
    <w:rsid w:val="0096464C"/>
    <w:rsid w:val="00964ABF"/>
    <w:rsid w:val="009654AC"/>
    <w:rsid w:val="009665F4"/>
    <w:rsid w:val="009675BA"/>
    <w:rsid w:val="009675D3"/>
    <w:rsid w:val="00967965"/>
    <w:rsid w:val="00967FA4"/>
    <w:rsid w:val="0097011D"/>
    <w:rsid w:val="009701F7"/>
    <w:rsid w:val="009705FF"/>
    <w:rsid w:val="00970708"/>
    <w:rsid w:val="009708BB"/>
    <w:rsid w:val="009713A4"/>
    <w:rsid w:val="009720D3"/>
    <w:rsid w:val="009726AB"/>
    <w:rsid w:val="00972783"/>
    <w:rsid w:val="00972E0E"/>
    <w:rsid w:val="00973466"/>
    <w:rsid w:val="00973F59"/>
    <w:rsid w:val="00974077"/>
    <w:rsid w:val="009740FC"/>
    <w:rsid w:val="00974520"/>
    <w:rsid w:val="00974853"/>
    <w:rsid w:val="009748B8"/>
    <w:rsid w:val="00975A2E"/>
    <w:rsid w:val="00975B17"/>
    <w:rsid w:val="00976FE2"/>
    <w:rsid w:val="009772B0"/>
    <w:rsid w:val="00977F01"/>
    <w:rsid w:val="00981C44"/>
    <w:rsid w:val="00982081"/>
    <w:rsid w:val="00982BDC"/>
    <w:rsid w:val="00982C3A"/>
    <w:rsid w:val="00982FD2"/>
    <w:rsid w:val="00983451"/>
    <w:rsid w:val="00983CBD"/>
    <w:rsid w:val="00983D29"/>
    <w:rsid w:val="00984016"/>
    <w:rsid w:val="00984551"/>
    <w:rsid w:val="0098670D"/>
    <w:rsid w:val="009868BE"/>
    <w:rsid w:val="009872C4"/>
    <w:rsid w:val="0098776E"/>
    <w:rsid w:val="00987C63"/>
    <w:rsid w:val="00990F3A"/>
    <w:rsid w:val="00991AA2"/>
    <w:rsid w:val="00992A70"/>
    <w:rsid w:val="00995A62"/>
    <w:rsid w:val="00995DC4"/>
    <w:rsid w:val="00997007"/>
    <w:rsid w:val="00997E85"/>
    <w:rsid w:val="009A0236"/>
    <w:rsid w:val="009A0929"/>
    <w:rsid w:val="009A0DF8"/>
    <w:rsid w:val="009A1B33"/>
    <w:rsid w:val="009A1C95"/>
    <w:rsid w:val="009A1D38"/>
    <w:rsid w:val="009A2D68"/>
    <w:rsid w:val="009A4BA8"/>
    <w:rsid w:val="009A4EF0"/>
    <w:rsid w:val="009A537B"/>
    <w:rsid w:val="009A5487"/>
    <w:rsid w:val="009A5B30"/>
    <w:rsid w:val="009A5DFE"/>
    <w:rsid w:val="009A686C"/>
    <w:rsid w:val="009A6F03"/>
    <w:rsid w:val="009B1618"/>
    <w:rsid w:val="009B2791"/>
    <w:rsid w:val="009B34F7"/>
    <w:rsid w:val="009B4AAE"/>
    <w:rsid w:val="009B4E96"/>
    <w:rsid w:val="009B503D"/>
    <w:rsid w:val="009B508A"/>
    <w:rsid w:val="009B5560"/>
    <w:rsid w:val="009B58AC"/>
    <w:rsid w:val="009B5A63"/>
    <w:rsid w:val="009B5BE8"/>
    <w:rsid w:val="009B5DDC"/>
    <w:rsid w:val="009B63F8"/>
    <w:rsid w:val="009B64E6"/>
    <w:rsid w:val="009B6877"/>
    <w:rsid w:val="009B746C"/>
    <w:rsid w:val="009B7BCE"/>
    <w:rsid w:val="009C0025"/>
    <w:rsid w:val="009C00C7"/>
    <w:rsid w:val="009C026E"/>
    <w:rsid w:val="009C2B71"/>
    <w:rsid w:val="009C2D7D"/>
    <w:rsid w:val="009C31AE"/>
    <w:rsid w:val="009C5095"/>
    <w:rsid w:val="009C5312"/>
    <w:rsid w:val="009C5BB2"/>
    <w:rsid w:val="009C5F2A"/>
    <w:rsid w:val="009C623C"/>
    <w:rsid w:val="009C6FE2"/>
    <w:rsid w:val="009D0784"/>
    <w:rsid w:val="009D17DF"/>
    <w:rsid w:val="009D1C5D"/>
    <w:rsid w:val="009D1FE7"/>
    <w:rsid w:val="009D395B"/>
    <w:rsid w:val="009D483D"/>
    <w:rsid w:val="009D4D60"/>
    <w:rsid w:val="009D5205"/>
    <w:rsid w:val="009D546E"/>
    <w:rsid w:val="009D5471"/>
    <w:rsid w:val="009D5B42"/>
    <w:rsid w:val="009D5B59"/>
    <w:rsid w:val="009D5BDD"/>
    <w:rsid w:val="009D5C11"/>
    <w:rsid w:val="009E03C7"/>
    <w:rsid w:val="009E071C"/>
    <w:rsid w:val="009E07F7"/>
    <w:rsid w:val="009E1566"/>
    <w:rsid w:val="009E1688"/>
    <w:rsid w:val="009E1FAA"/>
    <w:rsid w:val="009E25A1"/>
    <w:rsid w:val="009E42E9"/>
    <w:rsid w:val="009E4921"/>
    <w:rsid w:val="009E49EA"/>
    <w:rsid w:val="009E53E4"/>
    <w:rsid w:val="009E5AB7"/>
    <w:rsid w:val="009E5D7B"/>
    <w:rsid w:val="009E62D2"/>
    <w:rsid w:val="009E6EA0"/>
    <w:rsid w:val="009E70C7"/>
    <w:rsid w:val="009E7693"/>
    <w:rsid w:val="009F20A2"/>
    <w:rsid w:val="009F3BF3"/>
    <w:rsid w:val="009F52D4"/>
    <w:rsid w:val="009F5E5A"/>
    <w:rsid w:val="009F664A"/>
    <w:rsid w:val="009F6DF6"/>
    <w:rsid w:val="009F72A0"/>
    <w:rsid w:val="009F72E1"/>
    <w:rsid w:val="009F7417"/>
    <w:rsid w:val="00A0051E"/>
    <w:rsid w:val="00A015D9"/>
    <w:rsid w:val="00A03052"/>
    <w:rsid w:val="00A0312B"/>
    <w:rsid w:val="00A036D0"/>
    <w:rsid w:val="00A03987"/>
    <w:rsid w:val="00A03C9D"/>
    <w:rsid w:val="00A04609"/>
    <w:rsid w:val="00A0485B"/>
    <w:rsid w:val="00A05836"/>
    <w:rsid w:val="00A06AE3"/>
    <w:rsid w:val="00A071D6"/>
    <w:rsid w:val="00A07FD6"/>
    <w:rsid w:val="00A1045E"/>
    <w:rsid w:val="00A10FE6"/>
    <w:rsid w:val="00A1108A"/>
    <w:rsid w:val="00A11E62"/>
    <w:rsid w:val="00A133C6"/>
    <w:rsid w:val="00A137B9"/>
    <w:rsid w:val="00A14988"/>
    <w:rsid w:val="00A15D3D"/>
    <w:rsid w:val="00A15FB3"/>
    <w:rsid w:val="00A168BD"/>
    <w:rsid w:val="00A172D7"/>
    <w:rsid w:val="00A173DA"/>
    <w:rsid w:val="00A173E3"/>
    <w:rsid w:val="00A17809"/>
    <w:rsid w:val="00A17F11"/>
    <w:rsid w:val="00A17F92"/>
    <w:rsid w:val="00A21294"/>
    <w:rsid w:val="00A2148F"/>
    <w:rsid w:val="00A221F9"/>
    <w:rsid w:val="00A22825"/>
    <w:rsid w:val="00A22B5A"/>
    <w:rsid w:val="00A22C56"/>
    <w:rsid w:val="00A22F18"/>
    <w:rsid w:val="00A24410"/>
    <w:rsid w:val="00A249ED"/>
    <w:rsid w:val="00A24D99"/>
    <w:rsid w:val="00A25F9E"/>
    <w:rsid w:val="00A264FB"/>
    <w:rsid w:val="00A26DE1"/>
    <w:rsid w:val="00A26F1B"/>
    <w:rsid w:val="00A278E7"/>
    <w:rsid w:val="00A3052E"/>
    <w:rsid w:val="00A312B8"/>
    <w:rsid w:val="00A31717"/>
    <w:rsid w:val="00A32B97"/>
    <w:rsid w:val="00A335D8"/>
    <w:rsid w:val="00A345DB"/>
    <w:rsid w:val="00A35ADD"/>
    <w:rsid w:val="00A3718D"/>
    <w:rsid w:val="00A37827"/>
    <w:rsid w:val="00A37A4F"/>
    <w:rsid w:val="00A37AB7"/>
    <w:rsid w:val="00A37BE3"/>
    <w:rsid w:val="00A4060F"/>
    <w:rsid w:val="00A40D74"/>
    <w:rsid w:val="00A40EC6"/>
    <w:rsid w:val="00A423E0"/>
    <w:rsid w:val="00A425BE"/>
    <w:rsid w:val="00A42738"/>
    <w:rsid w:val="00A44723"/>
    <w:rsid w:val="00A44C7A"/>
    <w:rsid w:val="00A44E56"/>
    <w:rsid w:val="00A458B1"/>
    <w:rsid w:val="00A4642C"/>
    <w:rsid w:val="00A46657"/>
    <w:rsid w:val="00A4668A"/>
    <w:rsid w:val="00A46A78"/>
    <w:rsid w:val="00A46FF6"/>
    <w:rsid w:val="00A47A51"/>
    <w:rsid w:val="00A47D0C"/>
    <w:rsid w:val="00A47E4E"/>
    <w:rsid w:val="00A47EFF"/>
    <w:rsid w:val="00A47F3D"/>
    <w:rsid w:val="00A50B44"/>
    <w:rsid w:val="00A51180"/>
    <w:rsid w:val="00A51918"/>
    <w:rsid w:val="00A5204A"/>
    <w:rsid w:val="00A539C9"/>
    <w:rsid w:val="00A53D68"/>
    <w:rsid w:val="00A544CE"/>
    <w:rsid w:val="00A548CA"/>
    <w:rsid w:val="00A559C6"/>
    <w:rsid w:val="00A57994"/>
    <w:rsid w:val="00A57ED5"/>
    <w:rsid w:val="00A60863"/>
    <w:rsid w:val="00A60877"/>
    <w:rsid w:val="00A61292"/>
    <w:rsid w:val="00A62919"/>
    <w:rsid w:val="00A630B5"/>
    <w:rsid w:val="00A63ED0"/>
    <w:rsid w:val="00A6446E"/>
    <w:rsid w:val="00A645B1"/>
    <w:rsid w:val="00A64ECA"/>
    <w:rsid w:val="00A65359"/>
    <w:rsid w:val="00A65948"/>
    <w:rsid w:val="00A66656"/>
    <w:rsid w:val="00A66E29"/>
    <w:rsid w:val="00A67086"/>
    <w:rsid w:val="00A67B5C"/>
    <w:rsid w:val="00A707C9"/>
    <w:rsid w:val="00A73564"/>
    <w:rsid w:val="00A740C2"/>
    <w:rsid w:val="00A751FF"/>
    <w:rsid w:val="00A75A6D"/>
    <w:rsid w:val="00A75EF6"/>
    <w:rsid w:val="00A7657B"/>
    <w:rsid w:val="00A77190"/>
    <w:rsid w:val="00A77392"/>
    <w:rsid w:val="00A776C3"/>
    <w:rsid w:val="00A77B65"/>
    <w:rsid w:val="00A8082A"/>
    <w:rsid w:val="00A80C4F"/>
    <w:rsid w:val="00A80DA4"/>
    <w:rsid w:val="00A80F89"/>
    <w:rsid w:val="00A82A9B"/>
    <w:rsid w:val="00A82E51"/>
    <w:rsid w:val="00A846DA"/>
    <w:rsid w:val="00A85116"/>
    <w:rsid w:val="00A859A7"/>
    <w:rsid w:val="00A85B87"/>
    <w:rsid w:val="00A8623B"/>
    <w:rsid w:val="00A868D2"/>
    <w:rsid w:val="00A86AA6"/>
    <w:rsid w:val="00A86DE2"/>
    <w:rsid w:val="00A877AF"/>
    <w:rsid w:val="00A8786A"/>
    <w:rsid w:val="00A87AE1"/>
    <w:rsid w:val="00A87C3C"/>
    <w:rsid w:val="00A9059B"/>
    <w:rsid w:val="00A9073E"/>
    <w:rsid w:val="00A90812"/>
    <w:rsid w:val="00A909F2"/>
    <w:rsid w:val="00A90DF3"/>
    <w:rsid w:val="00A9221C"/>
    <w:rsid w:val="00A92A41"/>
    <w:rsid w:val="00A92A7B"/>
    <w:rsid w:val="00A92B66"/>
    <w:rsid w:val="00A9322D"/>
    <w:rsid w:val="00A93387"/>
    <w:rsid w:val="00A939F1"/>
    <w:rsid w:val="00A945D4"/>
    <w:rsid w:val="00A945E6"/>
    <w:rsid w:val="00A946CB"/>
    <w:rsid w:val="00A9481E"/>
    <w:rsid w:val="00A94FC3"/>
    <w:rsid w:val="00A957E2"/>
    <w:rsid w:val="00A95B76"/>
    <w:rsid w:val="00A9662A"/>
    <w:rsid w:val="00A96AE9"/>
    <w:rsid w:val="00A97C7C"/>
    <w:rsid w:val="00AA0009"/>
    <w:rsid w:val="00AA0503"/>
    <w:rsid w:val="00AA0E48"/>
    <w:rsid w:val="00AA0E6F"/>
    <w:rsid w:val="00AA1407"/>
    <w:rsid w:val="00AA1603"/>
    <w:rsid w:val="00AA1648"/>
    <w:rsid w:val="00AA1A61"/>
    <w:rsid w:val="00AA3295"/>
    <w:rsid w:val="00AA4EE3"/>
    <w:rsid w:val="00AA51E6"/>
    <w:rsid w:val="00AA51E8"/>
    <w:rsid w:val="00AA5230"/>
    <w:rsid w:val="00AA61CF"/>
    <w:rsid w:val="00AA646F"/>
    <w:rsid w:val="00AA6DA6"/>
    <w:rsid w:val="00AA73D1"/>
    <w:rsid w:val="00AB04B6"/>
    <w:rsid w:val="00AB08EF"/>
    <w:rsid w:val="00AB0F3E"/>
    <w:rsid w:val="00AB1365"/>
    <w:rsid w:val="00AB1794"/>
    <w:rsid w:val="00AB1B3A"/>
    <w:rsid w:val="00AB1C58"/>
    <w:rsid w:val="00AB236D"/>
    <w:rsid w:val="00AB2639"/>
    <w:rsid w:val="00AB29C3"/>
    <w:rsid w:val="00AB2AF0"/>
    <w:rsid w:val="00AB32AF"/>
    <w:rsid w:val="00AB3A12"/>
    <w:rsid w:val="00AB44A2"/>
    <w:rsid w:val="00AB5DAC"/>
    <w:rsid w:val="00AB6F29"/>
    <w:rsid w:val="00AB743F"/>
    <w:rsid w:val="00AB7955"/>
    <w:rsid w:val="00AC0AA5"/>
    <w:rsid w:val="00AC2762"/>
    <w:rsid w:val="00AC3310"/>
    <w:rsid w:val="00AC3C70"/>
    <w:rsid w:val="00AC3DB3"/>
    <w:rsid w:val="00AC4C99"/>
    <w:rsid w:val="00AC5464"/>
    <w:rsid w:val="00AC62EC"/>
    <w:rsid w:val="00AC6495"/>
    <w:rsid w:val="00AC6792"/>
    <w:rsid w:val="00AC7BA4"/>
    <w:rsid w:val="00AD0110"/>
    <w:rsid w:val="00AD0398"/>
    <w:rsid w:val="00AD0BA5"/>
    <w:rsid w:val="00AD0EF8"/>
    <w:rsid w:val="00AD139C"/>
    <w:rsid w:val="00AD18E8"/>
    <w:rsid w:val="00AD1E37"/>
    <w:rsid w:val="00AD2D41"/>
    <w:rsid w:val="00AD38F5"/>
    <w:rsid w:val="00AD4653"/>
    <w:rsid w:val="00AD516F"/>
    <w:rsid w:val="00AD538C"/>
    <w:rsid w:val="00AD6517"/>
    <w:rsid w:val="00AD6954"/>
    <w:rsid w:val="00AD6A29"/>
    <w:rsid w:val="00AE0C5D"/>
    <w:rsid w:val="00AE1370"/>
    <w:rsid w:val="00AE21FF"/>
    <w:rsid w:val="00AE285D"/>
    <w:rsid w:val="00AE2C92"/>
    <w:rsid w:val="00AE302C"/>
    <w:rsid w:val="00AE31B3"/>
    <w:rsid w:val="00AE387D"/>
    <w:rsid w:val="00AE3B0A"/>
    <w:rsid w:val="00AE3D94"/>
    <w:rsid w:val="00AE498E"/>
    <w:rsid w:val="00AE50A7"/>
    <w:rsid w:val="00AE51B2"/>
    <w:rsid w:val="00AE5212"/>
    <w:rsid w:val="00AE5C1F"/>
    <w:rsid w:val="00AE6165"/>
    <w:rsid w:val="00AE638A"/>
    <w:rsid w:val="00AE6C76"/>
    <w:rsid w:val="00AE7BC9"/>
    <w:rsid w:val="00AF09F6"/>
    <w:rsid w:val="00AF144B"/>
    <w:rsid w:val="00AF14DD"/>
    <w:rsid w:val="00AF1E36"/>
    <w:rsid w:val="00AF232B"/>
    <w:rsid w:val="00AF250E"/>
    <w:rsid w:val="00AF2901"/>
    <w:rsid w:val="00AF2C03"/>
    <w:rsid w:val="00AF2C11"/>
    <w:rsid w:val="00AF32F0"/>
    <w:rsid w:val="00AF3473"/>
    <w:rsid w:val="00AF4ED2"/>
    <w:rsid w:val="00AF571B"/>
    <w:rsid w:val="00AF6518"/>
    <w:rsid w:val="00AF6A5E"/>
    <w:rsid w:val="00AF79A4"/>
    <w:rsid w:val="00AF7C3B"/>
    <w:rsid w:val="00B00126"/>
    <w:rsid w:val="00B00D54"/>
    <w:rsid w:val="00B01A2A"/>
    <w:rsid w:val="00B0267B"/>
    <w:rsid w:val="00B02B46"/>
    <w:rsid w:val="00B03580"/>
    <w:rsid w:val="00B0542A"/>
    <w:rsid w:val="00B058C2"/>
    <w:rsid w:val="00B05AB7"/>
    <w:rsid w:val="00B05BD5"/>
    <w:rsid w:val="00B05E0A"/>
    <w:rsid w:val="00B067F3"/>
    <w:rsid w:val="00B071EC"/>
    <w:rsid w:val="00B07383"/>
    <w:rsid w:val="00B07452"/>
    <w:rsid w:val="00B07DB5"/>
    <w:rsid w:val="00B100DA"/>
    <w:rsid w:val="00B11DCC"/>
    <w:rsid w:val="00B12D8B"/>
    <w:rsid w:val="00B12ECB"/>
    <w:rsid w:val="00B13443"/>
    <w:rsid w:val="00B169AF"/>
    <w:rsid w:val="00B16D95"/>
    <w:rsid w:val="00B17037"/>
    <w:rsid w:val="00B172D1"/>
    <w:rsid w:val="00B176DE"/>
    <w:rsid w:val="00B17713"/>
    <w:rsid w:val="00B17DCA"/>
    <w:rsid w:val="00B20AAF"/>
    <w:rsid w:val="00B20EDF"/>
    <w:rsid w:val="00B21005"/>
    <w:rsid w:val="00B214FE"/>
    <w:rsid w:val="00B21824"/>
    <w:rsid w:val="00B225A9"/>
    <w:rsid w:val="00B228F1"/>
    <w:rsid w:val="00B22EE4"/>
    <w:rsid w:val="00B23A96"/>
    <w:rsid w:val="00B23E22"/>
    <w:rsid w:val="00B23F58"/>
    <w:rsid w:val="00B248A7"/>
    <w:rsid w:val="00B25AEC"/>
    <w:rsid w:val="00B26225"/>
    <w:rsid w:val="00B264EC"/>
    <w:rsid w:val="00B26C67"/>
    <w:rsid w:val="00B27BD3"/>
    <w:rsid w:val="00B30846"/>
    <w:rsid w:val="00B311C9"/>
    <w:rsid w:val="00B31671"/>
    <w:rsid w:val="00B317A5"/>
    <w:rsid w:val="00B31DE6"/>
    <w:rsid w:val="00B32F60"/>
    <w:rsid w:val="00B3301D"/>
    <w:rsid w:val="00B334AA"/>
    <w:rsid w:val="00B33507"/>
    <w:rsid w:val="00B336DB"/>
    <w:rsid w:val="00B34CA4"/>
    <w:rsid w:val="00B350E3"/>
    <w:rsid w:val="00B358F4"/>
    <w:rsid w:val="00B3648F"/>
    <w:rsid w:val="00B364DB"/>
    <w:rsid w:val="00B366BC"/>
    <w:rsid w:val="00B36779"/>
    <w:rsid w:val="00B36FD7"/>
    <w:rsid w:val="00B376E6"/>
    <w:rsid w:val="00B37A39"/>
    <w:rsid w:val="00B37C6B"/>
    <w:rsid w:val="00B37C8E"/>
    <w:rsid w:val="00B40184"/>
    <w:rsid w:val="00B4081C"/>
    <w:rsid w:val="00B40A68"/>
    <w:rsid w:val="00B40C88"/>
    <w:rsid w:val="00B41569"/>
    <w:rsid w:val="00B41890"/>
    <w:rsid w:val="00B421BC"/>
    <w:rsid w:val="00B42752"/>
    <w:rsid w:val="00B4287B"/>
    <w:rsid w:val="00B42936"/>
    <w:rsid w:val="00B43016"/>
    <w:rsid w:val="00B4303E"/>
    <w:rsid w:val="00B43C1A"/>
    <w:rsid w:val="00B44670"/>
    <w:rsid w:val="00B44CC3"/>
    <w:rsid w:val="00B459A5"/>
    <w:rsid w:val="00B459B9"/>
    <w:rsid w:val="00B45B2C"/>
    <w:rsid w:val="00B51084"/>
    <w:rsid w:val="00B513A6"/>
    <w:rsid w:val="00B5189F"/>
    <w:rsid w:val="00B51F00"/>
    <w:rsid w:val="00B54B2C"/>
    <w:rsid w:val="00B55B05"/>
    <w:rsid w:val="00B563A4"/>
    <w:rsid w:val="00B56E2D"/>
    <w:rsid w:val="00B56ECA"/>
    <w:rsid w:val="00B57924"/>
    <w:rsid w:val="00B60CB6"/>
    <w:rsid w:val="00B61350"/>
    <w:rsid w:val="00B616C6"/>
    <w:rsid w:val="00B61AB5"/>
    <w:rsid w:val="00B61CCC"/>
    <w:rsid w:val="00B625E9"/>
    <w:rsid w:val="00B62BD6"/>
    <w:rsid w:val="00B637A8"/>
    <w:rsid w:val="00B63BB3"/>
    <w:rsid w:val="00B647A2"/>
    <w:rsid w:val="00B64FE9"/>
    <w:rsid w:val="00B67B84"/>
    <w:rsid w:val="00B710AF"/>
    <w:rsid w:val="00B7168A"/>
    <w:rsid w:val="00B72763"/>
    <w:rsid w:val="00B72DEC"/>
    <w:rsid w:val="00B7506A"/>
    <w:rsid w:val="00B7533D"/>
    <w:rsid w:val="00B753CC"/>
    <w:rsid w:val="00B75B1A"/>
    <w:rsid w:val="00B76026"/>
    <w:rsid w:val="00B76513"/>
    <w:rsid w:val="00B76AC1"/>
    <w:rsid w:val="00B77352"/>
    <w:rsid w:val="00B7774C"/>
    <w:rsid w:val="00B77B3F"/>
    <w:rsid w:val="00B802FE"/>
    <w:rsid w:val="00B80BC4"/>
    <w:rsid w:val="00B819F0"/>
    <w:rsid w:val="00B81F49"/>
    <w:rsid w:val="00B827CC"/>
    <w:rsid w:val="00B834AC"/>
    <w:rsid w:val="00B8398F"/>
    <w:rsid w:val="00B83DD0"/>
    <w:rsid w:val="00B83FB3"/>
    <w:rsid w:val="00B8412C"/>
    <w:rsid w:val="00B84BEB"/>
    <w:rsid w:val="00B84F52"/>
    <w:rsid w:val="00B8511F"/>
    <w:rsid w:val="00B85C4B"/>
    <w:rsid w:val="00B85D2C"/>
    <w:rsid w:val="00B85E0F"/>
    <w:rsid w:val="00B87241"/>
    <w:rsid w:val="00B8770B"/>
    <w:rsid w:val="00B877F6"/>
    <w:rsid w:val="00B90055"/>
    <w:rsid w:val="00B91DCA"/>
    <w:rsid w:val="00B9286C"/>
    <w:rsid w:val="00B92A7A"/>
    <w:rsid w:val="00B9356D"/>
    <w:rsid w:val="00B938CD"/>
    <w:rsid w:val="00B946B8"/>
    <w:rsid w:val="00B95207"/>
    <w:rsid w:val="00B95BCD"/>
    <w:rsid w:val="00B95C53"/>
    <w:rsid w:val="00B95D2C"/>
    <w:rsid w:val="00B96880"/>
    <w:rsid w:val="00B96A9D"/>
    <w:rsid w:val="00B96B6D"/>
    <w:rsid w:val="00B96BB9"/>
    <w:rsid w:val="00B97815"/>
    <w:rsid w:val="00B97B32"/>
    <w:rsid w:val="00BA0441"/>
    <w:rsid w:val="00BA0934"/>
    <w:rsid w:val="00BA0F3D"/>
    <w:rsid w:val="00BA2196"/>
    <w:rsid w:val="00BA255F"/>
    <w:rsid w:val="00BA2D2D"/>
    <w:rsid w:val="00BA2D37"/>
    <w:rsid w:val="00BA361F"/>
    <w:rsid w:val="00BA4971"/>
    <w:rsid w:val="00BA4A06"/>
    <w:rsid w:val="00BA4BD1"/>
    <w:rsid w:val="00BA4EDC"/>
    <w:rsid w:val="00BA50F2"/>
    <w:rsid w:val="00BA5BA9"/>
    <w:rsid w:val="00BA60C6"/>
    <w:rsid w:val="00BA7221"/>
    <w:rsid w:val="00BA7667"/>
    <w:rsid w:val="00BB0322"/>
    <w:rsid w:val="00BB0AAC"/>
    <w:rsid w:val="00BB1015"/>
    <w:rsid w:val="00BB10AA"/>
    <w:rsid w:val="00BB259B"/>
    <w:rsid w:val="00BB3CAB"/>
    <w:rsid w:val="00BB467B"/>
    <w:rsid w:val="00BB7E28"/>
    <w:rsid w:val="00BC08A3"/>
    <w:rsid w:val="00BC1465"/>
    <w:rsid w:val="00BC1E96"/>
    <w:rsid w:val="00BC27B4"/>
    <w:rsid w:val="00BC3A8A"/>
    <w:rsid w:val="00BC3ADC"/>
    <w:rsid w:val="00BC4C40"/>
    <w:rsid w:val="00BC5464"/>
    <w:rsid w:val="00BC570F"/>
    <w:rsid w:val="00BC65D6"/>
    <w:rsid w:val="00BC6AA9"/>
    <w:rsid w:val="00BC783F"/>
    <w:rsid w:val="00BD0253"/>
    <w:rsid w:val="00BD0FEB"/>
    <w:rsid w:val="00BD1036"/>
    <w:rsid w:val="00BD1C9B"/>
    <w:rsid w:val="00BD23D5"/>
    <w:rsid w:val="00BD25DE"/>
    <w:rsid w:val="00BD3052"/>
    <w:rsid w:val="00BD326F"/>
    <w:rsid w:val="00BD3E69"/>
    <w:rsid w:val="00BD41DE"/>
    <w:rsid w:val="00BD538C"/>
    <w:rsid w:val="00BD5987"/>
    <w:rsid w:val="00BD5FB2"/>
    <w:rsid w:val="00BD6A2B"/>
    <w:rsid w:val="00BD6D7C"/>
    <w:rsid w:val="00BD70A8"/>
    <w:rsid w:val="00BD71AB"/>
    <w:rsid w:val="00BD7573"/>
    <w:rsid w:val="00BD76A7"/>
    <w:rsid w:val="00BD7754"/>
    <w:rsid w:val="00BD7AD6"/>
    <w:rsid w:val="00BD7C22"/>
    <w:rsid w:val="00BE091C"/>
    <w:rsid w:val="00BE0A63"/>
    <w:rsid w:val="00BE0FE5"/>
    <w:rsid w:val="00BE1500"/>
    <w:rsid w:val="00BE1D68"/>
    <w:rsid w:val="00BE2225"/>
    <w:rsid w:val="00BE23ED"/>
    <w:rsid w:val="00BE2BB1"/>
    <w:rsid w:val="00BE2D37"/>
    <w:rsid w:val="00BE3CFB"/>
    <w:rsid w:val="00BE42F7"/>
    <w:rsid w:val="00BE4323"/>
    <w:rsid w:val="00BE46E5"/>
    <w:rsid w:val="00BE55CC"/>
    <w:rsid w:val="00BE5ADB"/>
    <w:rsid w:val="00BE5E5C"/>
    <w:rsid w:val="00BE5F9D"/>
    <w:rsid w:val="00BE7045"/>
    <w:rsid w:val="00BE71CC"/>
    <w:rsid w:val="00BE7B79"/>
    <w:rsid w:val="00BF0A39"/>
    <w:rsid w:val="00BF195A"/>
    <w:rsid w:val="00BF1D55"/>
    <w:rsid w:val="00BF237E"/>
    <w:rsid w:val="00BF30FA"/>
    <w:rsid w:val="00BF3160"/>
    <w:rsid w:val="00BF3213"/>
    <w:rsid w:val="00BF3A2E"/>
    <w:rsid w:val="00BF3B82"/>
    <w:rsid w:val="00BF3FD0"/>
    <w:rsid w:val="00BF4469"/>
    <w:rsid w:val="00BF4CB2"/>
    <w:rsid w:val="00BF501F"/>
    <w:rsid w:val="00BF53D7"/>
    <w:rsid w:val="00BF5D30"/>
    <w:rsid w:val="00BF5E42"/>
    <w:rsid w:val="00BF5FB3"/>
    <w:rsid w:val="00BF6195"/>
    <w:rsid w:val="00BF6A3E"/>
    <w:rsid w:val="00BF6ABD"/>
    <w:rsid w:val="00BF6D75"/>
    <w:rsid w:val="00BF7A11"/>
    <w:rsid w:val="00BF7F6F"/>
    <w:rsid w:val="00C003E4"/>
    <w:rsid w:val="00C0072A"/>
    <w:rsid w:val="00C00FC7"/>
    <w:rsid w:val="00C01E15"/>
    <w:rsid w:val="00C01FB8"/>
    <w:rsid w:val="00C02C9A"/>
    <w:rsid w:val="00C0316C"/>
    <w:rsid w:val="00C0353B"/>
    <w:rsid w:val="00C03733"/>
    <w:rsid w:val="00C039BA"/>
    <w:rsid w:val="00C03C1A"/>
    <w:rsid w:val="00C03DA9"/>
    <w:rsid w:val="00C04450"/>
    <w:rsid w:val="00C0626F"/>
    <w:rsid w:val="00C062B2"/>
    <w:rsid w:val="00C06B47"/>
    <w:rsid w:val="00C07A31"/>
    <w:rsid w:val="00C07B0C"/>
    <w:rsid w:val="00C07C67"/>
    <w:rsid w:val="00C07CB8"/>
    <w:rsid w:val="00C105FA"/>
    <w:rsid w:val="00C10B5D"/>
    <w:rsid w:val="00C10C65"/>
    <w:rsid w:val="00C11532"/>
    <w:rsid w:val="00C121D3"/>
    <w:rsid w:val="00C12279"/>
    <w:rsid w:val="00C12449"/>
    <w:rsid w:val="00C12E47"/>
    <w:rsid w:val="00C13D2C"/>
    <w:rsid w:val="00C1433A"/>
    <w:rsid w:val="00C15102"/>
    <w:rsid w:val="00C16C7C"/>
    <w:rsid w:val="00C1710F"/>
    <w:rsid w:val="00C17A2B"/>
    <w:rsid w:val="00C2019B"/>
    <w:rsid w:val="00C208C1"/>
    <w:rsid w:val="00C20CA3"/>
    <w:rsid w:val="00C21554"/>
    <w:rsid w:val="00C221B4"/>
    <w:rsid w:val="00C22245"/>
    <w:rsid w:val="00C22496"/>
    <w:rsid w:val="00C23B4A"/>
    <w:rsid w:val="00C24524"/>
    <w:rsid w:val="00C24D0C"/>
    <w:rsid w:val="00C25027"/>
    <w:rsid w:val="00C26199"/>
    <w:rsid w:val="00C26940"/>
    <w:rsid w:val="00C26CAA"/>
    <w:rsid w:val="00C26DCA"/>
    <w:rsid w:val="00C26DDD"/>
    <w:rsid w:val="00C26E01"/>
    <w:rsid w:val="00C26E41"/>
    <w:rsid w:val="00C27302"/>
    <w:rsid w:val="00C27D16"/>
    <w:rsid w:val="00C301CB"/>
    <w:rsid w:val="00C3026D"/>
    <w:rsid w:val="00C307BE"/>
    <w:rsid w:val="00C30AEA"/>
    <w:rsid w:val="00C30F36"/>
    <w:rsid w:val="00C3196B"/>
    <w:rsid w:val="00C3232D"/>
    <w:rsid w:val="00C33C6B"/>
    <w:rsid w:val="00C3448E"/>
    <w:rsid w:val="00C35683"/>
    <w:rsid w:val="00C3592F"/>
    <w:rsid w:val="00C35B36"/>
    <w:rsid w:val="00C35E00"/>
    <w:rsid w:val="00C35F48"/>
    <w:rsid w:val="00C377CC"/>
    <w:rsid w:val="00C37BD2"/>
    <w:rsid w:val="00C40B61"/>
    <w:rsid w:val="00C41A0C"/>
    <w:rsid w:val="00C4218F"/>
    <w:rsid w:val="00C422A3"/>
    <w:rsid w:val="00C42665"/>
    <w:rsid w:val="00C42A62"/>
    <w:rsid w:val="00C42F54"/>
    <w:rsid w:val="00C43A90"/>
    <w:rsid w:val="00C43B17"/>
    <w:rsid w:val="00C44B48"/>
    <w:rsid w:val="00C45241"/>
    <w:rsid w:val="00C45801"/>
    <w:rsid w:val="00C461CA"/>
    <w:rsid w:val="00C522FC"/>
    <w:rsid w:val="00C52CAE"/>
    <w:rsid w:val="00C53588"/>
    <w:rsid w:val="00C54031"/>
    <w:rsid w:val="00C550EA"/>
    <w:rsid w:val="00C55703"/>
    <w:rsid w:val="00C55D6C"/>
    <w:rsid w:val="00C56525"/>
    <w:rsid w:val="00C56822"/>
    <w:rsid w:val="00C56987"/>
    <w:rsid w:val="00C56AAE"/>
    <w:rsid w:val="00C56F62"/>
    <w:rsid w:val="00C57311"/>
    <w:rsid w:val="00C57D80"/>
    <w:rsid w:val="00C6020D"/>
    <w:rsid w:val="00C61436"/>
    <w:rsid w:val="00C6161C"/>
    <w:rsid w:val="00C617FD"/>
    <w:rsid w:val="00C61BCC"/>
    <w:rsid w:val="00C62A18"/>
    <w:rsid w:val="00C6339E"/>
    <w:rsid w:val="00C6382A"/>
    <w:rsid w:val="00C6404A"/>
    <w:rsid w:val="00C6417D"/>
    <w:rsid w:val="00C645A2"/>
    <w:rsid w:val="00C64C2F"/>
    <w:rsid w:val="00C64FC2"/>
    <w:rsid w:val="00C6512A"/>
    <w:rsid w:val="00C66794"/>
    <w:rsid w:val="00C6699D"/>
    <w:rsid w:val="00C66CC1"/>
    <w:rsid w:val="00C66EA4"/>
    <w:rsid w:val="00C66ECB"/>
    <w:rsid w:val="00C6724A"/>
    <w:rsid w:val="00C67327"/>
    <w:rsid w:val="00C719D8"/>
    <w:rsid w:val="00C71E21"/>
    <w:rsid w:val="00C7464B"/>
    <w:rsid w:val="00C74856"/>
    <w:rsid w:val="00C74956"/>
    <w:rsid w:val="00C75607"/>
    <w:rsid w:val="00C75FC0"/>
    <w:rsid w:val="00C76A2C"/>
    <w:rsid w:val="00C76D0A"/>
    <w:rsid w:val="00C7702C"/>
    <w:rsid w:val="00C7707B"/>
    <w:rsid w:val="00C7763B"/>
    <w:rsid w:val="00C77A23"/>
    <w:rsid w:val="00C77F55"/>
    <w:rsid w:val="00C77F83"/>
    <w:rsid w:val="00C8210F"/>
    <w:rsid w:val="00C825BE"/>
    <w:rsid w:val="00C82D29"/>
    <w:rsid w:val="00C83771"/>
    <w:rsid w:val="00C8421D"/>
    <w:rsid w:val="00C84F58"/>
    <w:rsid w:val="00C84FD6"/>
    <w:rsid w:val="00C86638"/>
    <w:rsid w:val="00C86C89"/>
    <w:rsid w:val="00C87713"/>
    <w:rsid w:val="00C87863"/>
    <w:rsid w:val="00C8793E"/>
    <w:rsid w:val="00C87CF5"/>
    <w:rsid w:val="00C90264"/>
    <w:rsid w:val="00C90F99"/>
    <w:rsid w:val="00C91354"/>
    <w:rsid w:val="00C91646"/>
    <w:rsid w:val="00C91693"/>
    <w:rsid w:val="00C93161"/>
    <w:rsid w:val="00C93A1E"/>
    <w:rsid w:val="00C947E7"/>
    <w:rsid w:val="00C94A3E"/>
    <w:rsid w:val="00C94D69"/>
    <w:rsid w:val="00C94F74"/>
    <w:rsid w:val="00C95250"/>
    <w:rsid w:val="00C952F5"/>
    <w:rsid w:val="00C962FB"/>
    <w:rsid w:val="00C96393"/>
    <w:rsid w:val="00C965DA"/>
    <w:rsid w:val="00C96B70"/>
    <w:rsid w:val="00C973C5"/>
    <w:rsid w:val="00C97769"/>
    <w:rsid w:val="00CA14B0"/>
    <w:rsid w:val="00CA1507"/>
    <w:rsid w:val="00CA2530"/>
    <w:rsid w:val="00CA2F00"/>
    <w:rsid w:val="00CA3B01"/>
    <w:rsid w:val="00CA3B5A"/>
    <w:rsid w:val="00CA40E8"/>
    <w:rsid w:val="00CA44A0"/>
    <w:rsid w:val="00CA49D2"/>
    <w:rsid w:val="00CA5B9B"/>
    <w:rsid w:val="00CA5CFB"/>
    <w:rsid w:val="00CA5E43"/>
    <w:rsid w:val="00CA6410"/>
    <w:rsid w:val="00CA7EF3"/>
    <w:rsid w:val="00CB00D1"/>
    <w:rsid w:val="00CB03A9"/>
    <w:rsid w:val="00CB1EC3"/>
    <w:rsid w:val="00CB31E8"/>
    <w:rsid w:val="00CB41DB"/>
    <w:rsid w:val="00CB4847"/>
    <w:rsid w:val="00CB5D1A"/>
    <w:rsid w:val="00CB641F"/>
    <w:rsid w:val="00CC082D"/>
    <w:rsid w:val="00CC1C0E"/>
    <w:rsid w:val="00CC1E6D"/>
    <w:rsid w:val="00CC2B89"/>
    <w:rsid w:val="00CC2DE0"/>
    <w:rsid w:val="00CC2F46"/>
    <w:rsid w:val="00CC32F1"/>
    <w:rsid w:val="00CC44AD"/>
    <w:rsid w:val="00CC4992"/>
    <w:rsid w:val="00CC4D06"/>
    <w:rsid w:val="00CC4F3A"/>
    <w:rsid w:val="00CC59BC"/>
    <w:rsid w:val="00CC5CA9"/>
    <w:rsid w:val="00CC61D7"/>
    <w:rsid w:val="00CC647A"/>
    <w:rsid w:val="00CC6671"/>
    <w:rsid w:val="00CC695B"/>
    <w:rsid w:val="00CC7512"/>
    <w:rsid w:val="00CC77E2"/>
    <w:rsid w:val="00CD0522"/>
    <w:rsid w:val="00CD219C"/>
    <w:rsid w:val="00CD2B02"/>
    <w:rsid w:val="00CD3E80"/>
    <w:rsid w:val="00CD4899"/>
    <w:rsid w:val="00CD576A"/>
    <w:rsid w:val="00CD618E"/>
    <w:rsid w:val="00CD66D6"/>
    <w:rsid w:val="00CD6E6F"/>
    <w:rsid w:val="00CD7A32"/>
    <w:rsid w:val="00CD7DCB"/>
    <w:rsid w:val="00CD7EE1"/>
    <w:rsid w:val="00CD7FC6"/>
    <w:rsid w:val="00CE0AE2"/>
    <w:rsid w:val="00CE1FBE"/>
    <w:rsid w:val="00CE2578"/>
    <w:rsid w:val="00CE27E1"/>
    <w:rsid w:val="00CE3195"/>
    <w:rsid w:val="00CE47F7"/>
    <w:rsid w:val="00CE488D"/>
    <w:rsid w:val="00CE4D03"/>
    <w:rsid w:val="00CE55E5"/>
    <w:rsid w:val="00CE56AC"/>
    <w:rsid w:val="00CE5B23"/>
    <w:rsid w:val="00CE63B3"/>
    <w:rsid w:val="00CE68AF"/>
    <w:rsid w:val="00CE6B3F"/>
    <w:rsid w:val="00CE7762"/>
    <w:rsid w:val="00CF0807"/>
    <w:rsid w:val="00CF1229"/>
    <w:rsid w:val="00CF1AB9"/>
    <w:rsid w:val="00CF1E12"/>
    <w:rsid w:val="00CF228D"/>
    <w:rsid w:val="00CF36E7"/>
    <w:rsid w:val="00CF3E45"/>
    <w:rsid w:val="00CF3F5B"/>
    <w:rsid w:val="00CF4069"/>
    <w:rsid w:val="00CF49C7"/>
    <w:rsid w:val="00CF4BD5"/>
    <w:rsid w:val="00CF4FD4"/>
    <w:rsid w:val="00CF5DC3"/>
    <w:rsid w:val="00CF666F"/>
    <w:rsid w:val="00CF707D"/>
    <w:rsid w:val="00CF7221"/>
    <w:rsid w:val="00CF789E"/>
    <w:rsid w:val="00D00648"/>
    <w:rsid w:val="00D01601"/>
    <w:rsid w:val="00D01D69"/>
    <w:rsid w:val="00D0240D"/>
    <w:rsid w:val="00D03656"/>
    <w:rsid w:val="00D049E0"/>
    <w:rsid w:val="00D06486"/>
    <w:rsid w:val="00D100CE"/>
    <w:rsid w:val="00D10D1F"/>
    <w:rsid w:val="00D11494"/>
    <w:rsid w:val="00D11631"/>
    <w:rsid w:val="00D1181B"/>
    <w:rsid w:val="00D11E0D"/>
    <w:rsid w:val="00D11EC3"/>
    <w:rsid w:val="00D1224F"/>
    <w:rsid w:val="00D131EA"/>
    <w:rsid w:val="00D132F3"/>
    <w:rsid w:val="00D15B58"/>
    <w:rsid w:val="00D168F0"/>
    <w:rsid w:val="00D17222"/>
    <w:rsid w:val="00D1753A"/>
    <w:rsid w:val="00D17811"/>
    <w:rsid w:val="00D208F1"/>
    <w:rsid w:val="00D20AF5"/>
    <w:rsid w:val="00D20FAB"/>
    <w:rsid w:val="00D21073"/>
    <w:rsid w:val="00D21AA7"/>
    <w:rsid w:val="00D21BC8"/>
    <w:rsid w:val="00D21E03"/>
    <w:rsid w:val="00D23896"/>
    <w:rsid w:val="00D23A8A"/>
    <w:rsid w:val="00D24AE9"/>
    <w:rsid w:val="00D268FF"/>
    <w:rsid w:val="00D26EEA"/>
    <w:rsid w:val="00D27AF7"/>
    <w:rsid w:val="00D30203"/>
    <w:rsid w:val="00D3024B"/>
    <w:rsid w:val="00D3088F"/>
    <w:rsid w:val="00D30F58"/>
    <w:rsid w:val="00D310ED"/>
    <w:rsid w:val="00D31357"/>
    <w:rsid w:val="00D3172B"/>
    <w:rsid w:val="00D31D30"/>
    <w:rsid w:val="00D32491"/>
    <w:rsid w:val="00D33650"/>
    <w:rsid w:val="00D3472A"/>
    <w:rsid w:val="00D34FF5"/>
    <w:rsid w:val="00D35FAC"/>
    <w:rsid w:val="00D36074"/>
    <w:rsid w:val="00D3763F"/>
    <w:rsid w:val="00D376E9"/>
    <w:rsid w:val="00D402B8"/>
    <w:rsid w:val="00D40836"/>
    <w:rsid w:val="00D40B6A"/>
    <w:rsid w:val="00D413F8"/>
    <w:rsid w:val="00D417F8"/>
    <w:rsid w:val="00D4233B"/>
    <w:rsid w:val="00D427C0"/>
    <w:rsid w:val="00D42B91"/>
    <w:rsid w:val="00D42BCC"/>
    <w:rsid w:val="00D42DDE"/>
    <w:rsid w:val="00D43755"/>
    <w:rsid w:val="00D44235"/>
    <w:rsid w:val="00D442AC"/>
    <w:rsid w:val="00D44448"/>
    <w:rsid w:val="00D454B4"/>
    <w:rsid w:val="00D505AE"/>
    <w:rsid w:val="00D50A6A"/>
    <w:rsid w:val="00D5124F"/>
    <w:rsid w:val="00D52035"/>
    <w:rsid w:val="00D52582"/>
    <w:rsid w:val="00D52A18"/>
    <w:rsid w:val="00D5323E"/>
    <w:rsid w:val="00D53273"/>
    <w:rsid w:val="00D5380E"/>
    <w:rsid w:val="00D53BB0"/>
    <w:rsid w:val="00D53CE9"/>
    <w:rsid w:val="00D55B75"/>
    <w:rsid w:val="00D55C5E"/>
    <w:rsid w:val="00D57210"/>
    <w:rsid w:val="00D57682"/>
    <w:rsid w:val="00D57A7C"/>
    <w:rsid w:val="00D57AAF"/>
    <w:rsid w:val="00D57B1A"/>
    <w:rsid w:val="00D57EDE"/>
    <w:rsid w:val="00D607D9"/>
    <w:rsid w:val="00D60F0B"/>
    <w:rsid w:val="00D62397"/>
    <w:rsid w:val="00D62EE9"/>
    <w:rsid w:val="00D63614"/>
    <w:rsid w:val="00D6397E"/>
    <w:rsid w:val="00D63D8B"/>
    <w:rsid w:val="00D63E34"/>
    <w:rsid w:val="00D64AD8"/>
    <w:rsid w:val="00D659EE"/>
    <w:rsid w:val="00D66286"/>
    <w:rsid w:val="00D668BA"/>
    <w:rsid w:val="00D676E1"/>
    <w:rsid w:val="00D67BB6"/>
    <w:rsid w:val="00D70564"/>
    <w:rsid w:val="00D7155A"/>
    <w:rsid w:val="00D71BD9"/>
    <w:rsid w:val="00D71E74"/>
    <w:rsid w:val="00D72C1C"/>
    <w:rsid w:val="00D73C9A"/>
    <w:rsid w:val="00D73E2E"/>
    <w:rsid w:val="00D745D9"/>
    <w:rsid w:val="00D749D1"/>
    <w:rsid w:val="00D75E4A"/>
    <w:rsid w:val="00D7679D"/>
    <w:rsid w:val="00D76883"/>
    <w:rsid w:val="00D773F6"/>
    <w:rsid w:val="00D77427"/>
    <w:rsid w:val="00D80F1C"/>
    <w:rsid w:val="00D82117"/>
    <w:rsid w:val="00D823E9"/>
    <w:rsid w:val="00D8309D"/>
    <w:rsid w:val="00D835C9"/>
    <w:rsid w:val="00D8390D"/>
    <w:rsid w:val="00D83ED7"/>
    <w:rsid w:val="00D842AD"/>
    <w:rsid w:val="00D845D3"/>
    <w:rsid w:val="00D846D7"/>
    <w:rsid w:val="00D85267"/>
    <w:rsid w:val="00D85C08"/>
    <w:rsid w:val="00D86371"/>
    <w:rsid w:val="00D86B0C"/>
    <w:rsid w:val="00D90BF6"/>
    <w:rsid w:val="00D90E9D"/>
    <w:rsid w:val="00D91FED"/>
    <w:rsid w:val="00D924DC"/>
    <w:rsid w:val="00D93098"/>
    <w:rsid w:val="00D93746"/>
    <w:rsid w:val="00D93C6F"/>
    <w:rsid w:val="00D95481"/>
    <w:rsid w:val="00D95612"/>
    <w:rsid w:val="00D95D48"/>
    <w:rsid w:val="00D95FF3"/>
    <w:rsid w:val="00D96198"/>
    <w:rsid w:val="00D96FC9"/>
    <w:rsid w:val="00D96FD4"/>
    <w:rsid w:val="00D977C0"/>
    <w:rsid w:val="00D97827"/>
    <w:rsid w:val="00DA068E"/>
    <w:rsid w:val="00DA0CB2"/>
    <w:rsid w:val="00DA11E9"/>
    <w:rsid w:val="00DA2588"/>
    <w:rsid w:val="00DA2912"/>
    <w:rsid w:val="00DA3047"/>
    <w:rsid w:val="00DA3547"/>
    <w:rsid w:val="00DA3B34"/>
    <w:rsid w:val="00DA431A"/>
    <w:rsid w:val="00DA7BE9"/>
    <w:rsid w:val="00DA7FE0"/>
    <w:rsid w:val="00DB018B"/>
    <w:rsid w:val="00DB226C"/>
    <w:rsid w:val="00DB41E0"/>
    <w:rsid w:val="00DB457D"/>
    <w:rsid w:val="00DB65AD"/>
    <w:rsid w:val="00DB695F"/>
    <w:rsid w:val="00DB7C9C"/>
    <w:rsid w:val="00DB7E75"/>
    <w:rsid w:val="00DB7FC4"/>
    <w:rsid w:val="00DC08AD"/>
    <w:rsid w:val="00DC0963"/>
    <w:rsid w:val="00DC0BC2"/>
    <w:rsid w:val="00DC1000"/>
    <w:rsid w:val="00DC2522"/>
    <w:rsid w:val="00DC3656"/>
    <w:rsid w:val="00DC37A7"/>
    <w:rsid w:val="00DC3B60"/>
    <w:rsid w:val="00DC51F2"/>
    <w:rsid w:val="00DC5678"/>
    <w:rsid w:val="00DC6258"/>
    <w:rsid w:val="00DC6FEC"/>
    <w:rsid w:val="00DC7F4E"/>
    <w:rsid w:val="00DD0563"/>
    <w:rsid w:val="00DD0636"/>
    <w:rsid w:val="00DD0796"/>
    <w:rsid w:val="00DD1125"/>
    <w:rsid w:val="00DD3A79"/>
    <w:rsid w:val="00DD4C7A"/>
    <w:rsid w:val="00DD5D98"/>
    <w:rsid w:val="00DD6C27"/>
    <w:rsid w:val="00DD7FAB"/>
    <w:rsid w:val="00DD7FDC"/>
    <w:rsid w:val="00DE09C0"/>
    <w:rsid w:val="00DE1AF5"/>
    <w:rsid w:val="00DE1E24"/>
    <w:rsid w:val="00DE21DB"/>
    <w:rsid w:val="00DE247F"/>
    <w:rsid w:val="00DE27A2"/>
    <w:rsid w:val="00DE2A14"/>
    <w:rsid w:val="00DE2D7D"/>
    <w:rsid w:val="00DE2E6A"/>
    <w:rsid w:val="00DE3C22"/>
    <w:rsid w:val="00DE48B6"/>
    <w:rsid w:val="00DE4B01"/>
    <w:rsid w:val="00DE4C75"/>
    <w:rsid w:val="00DE4E31"/>
    <w:rsid w:val="00DE532E"/>
    <w:rsid w:val="00DE6080"/>
    <w:rsid w:val="00DE6A9D"/>
    <w:rsid w:val="00DE6DF8"/>
    <w:rsid w:val="00DE6FCB"/>
    <w:rsid w:val="00DE7F11"/>
    <w:rsid w:val="00DF0323"/>
    <w:rsid w:val="00DF075E"/>
    <w:rsid w:val="00DF1457"/>
    <w:rsid w:val="00DF14A6"/>
    <w:rsid w:val="00DF1952"/>
    <w:rsid w:val="00DF1AB6"/>
    <w:rsid w:val="00DF1C3D"/>
    <w:rsid w:val="00DF2F5E"/>
    <w:rsid w:val="00DF31F8"/>
    <w:rsid w:val="00DF33FE"/>
    <w:rsid w:val="00DF3E25"/>
    <w:rsid w:val="00DF4EC3"/>
    <w:rsid w:val="00DF5192"/>
    <w:rsid w:val="00DF531E"/>
    <w:rsid w:val="00DF54FC"/>
    <w:rsid w:val="00DF55B6"/>
    <w:rsid w:val="00DF5E37"/>
    <w:rsid w:val="00DF6460"/>
    <w:rsid w:val="00DF76BE"/>
    <w:rsid w:val="00DF76CA"/>
    <w:rsid w:val="00DF7F78"/>
    <w:rsid w:val="00E00203"/>
    <w:rsid w:val="00E0078C"/>
    <w:rsid w:val="00E01045"/>
    <w:rsid w:val="00E011D0"/>
    <w:rsid w:val="00E01DB2"/>
    <w:rsid w:val="00E023BC"/>
    <w:rsid w:val="00E02481"/>
    <w:rsid w:val="00E03711"/>
    <w:rsid w:val="00E03A91"/>
    <w:rsid w:val="00E03DCA"/>
    <w:rsid w:val="00E03DE1"/>
    <w:rsid w:val="00E0427B"/>
    <w:rsid w:val="00E04F75"/>
    <w:rsid w:val="00E0514C"/>
    <w:rsid w:val="00E0586A"/>
    <w:rsid w:val="00E060C6"/>
    <w:rsid w:val="00E108CF"/>
    <w:rsid w:val="00E10CD6"/>
    <w:rsid w:val="00E11999"/>
    <w:rsid w:val="00E1294E"/>
    <w:rsid w:val="00E12D15"/>
    <w:rsid w:val="00E130AA"/>
    <w:rsid w:val="00E13179"/>
    <w:rsid w:val="00E135EE"/>
    <w:rsid w:val="00E14470"/>
    <w:rsid w:val="00E156A7"/>
    <w:rsid w:val="00E156BD"/>
    <w:rsid w:val="00E161FF"/>
    <w:rsid w:val="00E17085"/>
    <w:rsid w:val="00E170B9"/>
    <w:rsid w:val="00E17920"/>
    <w:rsid w:val="00E20150"/>
    <w:rsid w:val="00E21480"/>
    <w:rsid w:val="00E21A33"/>
    <w:rsid w:val="00E23A20"/>
    <w:rsid w:val="00E23CCE"/>
    <w:rsid w:val="00E2508E"/>
    <w:rsid w:val="00E25A65"/>
    <w:rsid w:val="00E25ACA"/>
    <w:rsid w:val="00E25D04"/>
    <w:rsid w:val="00E25E13"/>
    <w:rsid w:val="00E25F88"/>
    <w:rsid w:val="00E26921"/>
    <w:rsid w:val="00E26BEA"/>
    <w:rsid w:val="00E27848"/>
    <w:rsid w:val="00E30176"/>
    <w:rsid w:val="00E305B6"/>
    <w:rsid w:val="00E30F48"/>
    <w:rsid w:val="00E31033"/>
    <w:rsid w:val="00E31288"/>
    <w:rsid w:val="00E31364"/>
    <w:rsid w:val="00E321CD"/>
    <w:rsid w:val="00E332EE"/>
    <w:rsid w:val="00E33470"/>
    <w:rsid w:val="00E34882"/>
    <w:rsid w:val="00E35B10"/>
    <w:rsid w:val="00E364D6"/>
    <w:rsid w:val="00E36636"/>
    <w:rsid w:val="00E36A5A"/>
    <w:rsid w:val="00E37187"/>
    <w:rsid w:val="00E374B1"/>
    <w:rsid w:val="00E377B8"/>
    <w:rsid w:val="00E37A06"/>
    <w:rsid w:val="00E40398"/>
    <w:rsid w:val="00E426AB"/>
    <w:rsid w:val="00E4284F"/>
    <w:rsid w:val="00E42B25"/>
    <w:rsid w:val="00E43521"/>
    <w:rsid w:val="00E43754"/>
    <w:rsid w:val="00E4389F"/>
    <w:rsid w:val="00E44A9F"/>
    <w:rsid w:val="00E44CC3"/>
    <w:rsid w:val="00E45460"/>
    <w:rsid w:val="00E462BC"/>
    <w:rsid w:val="00E465BD"/>
    <w:rsid w:val="00E46E89"/>
    <w:rsid w:val="00E47020"/>
    <w:rsid w:val="00E477B2"/>
    <w:rsid w:val="00E47901"/>
    <w:rsid w:val="00E52C82"/>
    <w:rsid w:val="00E532C5"/>
    <w:rsid w:val="00E53A6D"/>
    <w:rsid w:val="00E55288"/>
    <w:rsid w:val="00E55EF4"/>
    <w:rsid w:val="00E56CCE"/>
    <w:rsid w:val="00E571C5"/>
    <w:rsid w:val="00E57546"/>
    <w:rsid w:val="00E6013B"/>
    <w:rsid w:val="00E60504"/>
    <w:rsid w:val="00E60F19"/>
    <w:rsid w:val="00E6100A"/>
    <w:rsid w:val="00E621EB"/>
    <w:rsid w:val="00E632D3"/>
    <w:rsid w:val="00E643B6"/>
    <w:rsid w:val="00E64D55"/>
    <w:rsid w:val="00E652D2"/>
    <w:rsid w:val="00E656D2"/>
    <w:rsid w:val="00E666FC"/>
    <w:rsid w:val="00E66B32"/>
    <w:rsid w:val="00E66C65"/>
    <w:rsid w:val="00E671A6"/>
    <w:rsid w:val="00E673C9"/>
    <w:rsid w:val="00E7076C"/>
    <w:rsid w:val="00E70A03"/>
    <w:rsid w:val="00E7219D"/>
    <w:rsid w:val="00E72224"/>
    <w:rsid w:val="00E7229F"/>
    <w:rsid w:val="00E739A2"/>
    <w:rsid w:val="00E73D68"/>
    <w:rsid w:val="00E73F7E"/>
    <w:rsid w:val="00E740A7"/>
    <w:rsid w:val="00E74CF1"/>
    <w:rsid w:val="00E7526F"/>
    <w:rsid w:val="00E76059"/>
    <w:rsid w:val="00E7729F"/>
    <w:rsid w:val="00E77482"/>
    <w:rsid w:val="00E7762E"/>
    <w:rsid w:val="00E803CF"/>
    <w:rsid w:val="00E8091F"/>
    <w:rsid w:val="00E8097C"/>
    <w:rsid w:val="00E810EE"/>
    <w:rsid w:val="00E833D2"/>
    <w:rsid w:val="00E8341D"/>
    <w:rsid w:val="00E83B96"/>
    <w:rsid w:val="00E84181"/>
    <w:rsid w:val="00E84192"/>
    <w:rsid w:val="00E848D3"/>
    <w:rsid w:val="00E8514D"/>
    <w:rsid w:val="00E851A3"/>
    <w:rsid w:val="00E856FC"/>
    <w:rsid w:val="00E85B28"/>
    <w:rsid w:val="00E85F87"/>
    <w:rsid w:val="00E86152"/>
    <w:rsid w:val="00E86FBD"/>
    <w:rsid w:val="00E86FD4"/>
    <w:rsid w:val="00E8756D"/>
    <w:rsid w:val="00E87D98"/>
    <w:rsid w:val="00E905FD"/>
    <w:rsid w:val="00E9141B"/>
    <w:rsid w:val="00E9202A"/>
    <w:rsid w:val="00E921D6"/>
    <w:rsid w:val="00E923D3"/>
    <w:rsid w:val="00E931C7"/>
    <w:rsid w:val="00E93DE5"/>
    <w:rsid w:val="00E94702"/>
    <w:rsid w:val="00E9662C"/>
    <w:rsid w:val="00E97558"/>
    <w:rsid w:val="00E976FC"/>
    <w:rsid w:val="00E97B93"/>
    <w:rsid w:val="00EA0957"/>
    <w:rsid w:val="00EA2274"/>
    <w:rsid w:val="00EA3878"/>
    <w:rsid w:val="00EA3AE5"/>
    <w:rsid w:val="00EA3CDD"/>
    <w:rsid w:val="00EA49A3"/>
    <w:rsid w:val="00EA4C16"/>
    <w:rsid w:val="00EA4D0A"/>
    <w:rsid w:val="00EA4E60"/>
    <w:rsid w:val="00EA5095"/>
    <w:rsid w:val="00EA5514"/>
    <w:rsid w:val="00EA6709"/>
    <w:rsid w:val="00EA7413"/>
    <w:rsid w:val="00EB0220"/>
    <w:rsid w:val="00EB0929"/>
    <w:rsid w:val="00EB0A1A"/>
    <w:rsid w:val="00EB0AA5"/>
    <w:rsid w:val="00EB1273"/>
    <w:rsid w:val="00EB1539"/>
    <w:rsid w:val="00EB1DFE"/>
    <w:rsid w:val="00EB2046"/>
    <w:rsid w:val="00EB3577"/>
    <w:rsid w:val="00EB41B3"/>
    <w:rsid w:val="00EB48D2"/>
    <w:rsid w:val="00EB4925"/>
    <w:rsid w:val="00EB58A3"/>
    <w:rsid w:val="00EB6B36"/>
    <w:rsid w:val="00EB7E2A"/>
    <w:rsid w:val="00EC0730"/>
    <w:rsid w:val="00EC0C8E"/>
    <w:rsid w:val="00EC173E"/>
    <w:rsid w:val="00EC1D08"/>
    <w:rsid w:val="00EC1E93"/>
    <w:rsid w:val="00EC2B1A"/>
    <w:rsid w:val="00EC2BED"/>
    <w:rsid w:val="00EC40DF"/>
    <w:rsid w:val="00EC45C7"/>
    <w:rsid w:val="00EC46F7"/>
    <w:rsid w:val="00EC4775"/>
    <w:rsid w:val="00EC487C"/>
    <w:rsid w:val="00EC5273"/>
    <w:rsid w:val="00EC5DF0"/>
    <w:rsid w:val="00EC7D08"/>
    <w:rsid w:val="00ED01C6"/>
    <w:rsid w:val="00ED02BE"/>
    <w:rsid w:val="00ED0F3E"/>
    <w:rsid w:val="00ED12F9"/>
    <w:rsid w:val="00ED1391"/>
    <w:rsid w:val="00ED145F"/>
    <w:rsid w:val="00ED1585"/>
    <w:rsid w:val="00ED216C"/>
    <w:rsid w:val="00ED2B98"/>
    <w:rsid w:val="00ED3FCE"/>
    <w:rsid w:val="00ED571C"/>
    <w:rsid w:val="00ED5F1B"/>
    <w:rsid w:val="00ED6943"/>
    <w:rsid w:val="00ED6B1A"/>
    <w:rsid w:val="00ED6BE1"/>
    <w:rsid w:val="00ED7C3B"/>
    <w:rsid w:val="00ED7D79"/>
    <w:rsid w:val="00ED7E57"/>
    <w:rsid w:val="00EE01D3"/>
    <w:rsid w:val="00EE0AEF"/>
    <w:rsid w:val="00EE1046"/>
    <w:rsid w:val="00EE1084"/>
    <w:rsid w:val="00EE32E5"/>
    <w:rsid w:val="00EE3872"/>
    <w:rsid w:val="00EE43A1"/>
    <w:rsid w:val="00EE467C"/>
    <w:rsid w:val="00EE46A6"/>
    <w:rsid w:val="00EE4778"/>
    <w:rsid w:val="00EE5693"/>
    <w:rsid w:val="00EE5B0A"/>
    <w:rsid w:val="00EE66EE"/>
    <w:rsid w:val="00EE7410"/>
    <w:rsid w:val="00EE7950"/>
    <w:rsid w:val="00EF0778"/>
    <w:rsid w:val="00EF09FF"/>
    <w:rsid w:val="00EF1466"/>
    <w:rsid w:val="00EF27CD"/>
    <w:rsid w:val="00EF323D"/>
    <w:rsid w:val="00EF352B"/>
    <w:rsid w:val="00EF412F"/>
    <w:rsid w:val="00EF479F"/>
    <w:rsid w:val="00EF5432"/>
    <w:rsid w:val="00EF5953"/>
    <w:rsid w:val="00EF5C87"/>
    <w:rsid w:val="00EF66A9"/>
    <w:rsid w:val="00EF6E3E"/>
    <w:rsid w:val="00EF7C41"/>
    <w:rsid w:val="00EF7F6B"/>
    <w:rsid w:val="00F00403"/>
    <w:rsid w:val="00F00894"/>
    <w:rsid w:val="00F01779"/>
    <w:rsid w:val="00F018B7"/>
    <w:rsid w:val="00F02DBD"/>
    <w:rsid w:val="00F0340F"/>
    <w:rsid w:val="00F034B7"/>
    <w:rsid w:val="00F044A6"/>
    <w:rsid w:val="00F05B97"/>
    <w:rsid w:val="00F060DB"/>
    <w:rsid w:val="00F0672E"/>
    <w:rsid w:val="00F069CE"/>
    <w:rsid w:val="00F06E1A"/>
    <w:rsid w:val="00F07842"/>
    <w:rsid w:val="00F07B42"/>
    <w:rsid w:val="00F1130F"/>
    <w:rsid w:val="00F11926"/>
    <w:rsid w:val="00F12ABC"/>
    <w:rsid w:val="00F1305E"/>
    <w:rsid w:val="00F132A3"/>
    <w:rsid w:val="00F13648"/>
    <w:rsid w:val="00F14BC5"/>
    <w:rsid w:val="00F150A1"/>
    <w:rsid w:val="00F15302"/>
    <w:rsid w:val="00F1732E"/>
    <w:rsid w:val="00F174D5"/>
    <w:rsid w:val="00F175EA"/>
    <w:rsid w:val="00F2031A"/>
    <w:rsid w:val="00F20545"/>
    <w:rsid w:val="00F20A84"/>
    <w:rsid w:val="00F20FA1"/>
    <w:rsid w:val="00F21237"/>
    <w:rsid w:val="00F220F5"/>
    <w:rsid w:val="00F2214D"/>
    <w:rsid w:val="00F2247B"/>
    <w:rsid w:val="00F24A1B"/>
    <w:rsid w:val="00F25369"/>
    <w:rsid w:val="00F26156"/>
    <w:rsid w:val="00F27393"/>
    <w:rsid w:val="00F3075E"/>
    <w:rsid w:val="00F315FE"/>
    <w:rsid w:val="00F31735"/>
    <w:rsid w:val="00F318E9"/>
    <w:rsid w:val="00F31B29"/>
    <w:rsid w:val="00F3310A"/>
    <w:rsid w:val="00F333BA"/>
    <w:rsid w:val="00F34FFB"/>
    <w:rsid w:val="00F3542E"/>
    <w:rsid w:val="00F367A7"/>
    <w:rsid w:val="00F36DAB"/>
    <w:rsid w:val="00F40972"/>
    <w:rsid w:val="00F41199"/>
    <w:rsid w:val="00F41BE1"/>
    <w:rsid w:val="00F4214B"/>
    <w:rsid w:val="00F4269B"/>
    <w:rsid w:val="00F42A6E"/>
    <w:rsid w:val="00F42E90"/>
    <w:rsid w:val="00F4319B"/>
    <w:rsid w:val="00F43551"/>
    <w:rsid w:val="00F439D8"/>
    <w:rsid w:val="00F43DD7"/>
    <w:rsid w:val="00F43DE1"/>
    <w:rsid w:val="00F44CF3"/>
    <w:rsid w:val="00F45B9D"/>
    <w:rsid w:val="00F46405"/>
    <w:rsid w:val="00F47B2C"/>
    <w:rsid w:val="00F47DE6"/>
    <w:rsid w:val="00F47E4D"/>
    <w:rsid w:val="00F50B68"/>
    <w:rsid w:val="00F50F04"/>
    <w:rsid w:val="00F51021"/>
    <w:rsid w:val="00F5110B"/>
    <w:rsid w:val="00F51500"/>
    <w:rsid w:val="00F515CE"/>
    <w:rsid w:val="00F51773"/>
    <w:rsid w:val="00F526A1"/>
    <w:rsid w:val="00F529BD"/>
    <w:rsid w:val="00F530AD"/>
    <w:rsid w:val="00F531DF"/>
    <w:rsid w:val="00F536D8"/>
    <w:rsid w:val="00F53BCE"/>
    <w:rsid w:val="00F53C4F"/>
    <w:rsid w:val="00F547CC"/>
    <w:rsid w:val="00F54D8C"/>
    <w:rsid w:val="00F54E8E"/>
    <w:rsid w:val="00F557D3"/>
    <w:rsid w:val="00F56010"/>
    <w:rsid w:val="00F56430"/>
    <w:rsid w:val="00F57299"/>
    <w:rsid w:val="00F5785F"/>
    <w:rsid w:val="00F601C7"/>
    <w:rsid w:val="00F60247"/>
    <w:rsid w:val="00F60EA8"/>
    <w:rsid w:val="00F62D17"/>
    <w:rsid w:val="00F62E10"/>
    <w:rsid w:val="00F65352"/>
    <w:rsid w:val="00F6554A"/>
    <w:rsid w:val="00F65EFE"/>
    <w:rsid w:val="00F66330"/>
    <w:rsid w:val="00F6637D"/>
    <w:rsid w:val="00F66AC9"/>
    <w:rsid w:val="00F66C0C"/>
    <w:rsid w:val="00F66ED1"/>
    <w:rsid w:val="00F7039E"/>
    <w:rsid w:val="00F7049A"/>
    <w:rsid w:val="00F70BFD"/>
    <w:rsid w:val="00F70EA8"/>
    <w:rsid w:val="00F70FD6"/>
    <w:rsid w:val="00F715F9"/>
    <w:rsid w:val="00F71E58"/>
    <w:rsid w:val="00F72254"/>
    <w:rsid w:val="00F72C6E"/>
    <w:rsid w:val="00F7337E"/>
    <w:rsid w:val="00F7381F"/>
    <w:rsid w:val="00F74405"/>
    <w:rsid w:val="00F746F4"/>
    <w:rsid w:val="00F747F8"/>
    <w:rsid w:val="00F7488F"/>
    <w:rsid w:val="00F74C8F"/>
    <w:rsid w:val="00F754F1"/>
    <w:rsid w:val="00F75DEF"/>
    <w:rsid w:val="00F76528"/>
    <w:rsid w:val="00F76B71"/>
    <w:rsid w:val="00F77477"/>
    <w:rsid w:val="00F77D5B"/>
    <w:rsid w:val="00F800E9"/>
    <w:rsid w:val="00F8014C"/>
    <w:rsid w:val="00F80576"/>
    <w:rsid w:val="00F81B1E"/>
    <w:rsid w:val="00F81ED1"/>
    <w:rsid w:val="00F8262F"/>
    <w:rsid w:val="00F82E22"/>
    <w:rsid w:val="00F82E4E"/>
    <w:rsid w:val="00F83772"/>
    <w:rsid w:val="00F83EFF"/>
    <w:rsid w:val="00F844E3"/>
    <w:rsid w:val="00F84756"/>
    <w:rsid w:val="00F8535B"/>
    <w:rsid w:val="00F854DE"/>
    <w:rsid w:val="00F85E97"/>
    <w:rsid w:val="00F873F8"/>
    <w:rsid w:val="00F87745"/>
    <w:rsid w:val="00F87E50"/>
    <w:rsid w:val="00F903FE"/>
    <w:rsid w:val="00F90787"/>
    <w:rsid w:val="00F90BD4"/>
    <w:rsid w:val="00F9270C"/>
    <w:rsid w:val="00F9279F"/>
    <w:rsid w:val="00F9285A"/>
    <w:rsid w:val="00F93A20"/>
    <w:rsid w:val="00F93B6A"/>
    <w:rsid w:val="00F94202"/>
    <w:rsid w:val="00F94D9F"/>
    <w:rsid w:val="00F94E24"/>
    <w:rsid w:val="00F950E5"/>
    <w:rsid w:val="00F9528B"/>
    <w:rsid w:val="00F95D12"/>
    <w:rsid w:val="00F96184"/>
    <w:rsid w:val="00F9654F"/>
    <w:rsid w:val="00F96575"/>
    <w:rsid w:val="00F96AC4"/>
    <w:rsid w:val="00F97650"/>
    <w:rsid w:val="00FA03AC"/>
    <w:rsid w:val="00FA04EA"/>
    <w:rsid w:val="00FA0558"/>
    <w:rsid w:val="00FA13F5"/>
    <w:rsid w:val="00FA1FB8"/>
    <w:rsid w:val="00FA2918"/>
    <w:rsid w:val="00FA2F5A"/>
    <w:rsid w:val="00FA3309"/>
    <w:rsid w:val="00FA3394"/>
    <w:rsid w:val="00FA42F6"/>
    <w:rsid w:val="00FA47D0"/>
    <w:rsid w:val="00FA5E74"/>
    <w:rsid w:val="00FA5E8A"/>
    <w:rsid w:val="00FA601C"/>
    <w:rsid w:val="00FA6F68"/>
    <w:rsid w:val="00FA70EF"/>
    <w:rsid w:val="00FA790C"/>
    <w:rsid w:val="00FA7C3E"/>
    <w:rsid w:val="00FA7E51"/>
    <w:rsid w:val="00FB16FC"/>
    <w:rsid w:val="00FB17DD"/>
    <w:rsid w:val="00FB2D24"/>
    <w:rsid w:val="00FB2E42"/>
    <w:rsid w:val="00FB30F9"/>
    <w:rsid w:val="00FB341A"/>
    <w:rsid w:val="00FB40CD"/>
    <w:rsid w:val="00FB44E6"/>
    <w:rsid w:val="00FB45DD"/>
    <w:rsid w:val="00FB51E2"/>
    <w:rsid w:val="00FB5B15"/>
    <w:rsid w:val="00FB5E37"/>
    <w:rsid w:val="00FB5EBC"/>
    <w:rsid w:val="00FB7265"/>
    <w:rsid w:val="00FB76CC"/>
    <w:rsid w:val="00FC08D7"/>
    <w:rsid w:val="00FC08D8"/>
    <w:rsid w:val="00FC0A65"/>
    <w:rsid w:val="00FC0E94"/>
    <w:rsid w:val="00FC1784"/>
    <w:rsid w:val="00FC3A7C"/>
    <w:rsid w:val="00FC4121"/>
    <w:rsid w:val="00FC5772"/>
    <w:rsid w:val="00FC586D"/>
    <w:rsid w:val="00FC5E3B"/>
    <w:rsid w:val="00FD0194"/>
    <w:rsid w:val="00FD0426"/>
    <w:rsid w:val="00FD04BC"/>
    <w:rsid w:val="00FD0E8E"/>
    <w:rsid w:val="00FD23ED"/>
    <w:rsid w:val="00FD24F0"/>
    <w:rsid w:val="00FD2552"/>
    <w:rsid w:val="00FD27B2"/>
    <w:rsid w:val="00FD3AA2"/>
    <w:rsid w:val="00FD4369"/>
    <w:rsid w:val="00FD450A"/>
    <w:rsid w:val="00FD4734"/>
    <w:rsid w:val="00FD492C"/>
    <w:rsid w:val="00FE02F3"/>
    <w:rsid w:val="00FE0738"/>
    <w:rsid w:val="00FE1015"/>
    <w:rsid w:val="00FE1ACA"/>
    <w:rsid w:val="00FE1B77"/>
    <w:rsid w:val="00FE2389"/>
    <w:rsid w:val="00FE354C"/>
    <w:rsid w:val="00FE366D"/>
    <w:rsid w:val="00FE3BA3"/>
    <w:rsid w:val="00FE4A0D"/>
    <w:rsid w:val="00FE4C43"/>
    <w:rsid w:val="00FE51F5"/>
    <w:rsid w:val="00FE5328"/>
    <w:rsid w:val="00FE5456"/>
    <w:rsid w:val="00FE5647"/>
    <w:rsid w:val="00FE65B3"/>
    <w:rsid w:val="00FE7391"/>
    <w:rsid w:val="00FF00AA"/>
    <w:rsid w:val="00FF0169"/>
    <w:rsid w:val="00FF19CE"/>
    <w:rsid w:val="00FF228E"/>
    <w:rsid w:val="00FF3164"/>
    <w:rsid w:val="00FF31BE"/>
    <w:rsid w:val="00FF33D4"/>
    <w:rsid w:val="00FF36D4"/>
    <w:rsid w:val="00FF3BC2"/>
    <w:rsid w:val="00FF3EB5"/>
    <w:rsid w:val="00FF492B"/>
    <w:rsid w:val="00FF499A"/>
    <w:rsid w:val="00FF4C0D"/>
    <w:rsid w:val="00FF4CFE"/>
    <w:rsid w:val="00FF4E11"/>
    <w:rsid w:val="00FF5DB3"/>
    <w:rsid w:val="00FF64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F091"/>
  <w15:docId w15:val="{2CA7B7FA-0D8B-4957-9BAF-563A1FAE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B79"/>
    <w:pPr>
      <w:ind w:left="720"/>
      <w:contextualSpacing/>
    </w:pPr>
  </w:style>
  <w:style w:type="paragraph" w:styleId="Header">
    <w:name w:val="header"/>
    <w:basedOn w:val="Normal"/>
    <w:link w:val="HeaderChar"/>
    <w:uiPriority w:val="99"/>
    <w:unhideWhenUsed/>
    <w:rsid w:val="00280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D3E"/>
  </w:style>
  <w:style w:type="paragraph" w:styleId="Footer">
    <w:name w:val="footer"/>
    <w:basedOn w:val="Normal"/>
    <w:link w:val="FooterChar"/>
    <w:uiPriority w:val="99"/>
    <w:unhideWhenUsed/>
    <w:rsid w:val="00280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D3E"/>
  </w:style>
  <w:style w:type="table" w:styleId="TableGrid">
    <w:name w:val="Table Grid"/>
    <w:basedOn w:val="TableNormal"/>
    <w:uiPriority w:val="39"/>
    <w:rsid w:val="00021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4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5B2"/>
    <w:rPr>
      <w:sz w:val="20"/>
      <w:szCs w:val="20"/>
    </w:rPr>
  </w:style>
  <w:style w:type="character" w:styleId="FootnoteReference">
    <w:name w:val="footnote reference"/>
    <w:basedOn w:val="DefaultParagraphFont"/>
    <w:uiPriority w:val="99"/>
    <w:semiHidden/>
    <w:unhideWhenUsed/>
    <w:rsid w:val="007545B2"/>
    <w:rPr>
      <w:vertAlign w:val="superscript"/>
    </w:rPr>
  </w:style>
  <w:style w:type="character" w:styleId="CommentReference">
    <w:name w:val="annotation reference"/>
    <w:basedOn w:val="DefaultParagraphFont"/>
    <w:uiPriority w:val="99"/>
    <w:semiHidden/>
    <w:unhideWhenUsed/>
    <w:rsid w:val="0066290A"/>
    <w:rPr>
      <w:sz w:val="16"/>
      <w:szCs w:val="16"/>
    </w:rPr>
  </w:style>
  <w:style w:type="paragraph" w:styleId="CommentText">
    <w:name w:val="annotation text"/>
    <w:basedOn w:val="Normal"/>
    <w:link w:val="CommentTextChar"/>
    <w:uiPriority w:val="99"/>
    <w:semiHidden/>
    <w:unhideWhenUsed/>
    <w:rsid w:val="0066290A"/>
    <w:pPr>
      <w:spacing w:line="240" w:lineRule="auto"/>
    </w:pPr>
    <w:rPr>
      <w:sz w:val="20"/>
      <w:szCs w:val="20"/>
    </w:rPr>
  </w:style>
  <w:style w:type="character" w:customStyle="1" w:styleId="CommentTextChar">
    <w:name w:val="Comment Text Char"/>
    <w:basedOn w:val="DefaultParagraphFont"/>
    <w:link w:val="CommentText"/>
    <w:uiPriority w:val="99"/>
    <w:semiHidden/>
    <w:rsid w:val="0066290A"/>
    <w:rPr>
      <w:sz w:val="20"/>
      <w:szCs w:val="20"/>
    </w:rPr>
  </w:style>
  <w:style w:type="paragraph" w:styleId="CommentSubject">
    <w:name w:val="annotation subject"/>
    <w:basedOn w:val="CommentText"/>
    <w:next w:val="CommentText"/>
    <w:link w:val="CommentSubjectChar"/>
    <w:uiPriority w:val="99"/>
    <w:semiHidden/>
    <w:unhideWhenUsed/>
    <w:rsid w:val="0066290A"/>
    <w:rPr>
      <w:b/>
      <w:bCs/>
    </w:rPr>
  </w:style>
  <w:style w:type="character" w:customStyle="1" w:styleId="CommentSubjectChar">
    <w:name w:val="Comment Subject Char"/>
    <w:basedOn w:val="CommentTextChar"/>
    <w:link w:val="CommentSubject"/>
    <w:uiPriority w:val="99"/>
    <w:semiHidden/>
    <w:rsid w:val="0066290A"/>
    <w:rPr>
      <w:b/>
      <w:bCs/>
      <w:sz w:val="20"/>
      <w:szCs w:val="20"/>
    </w:rPr>
  </w:style>
  <w:style w:type="paragraph" w:styleId="BalloonText">
    <w:name w:val="Balloon Text"/>
    <w:basedOn w:val="Normal"/>
    <w:link w:val="BalloonTextChar"/>
    <w:uiPriority w:val="99"/>
    <w:semiHidden/>
    <w:unhideWhenUsed/>
    <w:rsid w:val="00662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9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20D6-3BEB-4650-AB87-15943F03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19131</Words>
  <Characters>109053</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JSC</cp:lastModifiedBy>
  <cp:revision>2</cp:revision>
  <cp:lastPrinted>2018-02-21T12:45:00Z</cp:lastPrinted>
  <dcterms:created xsi:type="dcterms:W3CDTF">2018-02-27T13:09:00Z</dcterms:created>
  <dcterms:modified xsi:type="dcterms:W3CDTF">2018-02-27T13:09:00Z</dcterms:modified>
</cp:coreProperties>
</file>