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5D2F" w:rsidRDefault="00CA5D2F" w:rsidP="003861B1">
      <w:pPr>
        <w:pStyle w:val="NoSpacing"/>
        <w:jc w:val="both"/>
        <w:rPr>
          <w:b/>
          <w:szCs w:val="24"/>
        </w:rPr>
      </w:pPr>
      <w:r>
        <w:rPr>
          <w:b/>
          <w:szCs w:val="24"/>
        </w:rPr>
        <w:t>BUSISO MTUNZI</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And</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SIHLE MTUNZI</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Versus</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SIPHATHISIWE MUCHIYANI MUDAWINI</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And</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HENRY MUCHIYANI</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And</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PATRICIA DARANGWA N.O</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b/>
          <w:szCs w:val="24"/>
        </w:rPr>
      </w:pPr>
      <w:r>
        <w:rPr>
          <w:b/>
          <w:szCs w:val="24"/>
        </w:rPr>
        <w:t>And</w:t>
      </w:r>
    </w:p>
    <w:p w:rsidR="00CA5D2F" w:rsidRDefault="00CA5D2F" w:rsidP="003861B1">
      <w:pPr>
        <w:pStyle w:val="NoSpacing"/>
        <w:jc w:val="both"/>
        <w:rPr>
          <w:b/>
          <w:szCs w:val="24"/>
        </w:rPr>
      </w:pPr>
    </w:p>
    <w:p w:rsidR="00CA5D2F" w:rsidRDefault="00CA5D2F" w:rsidP="003861B1">
      <w:pPr>
        <w:pStyle w:val="NoSpacing"/>
        <w:jc w:val="both"/>
        <w:rPr>
          <w:b/>
          <w:szCs w:val="24"/>
        </w:rPr>
      </w:pPr>
    </w:p>
    <w:p w:rsidR="00CA5D2F" w:rsidRDefault="00CA5D2F" w:rsidP="003861B1">
      <w:pPr>
        <w:pStyle w:val="NoSpacing"/>
        <w:jc w:val="both"/>
        <w:rPr>
          <w:szCs w:val="24"/>
        </w:rPr>
      </w:pPr>
      <w:r>
        <w:rPr>
          <w:b/>
          <w:szCs w:val="24"/>
        </w:rPr>
        <w:t>MASTER OF THE HIGH COURT N.O</w:t>
      </w:r>
    </w:p>
    <w:p w:rsidR="00CA5D2F" w:rsidRDefault="00CA5D2F" w:rsidP="003861B1">
      <w:pPr>
        <w:pStyle w:val="NoSpacing"/>
        <w:jc w:val="both"/>
        <w:rPr>
          <w:szCs w:val="24"/>
        </w:rPr>
      </w:pPr>
    </w:p>
    <w:p w:rsidR="00CA5D2F" w:rsidRDefault="00CA5D2F" w:rsidP="003861B1">
      <w:pPr>
        <w:pStyle w:val="NoSpacing"/>
        <w:jc w:val="both"/>
        <w:rPr>
          <w:szCs w:val="24"/>
        </w:rPr>
      </w:pPr>
    </w:p>
    <w:p w:rsidR="00CA5D2F" w:rsidRDefault="00CA5D2F" w:rsidP="003861B1">
      <w:pPr>
        <w:pStyle w:val="NoSpacing"/>
        <w:spacing w:line="480" w:lineRule="auto"/>
        <w:jc w:val="both"/>
        <w:rPr>
          <w:szCs w:val="24"/>
        </w:rPr>
      </w:pPr>
    </w:p>
    <w:p w:rsidR="00CA5D2F" w:rsidRDefault="00CA5D2F" w:rsidP="003861B1">
      <w:pPr>
        <w:pStyle w:val="NoSpacing"/>
        <w:spacing w:line="480" w:lineRule="auto"/>
        <w:jc w:val="both"/>
        <w:rPr>
          <w:szCs w:val="24"/>
        </w:rPr>
      </w:pPr>
      <w:r>
        <w:rPr>
          <w:szCs w:val="24"/>
        </w:rPr>
        <w:t>IN THE HIGH COURT OF ZIMBABWE</w:t>
      </w:r>
    </w:p>
    <w:p w:rsidR="00CA5D2F" w:rsidRDefault="00CA5D2F" w:rsidP="003861B1">
      <w:pPr>
        <w:pStyle w:val="NoSpacing"/>
        <w:spacing w:line="480" w:lineRule="auto"/>
        <w:jc w:val="both"/>
        <w:rPr>
          <w:szCs w:val="24"/>
        </w:rPr>
      </w:pPr>
      <w:r>
        <w:rPr>
          <w:szCs w:val="24"/>
        </w:rPr>
        <w:t>MAKONESE J</w:t>
      </w:r>
    </w:p>
    <w:p w:rsidR="00CA5D2F" w:rsidRDefault="00C10124" w:rsidP="003861B1">
      <w:pPr>
        <w:pStyle w:val="NoSpacing"/>
        <w:spacing w:line="480" w:lineRule="auto"/>
        <w:jc w:val="both"/>
        <w:rPr>
          <w:szCs w:val="24"/>
        </w:rPr>
      </w:pPr>
      <w:r>
        <w:rPr>
          <w:szCs w:val="24"/>
        </w:rPr>
        <w:t>BULAWAYO 7 FEBRUARY 2023</w:t>
      </w:r>
      <w:r w:rsidR="00CA5D2F">
        <w:rPr>
          <w:szCs w:val="24"/>
        </w:rPr>
        <w:t xml:space="preserve"> &amp;</w:t>
      </w:r>
      <w:r w:rsidR="002252E9">
        <w:rPr>
          <w:szCs w:val="24"/>
        </w:rPr>
        <w:t xml:space="preserve"> </w:t>
      </w:r>
      <w:r>
        <w:rPr>
          <w:szCs w:val="24"/>
        </w:rPr>
        <w:t>3</w:t>
      </w:r>
      <w:r w:rsidR="002252E9">
        <w:rPr>
          <w:szCs w:val="24"/>
        </w:rPr>
        <w:t>0</w:t>
      </w:r>
      <w:r>
        <w:rPr>
          <w:szCs w:val="24"/>
        </w:rPr>
        <w:t xml:space="preserve"> MARCH 2023</w:t>
      </w:r>
    </w:p>
    <w:p w:rsidR="00CA5D2F" w:rsidRDefault="00CA5D2F" w:rsidP="003861B1">
      <w:pPr>
        <w:pStyle w:val="NoSpacing"/>
        <w:spacing w:line="480" w:lineRule="auto"/>
        <w:jc w:val="both"/>
        <w:rPr>
          <w:szCs w:val="24"/>
        </w:rPr>
      </w:pPr>
    </w:p>
    <w:p w:rsidR="00BB637C" w:rsidRDefault="00BB637C" w:rsidP="003861B1">
      <w:pPr>
        <w:pStyle w:val="NoSpacing"/>
        <w:spacing w:line="480" w:lineRule="auto"/>
        <w:jc w:val="both"/>
        <w:rPr>
          <w:b/>
          <w:szCs w:val="24"/>
        </w:rPr>
      </w:pPr>
    </w:p>
    <w:p w:rsidR="00CA5D2F" w:rsidRDefault="00341E14" w:rsidP="003861B1">
      <w:pPr>
        <w:pStyle w:val="NoSpacing"/>
        <w:spacing w:line="480" w:lineRule="auto"/>
        <w:jc w:val="both"/>
        <w:rPr>
          <w:b/>
          <w:szCs w:val="24"/>
        </w:rPr>
      </w:pPr>
      <w:r>
        <w:rPr>
          <w:b/>
          <w:szCs w:val="24"/>
        </w:rPr>
        <w:t>Opposed Application</w:t>
      </w:r>
    </w:p>
    <w:p w:rsidR="00CA5D2F" w:rsidRDefault="00CA5D2F" w:rsidP="003861B1">
      <w:pPr>
        <w:pStyle w:val="NoSpacing"/>
        <w:spacing w:line="480" w:lineRule="auto"/>
        <w:jc w:val="both"/>
      </w:pPr>
    </w:p>
    <w:p w:rsidR="00CA5D2F" w:rsidRDefault="00CA5D2F" w:rsidP="003861B1">
      <w:pPr>
        <w:pStyle w:val="NoSpacing"/>
        <w:spacing w:line="480" w:lineRule="auto"/>
        <w:jc w:val="both"/>
      </w:pPr>
      <w:r>
        <w:t xml:space="preserve"> </w:t>
      </w:r>
      <w:r w:rsidR="00341E14">
        <w:rPr>
          <w:i/>
        </w:rPr>
        <w:t>S. Chamunorwa</w:t>
      </w:r>
      <w:r>
        <w:t>, for the applicants</w:t>
      </w:r>
    </w:p>
    <w:p w:rsidR="00CA5D2F" w:rsidRDefault="006842D2" w:rsidP="003861B1">
      <w:pPr>
        <w:pStyle w:val="NoSpacing"/>
        <w:spacing w:line="480" w:lineRule="auto"/>
        <w:jc w:val="both"/>
      </w:pPr>
      <w:r>
        <w:rPr>
          <w:i/>
        </w:rPr>
        <w:t>Advocate Siziba</w:t>
      </w:r>
      <w:proofErr w:type="gramStart"/>
      <w:r>
        <w:rPr>
          <w:i/>
        </w:rPr>
        <w:t>,</w:t>
      </w:r>
      <w:r w:rsidR="00464864">
        <w:rPr>
          <w:i/>
        </w:rPr>
        <w:t>,</w:t>
      </w:r>
      <w:proofErr w:type="gramEnd"/>
      <w:r w:rsidR="00464864">
        <w:rPr>
          <w:i/>
        </w:rPr>
        <w:t xml:space="preserve"> </w:t>
      </w:r>
      <w:r w:rsidR="00464864">
        <w:t>f</w:t>
      </w:r>
      <w:r w:rsidR="00CA5D2F">
        <w:t xml:space="preserve">or the </w:t>
      </w:r>
      <w:r w:rsidR="00341E14">
        <w:t>1</w:t>
      </w:r>
      <w:r w:rsidR="00341E14" w:rsidRPr="00341E14">
        <w:rPr>
          <w:vertAlign w:val="superscript"/>
        </w:rPr>
        <w:t>st</w:t>
      </w:r>
      <w:r w:rsidR="00341E14">
        <w:t xml:space="preserve"> </w:t>
      </w:r>
      <w:r w:rsidR="00CA5D2F">
        <w:t>respondent</w:t>
      </w:r>
    </w:p>
    <w:p w:rsidR="00223694" w:rsidRDefault="00CA5D2F"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
          <w:bCs/>
          <w:sz w:val="24"/>
          <w:szCs w:val="24"/>
        </w:rPr>
        <w:t>MAKONESE J:</w:t>
      </w:r>
      <w:r>
        <w:rPr>
          <w:rFonts w:ascii="Times New Roman" w:hAnsi="Times New Roman" w:cs="Times New Roman"/>
          <w:b/>
          <w:bCs/>
          <w:sz w:val="24"/>
          <w:szCs w:val="24"/>
        </w:rPr>
        <w:tab/>
      </w:r>
      <w:r w:rsidR="00D3554F">
        <w:rPr>
          <w:rFonts w:ascii="Times New Roman" w:hAnsi="Times New Roman" w:cs="Times New Roman"/>
          <w:bCs/>
          <w:sz w:val="24"/>
          <w:szCs w:val="24"/>
        </w:rPr>
        <w:t>This is a court application for leave to execute pending appeal.  The order sought is in the following terms:-</w:t>
      </w:r>
    </w:p>
    <w:p w:rsidR="002479D5" w:rsidRDefault="002479D5"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applicants be and are hereby granted leave to execute the judgment of this court granted on 14</w:t>
      </w:r>
      <w:r w:rsidRPr="002479D5">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July 2022 for the ejectment of 1</w:t>
      </w:r>
      <w:r w:rsidRPr="002479D5">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2479D5">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and all those claiming ownership through them from number 11 Seymour Road, Montgomery, Bulawayo, pending the hearing and determination of the appeal filed under case number SCB 77-22.</w:t>
      </w:r>
    </w:p>
    <w:p w:rsidR="002479D5" w:rsidRDefault="002479D5"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respondents shall pay the costs of suit on an attorney and client scale.”</w:t>
      </w:r>
    </w:p>
    <w:p w:rsidR="002479D5" w:rsidRDefault="002479D5"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 application is opposed by the respondents who argue that leave to execute pending appeal can only be granted under exceptional circumstances where an applicant has demonstrated that the respondent’s appeal is frivolous and vexatious.</w:t>
      </w:r>
    </w:p>
    <w:p w:rsidR="002E0BF0" w:rsidRPr="00A23A18" w:rsidRDefault="002E0BF0" w:rsidP="003861B1">
      <w:pPr>
        <w:spacing w:line="480" w:lineRule="auto"/>
        <w:ind w:firstLine="720"/>
        <w:jc w:val="both"/>
        <w:rPr>
          <w:rFonts w:ascii="Times New Roman" w:hAnsi="Times New Roman" w:cs="Times New Roman"/>
          <w:b/>
          <w:bCs/>
          <w:sz w:val="24"/>
          <w:szCs w:val="24"/>
        </w:rPr>
      </w:pPr>
      <w:r w:rsidRPr="00A23A18">
        <w:rPr>
          <w:rFonts w:ascii="Times New Roman" w:hAnsi="Times New Roman" w:cs="Times New Roman"/>
          <w:b/>
          <w:bCs/>
          <w:sz w:val="24"/>
          <w:szCs w:val="24"/>
        </w:rPr>
        <w:t>FACTUAL BACKGROUND</w:t>
      </w:r>
    </w:p>
    <w:p w:rsidR="002E0BF0" w:rsidRDefault="002E0BF0"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On 14</w:t>
      </w:r>
      <w:r w:rsidRPr="002E0BF0">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July 2022 this Honourable Court delivered a ruling under case number HB 196-22 on the following terms:</w:t>
      </w:r>
    </w:p>
    <w:p w:rsidR="002E0BF0" w:rsidRDefault="002E0BF0"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w:t>
      </w:r>
      <w:r w:rsidR="003013FC">
        <w:rPr>
          <w:rFonts w:ascii="Times New Roman" w:hAnsi="Times New Roman" w:cs="Times New Roman"/>
          <w:bCs/>
          <w:sz w:val="24"/>
          <w:szCs w:val="24"/>
        </w:rPr>
        <w:t>1.</w:t>
      </w:r>
      <w:r w:rsidR="003013FC">
        <w:rPr>
          <w:rFonts w:ascii="Times New Roman" w:hAnsi="Times New Roman" w:cs="Times New Roman"/>
          <w:bCs/>
          <w:sz w:val="24"/>
          <w:szCs w:val="24"/>
        </w:rPr>
        <w:tab/>
        <w:t>The plaintiffs’ claim be and is hereby dismissed.</w:t>
      </w:r>
    </w:p>
    <w:p w:rsidR="003013FC" w:rsidRDefault="003013FC"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2.</w:t>
      </w:r>
      <w:r>
        <w:rPr>
          <w:rFonts w:ascii="Times New Roman" w:hAnsi="Times New Roman" w:cs="Times New Roman"/>
          <w:bCs/>
          <w:sz w:val="24"/>
          <w:szCs w:val="24"/>
        </w:rPr>
        <w:tab/>
        <w:t>The 5</w:t>
      </w:r>
      <w:r w:rsidRPr="003013F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and 6</w:t>
      </w:r>
      <w:r w:rsidRPr="003013FC">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defendants’ counter-claims succeeds in part in that the order for holding over damages be and is hereby dismissed.</w:t>
      </w:r>
    </w:p>
    <w:p w:rsidR="003013FC" w:rsidRDefault="003013FC"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3.</w:t>
      </w:r>
      <w:r>
        <w:rPr>
          <w:rFonts w:ascii="Times New Roman" w:hAnsi="Times New Roman" w:cs="Times New Roman"/>
          <w:bCs/>
          <w:sz w:val="24"/>
          <w:szCs w:val="24"/>
        </w:rPr>
        <w:tab/>
        <w:t>The 2</w:t>
      </w:r>
      <w:r w:rsidRPr="003013FC">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and 3</w:t>
      </w:r>
      <w:r w:rsidRPr="003013FC">
        <w:rPr>
          <w:rFonts w:ascii="Times New Roman" w:hAnsi="Times New Roman" w:cs="Times New Roman"/>
          <w:bCs/>
          <w:sz w:val="24"/>
          <w:szCs w:val="24"/>
          <w:vertAlign w:val="superscript"/>
        </w:rPr>
        <w:t>rd</w:t>
      </w:r>
      <w:r>
        <w:rPr>
          <w:rFonts w:ascii="Times New Roman" w:hAnsi="Times New Roman" w:cs="Times New Roman"/>
          <w:bCs/>
          <w:sz w:val="24"/>
          <w:szCs w:val="24"/>
        </w:rPr>
        <w:t xml:space="preserve"> plaintiffs and all those claiming occupation through them are to vacate the property known as Subdivision H of Lot 11 of Montgomery situate in the District of Bulawayo and more commonly known as number 11 Seymour Road, Montgomery, Bulawayo within 7 days of this order failing which the Sheriff of the High Court of Zimbabwe or his lawful Deputy shall evict them.</w:t>
      </w:r>
    </w:p>
    <w:p w:rsidR="003013FC" w:rsidRDefault="003013FC"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t>The plaintiffs shall pay costs of suit at the ordinary scale, jointly and severally, the one paying the other to be absolved.”</w:t>
      </w:r>
    </w:p>
    <w:p w:rsidR="003013FC" w:rsidRDefault="003013FC" w:rsidP="00584E12">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a detailed written judgment this court per K</w:t>
      </w:r>
      <w:r w:rsidRPr="00B56AC5">
        <w:rPr>
          <w:rFonts w:ascii="Times New Roman" w:hAnsi="Times New Roman" w:cs="Times New Roman"/>
          <w:bCs/>
          <w:sz w:val="20"/>
          <w:szCs w:val="20"/>
        </w:rPr>
        <w:t xml:space="preserve">ABASA J </w:t>
      </w:r>
      <w:r>
        <w:rPr>
          <w:rFonts w:ascii="Times New Roman" w:hAnsi="Times New Roman" w:cs="Times New Roman"/>
          <w:bCs/>
          <w:sz w:val="24"/>
          <w:szCs w:val="24"/>
        </w:rPr>
        <w:t>found that the applicants purchased the property known as number 11 Seymour Road, Montgomery, Bulawayo, (hereinafter referred to as the “property”).  The court held that not only had the applicants purchased the propert</w:t>
      </w:r>
      <w:r w:rsidR="00E00621">
        <w:rPr>
          <w:rFonts w:ascii="Times New Roman" w:hAnsi="Times New Roman" w:cs="Times New Roman"/>
          <w:bCs/>
          <w:sz w:val="24"/>
          <w:szCs w:val="24"/>
        </w:rPr>
        <w:t xml:space="preserve">y and paid for it in full </w:t>
      </w:r>
      <w:r w:rsidR="00F55A59">
        <w:rPr>
          <w:rFonts w:ascii="Times New Roman" w:hAnsi="Times New Roman" w:cs="Times New Roman"/>
          <w:bCs/>
          <w:sz w:val="24"/>
          <w:szCs w:val="24"/>
        </w:rPr>
        <w:t>but they</w:t>
      </w:r>
      <w:r>
        <w:rPr>
          <w:rFonts w:ascii="Times New Roman" w:hAnsi="Times New Roman" w:cs="Times New Roman"/>
          <w:bCs/>
          <w:sz w:val="24"/>
          <w:szCs w:val="24"/>
        </w:rPr>
        <w:t xml:space="preserve"> had</w:t>
      </w:r>
      <w:r w:rsidR="00E00621">
        <w:rPr>
          <w:rFonts w:ascii="Times New Roman" w:hAnsi="Times New Roman" w:cs="Times New Roman"/>
          <w:bCs/>
          <w:sz w:val="24"/>
          <w:szCs w:val="24"/>
        </w:rPr>
        <w:t xml:space="preserve"> secured</w:t>
      </w:r>
      <w:r>
        <w:rPr>
          <w:rFonts w:ascii="Times New Roman" w:hAnsi="Times New Roman" w:cs="Times New Roman"/>
          <w:bCs/>
          <w:sz w:val="24"/>
          <w:szCs w:val="24"/>
        </w:rPr>
        <w:t xml:space="preserve"> title to the property.  The applicants were entitled to a </w:t>
      </w:r>
      <w:r w:rsidR="00F55A59">
        <w:rPr>
          <w:rFonts w:ascii="Times New Roman" w:hAnsi="Times New Roman" w:cs="Times New Roman"/>
          <w:bCs/>
          <w:i/>
          <w:sz w:val="24"/>
          <w:szCs w:val="24"/>
        </w:rPr>
        <w:t>rei vindicatio</w:t>
      </w:r>
      <w:r>
        <w:rPr>
          <w:rFonts w:ascii="Times New Roman" w:hAnsi="Times New Roman" w:cs="Times New Roman"/>
          <w:bCs/>
          <w:sz w:val="24"/>
          <w:szCs w:val="24"/>
        </w:rPr>
        <w:t>, as</w:t>
      </w:r>
      <w:r w:rsidR="00E21091">
        <w:rPr>
          <w:rFonts w:ascii="Times New Roman" w:hAnsi="Times New Roman" w:cs="Times New Roman"/>
          <w:bCs/>
          <w:sz w:val="24"/>
          <w:szCs w:val="24"/>
        </w:rPr>
        <w:t xml:space="preserve"> 1</w:t>
      </w:r>
      <w:r w:rsidR="00E21091" w:rsidRPr="00E21091">
        <w:rPr>
          <w:rFonts w:ascii="Times New Roman" w:hAnsi="Times New Roman" w:cs="Times New Roman"/>
          <w:bCs/>
          <w:sz w:val="24"/>
          <w:szCs w:val="24"/>
          <w:vertAlign w:val="superscript"/>
        </w:rPr>
        <w:t>st</w:t>
      </w:r>
      <w:r w:rsidR="00E21091">
        <w:rPr>
          <w:rFonts w:ascii="Times New Roman" w:hAnsi="Times New Roman" w:cs="Times New Roman"/>
          <w:bCs/>
          <w:sz w:val="24"/>
          <w:szCs w:val="24"/>
        </w:rPr>
        <w:t xml:space="preserve"> and 2</w:t>
      </w:r>
      <w:r w:rsidR="00E21091" w:rsidRPr="00E21091">
        <w:rPr>
          <w:rFonts w:ascii="Times New Roman" w:hAnsi="Times New Roman" w:cs="Times New Roman"/>
          <w:bCs/>
          <w:sz w:val="24"/>
          <w:szCs w:val="24"/>
          <w:vertAlign w:val="superscript"/>
        </w:rPr>
        <w:t>nd</w:t>
      </w:r>
      <w:r w:rsidR="00E21091">
        <w:rPr>
          <w:rFonts w:ascii="Times New Roman" w:hAnsi="Times New Roman" w:cs="Times New Roman"/>
          <w:bCs/>
          <w:sz w:val="24"/>
          <w:szCs w:val="24"/>
        </w:rPr>
        <w:t xml:space="preserve"> respondents</w:t>
      </w:r>
      <w:r>
        <w:rPr>
          <w:rFonts w:ascii="Times New Roman" w:hAnsi="Times New Roman" w:cs="Times New Roman"/>
          <w:bCs/>
          <w:sz w:val="24"/>
          <w:szCs w:val="24"/>
        </w:rPr>
        <w:t xml:space="preserve"> were allegedly holding onto the property.  The court established </w:t>
      </w:r>
      <w:r w:rsidR="002D0A76">
        <w:rPr>
          <w:rFonts w:ascii="Times New Roman" w:hAnsi="Times New Roman" w:cs="Times New Roman"/>
          <w:bCs/>
          <w:sz w:val="24"/>
          <w:szCs w:val="24"/>
        </w:rPr>
        <w:t>that applicants’ title to the property was not tainted and they were entitled to an order for the eviction of the respondents.  The applicants had at the time of the judgment moved onto the property and were utilising the land and buildings save for the house where respondents are residing.</w:t>
      </w:r>
    </w:p>
    <w:p w:rsidR="00E56058" w:rsidRDefault="00E56058"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r>
      <w:r w:rsidR="00B2680B">
        <w:rPr>
          <w:rFonts w:ascii="Times New Roman" w:hAnsi="Times New Roman" w:cs="Times New Roman"/>
          <w:bCs/>
          <w:sz w:val="24"/>
          <w:szCs w:val="24"/>
        </w:rPr>
        <w:t>On the</w:t>
      </w:r>
      <w:r w:rsidR="00C519C3">
        <w:rPr>
          <w:rFonts w:ascii="Times New Roman" w:hAnsi="Times New Roman" w:cs="Times New Roman"/>
          <w:bCs/>
          <w:sz w:val="24"/>
          <w:szCs w:val="24"/>
        </w:rPr>
        <w:t>se facts, the respondents mounted an appeal in the Supreme Court.  Applicants contend that the appeal is frivolous and vexatious and designed to frustrate the execution of the judgment of this court.</w:t>
      </w:r>
    </w:p>
    <w:p w:rsidR="00313059" w:rsidRPr="00D81066" w:rsidRDefault="00313059" w:rsidP="003861B1">
      <w:pPr>
        <w:spacing w:line="480" w:lineRule="auto"/>
        <w:jc w:val="both"/>
        <w:rPr>
          <w:rFonts w:ascii="Times New Roman" w:hAnsi="Times New Roman" w:cs="Times New Roman"/>
          <w:b/>
          <w:bCs/>
          <w:sz w:val="24"/>
          <w:szCs w:val="24"/>
        </w:rPr>
      </w:pPr>
      <w:r w:rsidRPr="00D81066">
        <w:rPr>
          <w:rFonts w:ascii="Times New Roman" w:hAnsi="Times New Roman" w:cs="Times New Roman"/>
          <w:b/>
          <w:bCs/>
          <w:sz w:val="24"/>
          <w:szCs w:val="24"/>
        </w:rPr>
        <w:t>SUBMISSIONS BY THE APPLICANTS</w:t>
      </w:r>
    </w:p>
    <w:p w:rsidR="00313059" w:rsidRDefault="00313059"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Applicants aver that in applications of this nature, this court retains a general discretion to grant or refuse leave</w:t>
      </w:r>
      <w:r w:rsidR="001F4E24">
        <w:rPr>
          <w:rFonts w:ascii="Times New Roman" w:hAnsi="Times New Roman" w:cs="Times New Roman"/>
          <w:bCs/>
          <w:sz w:val="24"/>
          <w:szCs w:val="24"/>
        </w:rPr>
        <w:t>,</w:t>
      </w:r>
      <w:r>
        <w:rPr>
          <w:rFonts w:ascii="Times New Roman" w:hAnsi="Times New Roman" w:cs="Times New Roman"/>
          <w:bCs/>
          <w:sz w:val="24"/>
          <w:szCs w:val="24"/>
        </w:rPr>
        <w:t xml:space="preserve"> and if leave is granted to determine the conditions upon which such execution may be carried out.</w:t>
      </w:r>
    </w:p>
    <w:p w:rsidR="00804198" w:rsidRDefault="00313059"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Applicants further aver that this is an appropriate </w:t>
      </w:r>
      <w:r w:rsidR="00804198">
        <w:rPr>
          <w:rFonts w:ascii="Times New Roman" w:hAnsi="Times New Roman" w:cs="Times New Roman"/>
          <w:bCs/>
          <w:sz w:val="24"/>
          <w:szCs w:val="24"/>
        </w:rPr>
        <w:t xml:space="preserve">case to order execution pending appeal as the appeal has not been noted with a </w:t>
      </w:r>
      <w:r w:rsidR="00804198" w:rsidRPr="00266956">
        <w:rPr>
          <w:rFonts w:ascii="Times New Roman" w:hAnsi="Times New Roman" w:cs="Times New Roman"/>
          <w:bCs/>
          <w:i/>
          <w:sz w:val="24"/>
          <w:szCs w:val="24"/>
        </w:rPr>
        <w:t>bona fide</w:t>
      </w:r>
      <w:r w:rsidR="00804198">
        <w:rPr>
          <w:rFonts w:ascii="Times New Roman" w:hAnsi="Times New Roman" w:cs="Times New Roman"/>
          <w:bCs/>
          <w:sz w:val="24"/>
          <w:szCs w:val="24"/>
        </w:rPr>
        <w:t xml:space="preserve"> intention of seeking to reverse the judgment of this court.  Applicants contend that there are no reasonable prospects of success on appeal whatsoever and that the appeal has been noted to simply delay the execution of the order of this court.</w:t>
      </w:r>
    </w:p>
    <w:p w:rsidR="008C356E" w:rsidRDefault="00804198"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Applicants point out that the sale of the property to the applicants was done in accordance with a consent issued by the Master of the High Court.  The Master’s consent was never challenged and respondents have no legal basis for taking issue with the sale of the property to the applicants.  As regards the issue of the actual sale of the property, the basis of the challenge by the respondents is that the sale was fraudulent.  The court dealt with the issue </w:t>
      </w:r>
      <w:r w:rsidR="008C356E">
        <w:rPr>
          <w:rFonts w:ascii="Times New Roman" w:hAnsi="Times New Roman" w:cs="Times New Roman"/>
          <w:bCs/>
          <w:sz w:val="24"/>
          <w:szCs w:val="24"/>
        </w:rPr>
        <w:t>adequately i</w:t>
      </w:r>
      <w:r w:rsidR="00EF0878">
        <w:rPr>
          <w:rFonts w:ascii="Times New Roman" w:hAnsi="Times New Roman" w:cs="Times New Roman"/>
          <w:bCs/>
          <w:sz w:val="24"/>
          <w:szCs w:val="24"/>
        </w:rPr>
        <w:t xml:space="preserve">n its judgment and did not </w:t>
      </w:r>
      <w:r w:rsidR="00153A6E">
        <w:rPr>
          <w:rFonts w:ascii="Times New Roman" w:hAnsi="Times New Roman" w:cs="Times New Roman"/>
          <w:bCs/>
          <w:sz w:val="24"/>
          <w:szCs w:val="24"/>
        </w:rPr>
        <w:t>find</w:t>
      </w:r>
      <w:r w:rsidR="00EF0878">
        <w:rPr>
          <w:rFonts w:ascii="Times New Roman" w:hAnsi="Times New Roman" w:cs="Times New Roman"/>
          <w:bCs/>
          <w:sz w:val="24"/>
          <w:szCs w:val="24"/>
        </w:rPr>
        <w:t xml:space="preserve"> </w:t>
      </w:r>
      <w:r w:rsidR="008C356E">
        <w:rPr>
          <w:rFonts w:ascii="Times New Roman" w:hAnsi="Times New Roman" w:cs="Times New Roman"/>
          <w:bCs/>
          <w:sz w:val="24"/>
          <w:szCs w:val="24"/>
        </w:rPr>
        <w:t>in favour of respondents.</w:t>
      </w:r>
    </w:p>
    <w:p w:rsidR="008C356E" w:rsidRDefault="008C356E"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Applicants argue that the Supreme Court, sitting as an appellate court will not readily interfere with the factual findings made by the trial court unless there has been a gross misdirection.</w:t>
      </w:r>
    </w:p>
    <w:p w:rsidR="008C356E" w:rsidRDefault="008C356E"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Applicants contend that a proper case has been made for the exercise of the court’s discretion in ordering that execution be allowed pending appeal.</w:t>
      </w:r>
    </w:p>
    <w:p w:rsidR="008C356E" w:rsidRPr="00CB7353" w:rsidRDefault="008C356E" w:rsidP="003861B1">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CB7353">
        <w:rPr>
          <w:rFonts w:ascii="Times New Roman" w:hAnsi="Times New Roman" w:cs="Times New Roman"/>
          <w:b/>
          <w:bCs/>
          <w:sz w:val="24"/>
          <w:szCs w:val="24"/>
        </w:rPr>
        <w:t>RESPONDENTS’ SUBMISSIONS</w:t>
      </w:r>
    </w:p>
    <w:p w:rsidR="00313059" w:rsidRDefault="008C356E"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1</w:t>
      </w:r>
      <w:r w:rsidRPr="008C356E">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8C356E">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aver that leave to execute pending appeal can only be granted in</w:t>
      </w:r>
      <w:r w:rsidR="004A7469">
        <w:rPr>
          <w:rFonts w:ascii="Times New Roman" w:hAnsi="Times New Roman" w:cs="Times New Roman"/>
          <w:bCs/>
          <w:sz w:val="24"/>
          <w:szCs w:val="24"/>
        </w:rPr>
        <w:t xml:space="preserve"> exceptional circumstances.  Respondents contend that such a threshold is very high for the applicants to meet.  Respondents argue that applicants are mere purchasers of the property in dispute.  They are not privy to the underlying inheritance dispute that led to the sale.  Respondents argue that applicants’ rights of occupation and ownership are dependent upon whether the Estate of the Late Wilson Muchiyani Mudawini was correctly administered or not.</w:t>
      </w:r>
      <w:r w:rsidR="00B85921">
        <w:rPr>
          <w:rFonts w:ascii="Times New Roman" w:hAnsi="Times New Roman" w:cs="Times New Roman"/>
          <w:bCs/>
          <w:sz w:val="24"/>
          <w:szCs w:val="24"/>
        </w:rPr>
        <w:t xml:space="preserve">  Respondents aver that their appeal to the Supreme Court cannot be</w:t>
      </w:r>
      <w:r w:rsidR="00E553F8">
        <w:rPr>
          <w:rFonts w:ascii="Times New Roman" w:hAnsi="Times New Roman" w:cs="Times New Roman"/>
          <w:bCs/>
          <w:sz w:val="24"/>
          <w:szCs w:val="24"/>
        </w:rPr>
        <w:t xml:space="preserve"> described as being hopeless and groundless as it raises genuine issues that must be considered by the appeal court.</w:t>
      </w:r>
      <w:r w:rsidR="00B85921">
        <w:rPr>
          <w:rFonts w:ascii="Times New Roman" w:hAnsi="Times New Roman" w:cs="Times New Roman"/>
          <w:bCs/>
          <w:sz w:val="24"/>
          <w:szCs w:val="24"/>
        </w:rPr>
        <w:t xml:space="preserve"> </w:t>
      </w:r>
    </w:p>
    <w:p w:rsidR="00F4678B" w:rsidRDefault="00727102"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Respondents aver that the potentially of irreparable harm and the balance </w:t>
      </w:r>
      <w:r w:rsidR="003F34BA">
        <w:rPr>
          <w:rFonts w:ascii="Times New Roman" w:hAnsi="Times New Roman" w:cs="Times New Roman"/>
          <w:bCs/>
          <w:sz w:val="24"/>
          <w:szCs w:val="24"/>
        </w:rPr>
        <w:t>of convenience</w:t>
      </w:r>
      <w:r w:rsidR="00F4678B">
        <w:rPr>
          <w:rFonts w:ascii="Times New Roman" w:hAnsi="Times New Roman" w:cs="Times New Roman"/>
          <w:bCs/>
          <w:sz w:val="24"/>
          <w:szCs w:val="24"/>
        </w:rPr>
        <w:t xml:space="preserve"> favours the 1</w:t>
      </w:r>
      <w:r w:rsidR="00F4678B" w:rsidRPr="00F4678B">
        <w:rPr>
          <w:rFonts w:ascii="Times New Roman" w:hAnsi="Times New Roman" w:cs="Times New Roman"/>
          <w:bCs/>
          <w:sz w:val="24"/>
          <w:szCs w:val="24"/>
          <w:vertAlign w:val="superscript"/>
        </w:rPr>
        <w:t>st</w:t>
      </w:r>
      <w:r w:rsidR="00F4678B">
        <w:rPr>
          <w:rFonts w:ascii="Times New Roman" w:hAnsi="Times New Roman" w:cs="Times New Roman"/>
          <w:bCs/>
          <w:sz w:val="24"/>
          <w:szCs w:val="24"/>
        </w:rPr>
        <w:t xml:space="preserve"> and 2</w:t>
      </w:r>
      <w:r w:rsidR="00F4678B" w:rsidRPr="00F4678B">
        <w:rPr>
          <w:rFonts w:ascii="Times New Roman" w:hAnsi="Times New Roman" w:cs="Times New Roman"/>
          <w:bCs/>
          <w:sz w:val="24"/>
          <w:szCs w:val="24"/>
          <w:vertAlign w:val="superscript"/>
        </w:rPr>
        <w:t>nd</w:t>
      </w:r>
      <w:r w:rsidR="00F4678B">
        <w:rPr>
          <w:rFonts w:ascii="Times New Roman" w:hAnsi="Times New Roman" w:cs="Times New Roman"/>
          <w:bCs/>
          <w:sz w:val="24"/>
          <w:szCs w:val="24"/>
        </w:rPr>
        <w:t xml:space="preserve"> respondents who have always been resident at the disputed property.  Respondents do however</w:t>
      </w:r>
      <w:r w:rsidR="003F34BA">
        <w:rPr>
          <w:rFonts w:ascii="Times New Roman" w:hAnsi="Times New Roman" w:cs="Times New Roman"/>
          <w:bCs/>
          <w:sz w:val="24"/>
          <w:szCs w:val="24"/>
        </w:rPr>
        <w:t>,</w:t>
      </w:r>
      <w:r w:rsidR="00F4678B">
        <w:rPr>
          <w:rFonts w:ascii="Times New Roman" w:hAnsi="Times New Roman" w:cs="Times New Roman"/>
          <w:bCs/>
          <w:sz w:val="24"/>
          <w:szCs w:val="24"/>
        </w:rPr>
        <w:t xml:space="preserve"> concede that the applicants have partially taken occupation of the property.</w:t>
      </w:r>
    </w:p>
    <w:p w:rsidR="00727102" w:rsidRDefault="00F4678B"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lastRenderedPageBreak/>
        <w:tab/>
        <w:t xml:space="preserve">As regards prospects of success, respondents submit that the applicants in an application of this nature are not only required to show that the appeal has no prospects of success, but must go further to demonstrate that the appeal is frivolous and vexatious. </w:t>
      </w:r>
    </w:p>
    <w:p w:rsidR="009F14C5" w:rsidRPr="0054124F" w:rsidRDefault="009F14C5" w:rsidP="003861B1">
      <w:pPr>
        <w:spacing w:line="480" w:lineRule="auto"/>
        <w:jc w:val="both"/>
        <w:rPr>
          <w:rFonts w:ascii="Times New Roman" w:hAnsi="Times New Roman" w:cs="Times New Roman"/>
          <w:b/>
          <w:bCs/>
          <w:sz w:val="24"/>
          <w:szCs w:val="24"/>
        </w:rPr>
      </w:pPr>
      <w:r>
        <w:rPr>
          <w:rFonts w:ascii="Times New Roman" w:hAnsi="Times New Roman" w:cs="Times New Roman"/>
          <w:bCs/>
          <w:sz w:val="24"/>
          <w:szCs w:val="24"/>
        </w:rPr>
        <w:tab/>
      </w:r>
      <w:r w:rsidRPr="0054124F">
        <w:rPr>
          <w:rFonts w:ascii="Times New Roman" w:hAnsi="Times New Roman" w:cs="Times New Roman"/>
          <w:b/>
          <w:bCs/>
          <w:sz w:val="24"/>
          <w:szCs w:val="24"/>
        </w:rPr>
        <w:t>APPLICABLE LAW</w:t>
      </w:r>
    </w:p>
    <w:p w:rsidR="009F14C5" w:rsidRDefault="009F14C5" w:rsidP="003861B1">
      <w:pPr>
        <w:spacing w:line="480" w:lineRule="auto"/>
        <w:jc w:val="both"/>
        <w:rPr>
          <w:rFonts w:ascii="Times New Roman" w:hAnsi="Times New Roman" w:cs="Times New Roman"/>
          <w:bCs/>
          <w:sz w:val="24"/>
          <w:szCs w:val="24"/>
        </w:rPr>
      </w:pPr>
      <w:r>
        <w:rPr>
          <w:rFonts w:ascii="Times New Roman" w:hAnsi="Times New Roman" w:cs="Times New Roman"/>
          <w:bCs/>
          <w:sz w:val="24"/>
          <w:szCs w:val="24"/>
        </w:rPr>
        <w:tab/>
        <w:t xml:space="preserve">The law relating to applications for leave to execute pending appeal is settled in this jurisdiction.  In </w:t>
      </w:r>
      <w:r w:rsidRPr="00A43C86">
        <w:rPr>
          <w:rFonts w:ascii="Times New Roman" w:hAnsi="Times New Roman" w:cs="Times New Roman"/>
          <w:bCs/>
          <w:i/>
          <w:sz w:val="24"/>
          <w:szCs w:val="24"/>
        </w:rPr>
        <w:t xml:space="preserve">Kawa </w:t>
      </w:r>
      <w:r>
        <w:rPr>
          <w:rFonts w:ascii="Times New Roman" w:hAnsi="Times New Roman" w:cs="Times New Roman"/>
          <w:bCs/>
          <w:sz w:val="24"/>
          <w:szCs w:val="24"/>
        </w:rPr>
        <w:t xml:space="preserve">v </w:t>
      </w:r>
      <w:proofErr w:type="spellStart"/>
      <w:r w:rsidRPr="00A43C86">
        <w:rPr>
          <w:rFonts w:ascii="Times New Roman" w:hAnsi="Times New Roman" w:cs="Times New Roman"/>
          <w:bCs/>
          <w:i/>
          <w:sz w:val="24"/>
          <w:szCs w:val="24"/>
        </w:rPr>
        <w:t>Muzenda</w:t>
      </w:r>
      <w:proofErr w:type="spellEnd"/>
      <w:r w:rsidRPr="00A43C86">
        <w:rPr>
          <w:rFonts w:ascii="Times New Roman" w:hAnsi="Times New Roman" w:cs="Times New Roman"/>
          <w:bCs/>
          <w:i/>
          <w:sz w:val="24"/>
          <w:szCs w:val="24"/>
        </w:rPr>
        <w:t xml:space="preserve"> &amp; </w:t>
      </w:r>
      <w:proofErr w:type="spellStart"/>
      <w:r w:rsidRPr="00A43C86">
        <w:rPr>
          <w:rFonts w:ascii="Times New Roman" w:hAnsi="Times New Roman" w:cs="Times New Roman"/>
          <w:bCs/>
          <w:i/>
          <w:sz w:val="24"/>
          <w:szCs w:val="24"/>
        </w:rPr>
        <w:t>Ors</w:t>
      </w:r>
      <w:proofErr w:type="spellEnd"/>
      <w:r>
        <w:rPr>
          <w:rFonts w:ascii="Times New Roman" w:hAnsi="Times New Roman" w:cs="Times New Roman"/>
          <w:bCs/>
          <w:sz w:val="24"/>
          <w:szCs w:val="24"/>
        </w:rPr>
        <w:t xml:space="preserve"> HB 108-14, this court held that the court retains a general discretion to grant or refuse leave to execute pending appeal.  In the exercise of its discretion, the court will consider the following factors;</w:t>
      </w:r>
    </w:p>
    <w:p w:rsidR="009F14C5" w:rsidRDefault="009F14C5"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w:t>
      </w:r>
      <w:proofErr w:type="spellStart"/>
      <w:proofErr w:type="gramStart"/>
      <w:r>
        <w:rPr>
          <w:rFonts w:ascii="Times New Roman" w:hAnsi="Times New Roman" w:cs="Times New Roman"/>
          <w:bCs/>
          <w:sz w:val="24"/>
          <w:szCs w:val="24"/>
        </w:rPr>
        <w:t>i</w:t>
      </w:r>
      <w:proofErr w:type="spellEnd"/>
      <w:proofErr w:type="gramEnd"/>
      <w:r>
        <w:rPr>
          <w:rFonts w:ascii="Times New Roman" w:hAnsi="Times New Roman" w:cs="Times New Roman"/>
          <w:bCs/>
          <w:sz w:val="24"/>
          <w:szCs w:val="24"/>
        </w:rPr>
        <w:t>)</w:t>
      </w:r>
      <w:r>
        <w:rPr>
          <w:rFonts w:ascii="Times New Roman" w:hAnsi="Times New Roman" w:cs="Times New Roman"/>
          <w:bCs/>
          <w:sz w:val="24"/>
          <w:szCs w:val="24"/>
        </w:rPr>
        <w:tab/>
        <w:t>The potentiality of irreparable harm or prejudice being sustained by the applicant, if leave to execute were granted;</w:t>
      </w:r>
    </w:p>
    <w:p w:rsidR="009F14C5" w:rsidRDefault="009F14C5"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(ii)</w:t>
      </w:r>
      <w:r>
        <w:rPr>
          <w:rFonts w:ascii="Times New Roman" w:hAnsi="Times New Roman" w:cs="Times New Roman"/>
          <w:bCs/>
          <w:sz w:val="24"/>
          <w:szCs w:val="24"/>
        </w:rPr>
        <w:tab/>
      </w:r>
      <w:r w:rsidR="003F34BA">
        <w:rPr>
          <w:rFonts w:ascii="Times New Roman" w:hAnsi="Times New Roman" w:cs="Times New Roman"/>
          <w:bCs/>
          <w:sz w:val="24"/>
          <w:szCs w:val="24"/>
        </w:rPr>
        <w:t>The</w:t>
      </w:r>
      <w:r>
        <w:rPr>
          <w:rFonts w:ascii="Times New Roman" w:hAnsi="Times New Roman" w:cs="Times New Roman"/>
          <w:bCs/>
          <w:sz w:val="24"/>
          <w:szCs w:val="24"/>
        </w:rPr>
        <w:t xml:space="preserve"> potentiality of irreparable harm or prejudice being sustained by the respondent if leave to execute were refused;</w:t>
      </w:r>
    </w:p>
    <w:p w:rsidR="009F14C5" w:rsidRDefault="003F34BA"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(iii)</w:t>
      </w:r>
      <w:r>
        <w:rPr>
          <w:rFonts w:ascii="Times New Roman" w:hAnsi="Times New Roman" w:cs="Times New Roman"/>
          <w:bCs/>
          <w:sz w:val="24"/>
          <w:szCs w:val="24"/>
        </w:rPr>
        <w:tab/>
        <w:t>T</w:t>
      </w:r>
      <w:r w:rsidR="009F14C5">
        <w:rPr>
          <w:rFonts w:ascii="Times New Roman" w:hAnsi="Times New Roman" w:cs="Times New Roman"/>
          <w:bCs/>
          <w:sz w:val="24"/>
          <w:szCs w:val="24"/>
        </w:rPr>
        <w:t xml:space="preserve">he prospects of success on appeal, including more particularly the question as to whether the appeal is frivolous or vexatious or has not been noted with the </w:t>
      </w:r>
      <w:r w:rsidR="009F14C5" w:rsidRPr="009554F6">
        <w:rPr>
          <w:rFonts w:ascii="Times New Roman" w:hAnsi="Times New Roman" w:cs="Times New Roman"/>
          <w:bCs/>
          <w:i/>
          <w:sz w:val="24"/>
          <w:szCs w:val="24"/>
        </w:rPr>
        <w:t>bona fide</w:t>
      </w:r>
      <w:r w:rsidR="009F14C5">
        <w:rPr>
          <w:rFonts w:ascii="Times New Roman" w:hAnsi="Times New Roman" w:cs="Times New Roman"/>
          <w:bCs/>
          <w:sz w:val="24"/>
          <w:szCs w:val="24"/>
        </w:rPr>
        <w:t xml:space="preserve"> intention of seeking to reverse the judgment but for some indirect purpose, for instance to gain time or harass the other party; and</w:t>
      </w:r>
    </w:p>
    <w:p w:rsidR="00E86FE1" w:rsidRDefault="003F34BA"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(iv)</w:t>
      </w:r>
      <w:r>
        <w:rPr>
          <w:rFonts w:ascii="Times New Roman" w:hAnsi="Times New Roman" w:cs="Times New Roman"/>
          <w:bCs/>
          <w:sz w:val="24"/>
          <w:szCs w:val="24"/>
        </w:rPr>
        <w:tab/>
        <w:t>W</w:t>
      </w:r>
      <w:r w:rsidR="009F14C5">
        <w:rPr>
          <w:rFonts w:ascii="Times New Roman" w:hAnsi="Times New Roman" w:cs="Times New Roman"/>
          <w:bCs/>
          <w:sz w:val="24"/>
          <w:szCs w:val="24"/>
        </w:rPr>
        <w:t>here there is the potentiality of irreparable harm or prejudice to both appellant and respondent</w:t>
      </w:r>
      <w:r>
        <w:rPr>
          <w:rFonts w:ascii="Times New Roman" w:hAnsi="Times New Roman" w:cs="Times New Roman"/>
          <w:bCs/>
          <w:sz w:val="24"/>
          <w:szCs w:val="24"/>
        </w:rPr>
        <w:t xml:space="preserve"> </w:t>
      </w:r>
      <w:r w:rsidR="00007B3F">
        <w:rPr>
          <w:rFonts w:ascii="Times New Roman" w:hAnsi="Times New Roman" w:cs="Times New Roman"/>
          <w:bCs/>
          <w:sz w:val="24"/>
          <w:szCs w:val="24"/>
        </w:rPr>
        <w:t>and</w:t>
      </w:r>
      <w:r w:rsidR="009F14C5">
        <w:rPr>
          <w:rFonts w:ascii="Times New Roman" w:hAnsi="Times New Roman" w:cs="Times New Roman"/>
          <w:bCs/>
          <w:sz w:val="24"/>
          <w:szCs w:val="24"/>
        </w:rPr>
        <w:t xml:space="preserve"> the balance of hardship or conve</w:t>
      </w:r>
      <w:r w:rsidR="00E86FE1">
        <w:rPr>
          <w:rFonts w:ascii="Times New Roman" w:hAnsi="Times New Roman" w:cs="Times New Roman"/>
          <w:bCs/>
          <w:sz w:val="24"/>
          <w:szCs w:val="24"/>
        </w:rPr>
        <w:t>nience as the case may be.”</w:t>
      </w:r>
    </w:p>
    <w:p w:rsidR="009F14C5" w:rsidRDefault="00E86FE1"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See:- </w:t>
      </w:r>
      <w:r w:rsidRPr="00D75EAC">
        <w:rPr>
          <w:rFonts w:ascii="Times New Roman" w:hAnsi="Times New Roman" w:cs="Times New Roman"/>
          <w:bCs/>
          <w:i/>
          <w:sz w:val="24"/>
          <w:szCs w:val="24"/>
        </w:rPr>
        <w:t xml:space="preserve">Masimbe </w:t>
      </w:r>
      <w:r>
        <w:rPr>
          <w:rFonts w:ascii="Times New Roman" w:hAnsi="Times New Roman" w:cs="Times New Roman"/>
          <w:bCs/>
          <w:sz w:val="24"/>
          <w:szCs w:val="24"/>
        </w:rPr>
        <w:t xml:space="preserve">v </w:t>
      </w:r>
      <w:r w:rsidRPr="00D75EAC">
        <w:rPr>
          <w:rFonts w:ascii="Times New Roman" w:hAnsi="Times New Roman" w:cs="Times New Roman"/>
          <w:bCs/>
          <w:i/>
          <w:sz w:val="24"/>
          <w:szCs w:val="24"/>
        </w:rPr>
        <w:t xml:space="preserve">Masimbe </w:t>
      </w:r>
      <w:r>
        <w:rPr>
          <w:rFonts w:ascii="Times New Roman" w:hAnsi="Times New Roman" w:cs="Times New Roman"/>
          <w:bCs/>
          <w:sz w:val="24"/>
          <w:szCs w:val="24"/>
        </w:rPr>
        <w:t xml:space="preserve">1995 (2) ZLR 31 (S) and </w:t>
      </w:r>
      <w:r w:rsidRPr="00D75EAC">
        <w:rPr>
          <w:rFonts w:ascii="Times New Roman" w:hAnsi="Times New Roman" w:cs="Times New Roman"/>
          <w:bCs/>
          <w:i/>
          <w:sz w:val="24"/>
          <w:szCs w:val="24"/>
        </w:rPr>
        <w:t>Econet P/L</w:t>
      </w:r>
      <w:r>
        <w:rPr>
          <w:rFonts w:ascii="Times New Roman" w:hAnsi="Times New Roman" w:cs="Times New Roman"/>
          <w:bCs/>
          <w:sz w:val="24"/>
          <w:szCs w:val="24"/>
        </w:rPr>
        <w:t xml:space="preserve"> v </w:t>
      </w:r>
      <w:r w:rsidRPr="00D75EAC">
        <w:rPr>
          <w:rFonts w:ascii="Times New Roman" w:hAnsi="Times New Roman" w:cs="Times New Roman"/>
          <w:bCs/>
          <w:i/>
          <w:sz w:val="24"/>
          <w:szCs w:val="24"/>
        </w:rPr>
        <w:t>Telecel Zimbabwe</w:t>
      </w:r>
      <w:r>
        <w:rPr>
          <w:rFonts w:ascii="Times New Roman" w:hAnsi="Times New Roman" w:cs="Times New Roman"/>
          <w:bCs/>
          <w:sz w:val="24"/>
          <w:szCs w:val="24"/>
        </w:rPr>
        <w:t xml:space="preserve"> </w:t>
      </w:r>
      <w:r w:rsidRPr="00D75EAC">
        <w:rPr>
          <w:rFonts w:ascii="Times New Roman" w:hAnsi="Times New Roman" w:cs="Times New Roman"/>
          <w:bCs/>
          <w:i/>
          <w:sz w:val="24"/>
          <w:szCs w:val="24"/>
        </w:rPr>
        <w:t>P/L</w:t>
      </w:r>
      <w:r>
        <w:rPr>
          <w:rFonts w:ascii="Times New Roman" w:hAnsi="Times New Roman" w:cs="Times New Roman"/>
          <w:bCs/>
          <w:sz w:val="24"/>
          <w:szCs w:val="24"/>
        </w:rPr>
        <w:t xml:space="preserve"> 1998 (1) ZLR 149 (H).</w:t>
      </w:r>
      <w:r w:rsidR="009F14C5">
        <w:rPr>
          <w:rFonts w:ascii="Times New Roman" w:hAnsi="Times New Roman" w:cs="Times New Roman"/>
          <w:bCs/>
          <w:sz w:val="24"/>
          <w:szCs w:val="24"/>
        </w:rPr>
        <w:t xml:space="preserve"> </w:t>
      </w:r>
    </w:p>
    <w:p w:rsidR="00E86FE1" w:rsidRDefault="00E86FE1"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lastRenderedPageBreak/>
        <w:t xml:space="preserve">In </w:t>
      </w:r>
      <w:r w:rsidRPr="0082016E">
        <w:rPr>
          <w:rFonts w:ascii="Times New Roman" w:hAnsi="Times New Roman" w:cs="Times New Roman"/>
          <w:bCs/>
          <w:i/>
          <w:sz w:val="24"/>
          <w:szCs w:val="24"/>
        </w:rPr>
        <w:t>South Cape Corp (PTY) Ltd</w:t>
      </w:r>
      <w:r>
        <w:rPr>
          <w:rFonts w:ascii="Times New Roman" w:hAnsi="Times New Roman" w:cs="Times New Roman"/>
          <w:bCs/>
          <w:sz w:val="24"/>
          <w:szCs w:val="24"/>
        </w:rPr>
        <w:t xml:space="preserve"> v </w:t>
      </w:r>
      <w:r w:rsidRPr="0082016E">
        <w:rPr>
          <w:rFonts w:ascii="Times New Roman" w:hAnsi="Times New Roman" w:cs="Times New Roman"/>
          <w:bCs/>
          <w:i/>
          <w:sz w:val="24"/>
          <w:szCs w:val="24"/>
        </w:rPr>
        <w:t>Eng Mgmt Sves Pty Ltd</w:t>
      </w:r>
      <w:r>
        <w:rPr>
          <w:rFonts w:ascii="Times New Roman" w:hAnsi="Times New Roman" w:cs="Times New Roman"/>
          <w:bCs/>
          <w:sz w:val="24"/>
          <w:szCs w:val="24"/>
        </w:rPr>
        <w:t xml:space="preserve"> 1977 (2) SA 534 A at 543, C</w:t>
      </w:r>
      <w:r w:rsidRPr="00D1579F">
        <w:rPr>
          <w:rFonts w:ascii="Times New Roman" w:hAnsi="Times New Roman" w:cs="Times New Roman"/>
          <w:bCs/>
          <w:sz w:val="20"/>
          <w:szCs w:val="20"/>
        </w:rPr>
        <w:t>ORBETT JA</w:t>
      </w:r>
      <w:r>
        <w:rPr>
          <w:rFonts w:ascii="Times New Roman" w:hAnsi="Times New Roman" w:cs="Times New Roman"/>
          <w:bCs/>
          <w:sz w:val="24"/>
          <w:szCs w:val="24"/>
        </w:rPr>
        <w:t>, stated thus:</w:t>
      </w:r>
    </w:p>
    <w:p w:rsidR="00E86FE1" w:rsidRPr="003D080E" w:rsidRDefault="00E86FE1" w:rsidP="003861B1">
      <w:pPr>
        <w:spacing w:line="480" w:lineRule="auto"/>
        <w:ind w:left="720"/>
        <w:jc w:val="both"/>
        <w:rPr>
          <w:rFonts w:ascii="Times New Roman" w:hAnsi="Times New Roman" w:cs="Times New Roman"/>
          <w:bCs/>
          <w:i/>
          <w:sz w:val="24"/>
          <w:szCs w:val="24"/>
        </w:rPr>
      </w:pPr>
      <w:r w:rsidRPr="003D080E">
        <w:rPr>
          <w:rFonts w:ascii="Times New Roman" w:hAnsi="Times New Roman" w:cs="Times New Roman"/>
          <w:bCs/>
          <w:i/>
          <w:sz w:val="24"/>
          <w:szCs w:val="24"/>
        </w:rPr>
        <w:t>“The court to which application for leave to execute is made has a wide general discretion to grant or refuse leave ………………..  In exercising this discretion, the court</w:t>
      </w:r>
      <w:r w:rsidR="00370066" w:rsidRPr="003D080E">
        <w:rPr>
          <w:rFonts w:ascii="Times New Roman" w:hAnsi="Times New Roman" w:cs="Times New Roman"/>
          <w:bCs/>
          <w:i/>
          <w:sz w:val="24"/>
          <w:szCs w:val="24"/>
        </w:rPr>
        <w:t xml:space="preserve"> should, in my view, determine what is just and equitable in all the circumstances, and in do so, would normally have regard inter alia to the following factors: </w:t>
      </w:r>
      <w:r w:rsidRPr="003D080E">
        <w:rPr>
          <w:rFonts w:ascii="Times New Roman" w:hAnsi="Times New Roman" w:cs="Times New Roman"/>
          <w:bCs/>
          <w:i/>
          <w:sz w:val="24"/>
          <w:szCs w:val="24"/>
        </w:rPr>
        <w:t xml:space="preserve"> </w:t>
      </w:r>
    </w:p>
    <w:p w:rsidR="0015161A" w:rsidRPr="003D080E" w:rsidRDefault="0015161A" w:rsidP="003861B1">
      <w:pPr>
        <w:pStyle w:val="ListParagraph"/>
        <w:numPr>
          <w:ilvl w:val="0"/>
          <w:numId w:val="1"/>
        </w:numPr>
        <w:spacing w:line="480" w:lineRule="auto"/>
        <w:jc w:val="both"/>
        <w:rPr>
          <w:rFonts w:ascii="Times New Roman" w:hAnsi="Times New Roman" w:cs="Times New Roman"/>
          <w:bCs/>
          <w:i/>
          <w:sz w:val="24"/>
          <w:szCs w:val="24"/>
        </w:rPr>
      </w:pPr>
      <w:r w:rsidRPr="003D080E">
        <w:rPr>
          <w:rFonts w:ascii="Times New Roman" w:hAnsi="Times New Roman" w:cs="Times New Roman"/>
          <w:bCs/>
          <w:i/>
          <w:sz w:val="24"/>
          <w:szCs w:val="24"/>
        </w:rPr>
        <w:t>the potentiality of irreparable harm or prejudice being sustained by the appellant on appeal if leave to execute were granted;</w:t>
      </w:r>
    </w:p>
    <w:p w:rsidR="0015161A" w:rsidRPr="003D080E" w:rsidRDefault="0015161A" w:rsidP="003861B1">
      <w:pPr>
        <w:pStyle w:val="ListParagraph"/>
        <w:spacing w:line="480" w:lineRule="auto"/>
        <w:ind w:left="1440"/>
        <w:jc w:val="both"/>
        <w:rPr>
          <w:rFonts w:ascii="Times New Roman" w:hAnsi="Times New Roman" w:cs="Times New Roman"/>
          <w:bCs/>
          <w:i/>
          <w:sz w:val="24"/>
          <w:szCs w:val="24"/>
        </w:rPr>
      </w:pPr>
      <w:r w:rsidRPr="003D080E">
        <w:rPr>
          <w:rFonts w:ascii="Times New Roman" w:hAnsi="Times New Roman" w:cs="Times New Roman"/>
          <w:bCs/>
          <w:i/>
          <w:sz w:val="24"/>
          <w:szCs w:val="24"/>
        </w:rPr>
        <w:t>……………………………….</w:t>
      </w:r>
    </w:p>
    <w:p w:rsidR="0015161A" w:rsidRPr="003D080E" w:rsidRDefault="0015161A" w:rsidP="003861B1">
      <w:pPr>
        <w:spacing w:line="480" w:lineRule="auto"/>
        <w:ind w:left="1440" w:hanging="720"/>
        <w:jc w:val="both"/>
        <w:rPr>
          <w:rFonts w:ascii="Times New Roman" w:hAnsi="Times New Roman" w:cs="Times New Roman"/>
          <w:bCs/>
          <w:i/>
          <w:sz w:val="24"/>
          <w:szCs w:val="24"/>
        </w:rPr>
      </w:pPr>
      <w:r w:rsidRPr="003D080E">
        <w:rPr>
          <w:rFonts w:ascii="Times New Roman" w:hAnsi="Times New Roman" w:cs="Times New Roman"/>
          <w:bCs/>
          <w:i/>
          <w:sz w:val="24"/>
          <w:szCs w:val="24"/>
        </w:rPr>
        <w:t>(4)</w:t>
      </w:r>
      <w:r w:rsidRPr="003D080E">
        <w:rPr>
          <w:rFonts w:ascii="Times New Roman" w:hAnsi="Times New Roman" w:cs="Times New Roman"/>
          <w:bCs/>
          <w:i/>
          <w:sz w:val="24"/>
          <w:szCs w:val="24"/>
        </w:rPr>
        <w:tab/>
        <w:t>Where there is the potentiality of irreparable harm or prejudice to both appellant and respondent, the balance of hardship or convenience, as the case may be ………….”</w:t>
      </w:r>
    </w:p>
    <w:p w:rsidR="0015161A" w:rsidRDefault="0015161A"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 xml:space="preserve">Applying these principles to the facts of this case, there can be no irreparable </w:t>
      </w:r>
      <w:r w:rsidR="00626202">
        <w:rPr>
          <w:rFonts w:ascii="Times New Roman" w:hAnsi="Times New Roman" w:cs="Times New Roman"/>
          <w:bCs/>
          <w:sz w:val="24"/>
          <w:szCs w:val="24"/>
        </w:rPr>
        <w:t xml:space="preserve">harm or prejudice to the respondents.  The respondents have filed an appeal against the judgment of this court, which has all the hallmarks of a scheme to delay and frustrate the execution of the order.  The bulk of the grounds </w:t>
      </w:r>
      <w:r w:rsidR="000D402C">
        <w:rPr>
          <w:rFonts w:ascii="Times New Roman" w:hAnsi="Times New Roman" w:cs="Times New Roman"/>
          <w:bCs/>
          <w:sz w:val="24"/>
          <w:szCs w:val="24"/>
        </w:rPr>
        <w:t xml:space="preserve">of appeal are aimed at attacking the findings of the court on the aspects of inheritance.  There can be no doubt that applicants are </w:t>
      </w:r>
      <w:r w:rsidR="000D402C" w:rsidRPr="005B51A0">
        <w:rPr>
          <w:rFonts w:ascii="Times New Roman" w:hAnsi="Times New Roman" w:cs="Times New Roman"/>
          <w:bCs/>
          <w:i/>
          <w:sz w:val="24"/>
          <w:szCs w:val="24"/>
        </w:rPr>
        <w:t>bona fide</w:t>
      </w:r>
      <w:r w:rsidR="000D402C">
        <w:rPr>
          <w:rFonts w:ascii="Times New Roman" w:hAnsi="Times New Roman" w:cs="Times New Roman"/>
          <w:bCs/>
          <w:sz w:val="24"/>
          <w:szCs w:val="24"/>
        </w:rPr>
        <w:t xml:space="preserve"> purchasers of the Montgomery property.  The applicants hold legal title to the property under dispute.  The appeal court </w:t>
      </w:r>
      <w:r w:rsidR="00CD50B0">
        <w:rPr>
          <w:rFonts w:ascii="Times New Roman" w:hAnsi="Times New Roman" w:cs="Times New Roman"/>
          <w:bCs/>
          <w:sz w:val="24"/>
          <w:szCs w:val="24"/>
        </w:rPr>
        <w:t xml:space="preserve">may not be asked to review the factual findings of this court, unless such findings are defiance of logic and common sense.  It is trite that the Supreme Court will sit as an appellate </w:t>
      </w:r>
      <w:r w:rsidR="00CD50B0">
        <w:rPr>
          <w:rFonts w:ascii="Times New Roman" w:hAnsi="Times New Roman" w:cs="Times New Roman"/>
          <w:bCs/>
          <w:sz w:val="24"/>
          <w:szCs w:val="24"/>
        </w:rPr>
        <w:lastRenderedPageBreak/>
        <w:t xml:space="preserve">court and will not readily interfere with factual facts of a lower court.  See: </w:t>
      </w:r>
      <w:r w:rsidR="00CD50B0" w:rsidRPr="00C03980">
        <w:rPr>
          <w:rFonts w:ascii="Times New Roman" w:hAnsi="Times New Roman" w:cs="Times New Roman"/>
          <w:bCs/>
          <w:i/>
          <w:sz w:val="24"/>
          <w:szCs w:val="24"/>
        </w:rPr>
        <w:t>Hama</w:t>
      </w:r>
      <w:r w:rsidR="00CD50B0">
        <w:rPr>
          <w:rFonts w:ascii="Times New Roman" w:hAnsi="Times New Roman" w:cs="Times New Roman"/>
          <w:bCs/>
          <w:sz w:val="24"/>
          <w:szCs w:val="24"/>
        </w:rPr>
        <w:t xml:space="preserve"> v </w:t>
      </w:r>
      <w:r w:rsidR="00CD50B0" w:rsidRPr="00C03980">
        <w:rPr>
          <w:rFonts w:ascii="Times New Roman" w:hAnsi="Times New Roman" w:cs="Times New Roman"/>
          <w:bCs/>
          <w:i/>
          <w:sz w:val="24"/>
          <w:szCs w:val="24"/>
        </w:rPr>
        <w:t>National Railways of Zimbabwe</w:t>
      </w:r>
      <w:r w:rsidR="00CD50B0">
        <w:rPr>
          <w:rFonts w:ascii="Times New Roman" w:hAnsi="Times New Roman" w:cs="Times New Roman"/>
          <w:bCs/>
          <w:sz w:val="24"/>
          <w:szCs w:val="24"/>
        </w:rPr>
        <w:t xml:space="preserve"> 1996 (1) ZLR 664 (S).</w:t>
      </w:r>
    </w:p>
    <w:p w:rsidR="00C5209B" w:rsidRDefault="00CD50B0"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The</w:t>
      </w:r>
      <w:r w:rsidR="00AF2115">
        <w:rPr>
          <w:rFonts w:ascii="Times New Roman" w:hAnsi="Times New Roman" w:cs="Times New Roman"/>
          <w:bCs/>
          <w:sz w:val="24"/>
          <w:szCs w:val="24"/>
        </w:rPr>
        <w:t xml:space="preserve"> 1</w:t>
      </w:r>
      <w:r w:rsidR="00AF2115" w:rsidRPr="00AF2115">
        <w:rPr>
          <w:rFonts w:ascii="Times New Roman" w:hAnsi="Times New Roman" w:cs="Times New Roman"/>
          <w:bCs/>
          <w:sz w:val="24"/>
          <w:szCs w:val="24"/>
          <w:vertAlign w:val="superscript"/>
        </w:rPr>
        <w:t>st</w:t>
      </w:r>
      <w:r w:rsidR="00AF2115">
        <w:rPr>
          <w:rFonts w:ascii="Times New Roman" w:hAnsi="Times New Roman" w:cs="Times New Roman"/>
          <w:bCs/>
          <w:sz w:val="24"/>
          <w:szCs w:val="24"/>
        </w:rPr>
        <w:t xml:space="preserve"> and 2</w:t>
      </w:r>
      <w:r w:rsidR="00AF2115" w:rsidRPr="00AF2115">
        <w:rPr>
          <w:rFonts w:ascii="Times New Roman" w:hAnsi="Times New Roman" w:cs="Times New Roman"/>
          <w:bCs/>
          <w:sz w:val="24"/>
          <w:szCs w:val="24"/>
          <w:vertAlign w:val="superscript"/>
        </w:rPr>
        <w:t>nd</w:t>
      </w:r>
      <w:r w:rsidR="00AF2115">
        <w:rPr>
          <w:rFonts w:ascii="Times New Roman" w:hAnsi="Times New Roman" w:cs="Times New Roman"/>
          <w:bCs/>
          <w:sz w:val="24"/>
          <w:szCs w:val="24"/>
        </w:rPr>
        <w:t xml:space="preserve"> respondents do not allege the existence of a gross misdirection.  1</w:t>
      </w:r>
      <w:r w:rsidR="00AF2115" w:rsidRPr="00AF2115">
        <w:rPr>
          <w:rFonts w:ascii="Times New Roman" w:hAnsi="Times New Roman" w:cs="Times New Roman"/>
          <w:bCs/>
          <w:sz w:val="24"/>
          <w:szCs w:val="24"/>
          <w:vertAlign w:val="superscript"/>
        </w:rPr>
        <w:t>st</w:t>
      </w:r>
      <w:r w:rsidR="00AF2115">
        <w:rPr>
          <w:rFonts w:ascii="Times New Roman" w:hAnsi="Times New Roman" w:cs="Times New Roman"/>
          <w:bCs/>
          <w:sz w:val="24"/>
          <w:szCs w:val="24"/>
        </w:rPr>
        <w:t xml:space="preserve"> and 2</w:t>
      </w:r>
      <w:r w:rsidR="00AF2115" w:rsidRPr="00AF2115">
        <w:rPr>
          <w:rFonts w:ascii="Times New Roman" w:hAnsi="Times New Roman" w:cs="Times New Roman"/>
          <w:bCs/>
          <w:sz w:val="24"/>
          <w:szCs w:val="24"/>
          <w:vertAlign w:val="superscript"/>
        </w:rPr>
        <w:t>nd</w:t>
      </w:r>
      <w:r w:rsidR="00AF2115">
        <w:rPr>
          <w:rFonts w:ascii="Times New Roman" w:hAnsi="Times New Roman" w:cs="Times New Roman"/>
          <w:bCs/>
          <w:sz w:val="24"/>
          <w:szCs w:val="24"/>
        </w:rPr>
        <w:t xml:space="preserve"> respondents rely on the fact that their property evaluation shows that the property was valued for more than US$60 000.  This court dealt with that issue </w:t>
      </w:r>
      <w:r w:rsidR="00C5209B">
        <w:rPr>
          <w:rFonts w:ascii="Times New Roman" w:hAnsi="Times New Roman" w:cs="Times New Roman"/>
          <w:bCs/>
          <w:sz w:val="24"/>
          <w:szCs w:val="24"/>
        </w:rPr>
        <w:t>and showed the basis upon which it could not rely on the evaluation.</w:t>
      </w:r>
    </w:p>
    <w:p w:rsidR="00C5209B" w:rsidRPr="00C03980" w:rsidRDefault="00C5209B" w:rsidP="003861B1">
      <w:pPr>
        <w:spacing w:line="480" w:lineRule="auto"/>
        <w:ind w:firstLine="720"/>
        <w:jc w:val="both"/>
        <w:rPr>
          <w:rFonts w:ascii="Times New Roman" w:hAnsi="Times New Roman" w:cs="Times New Roman"/>
          <w:b/>
          <w:bCs/>
          <w:sz w:val="24"/>
          <w:szCs w:val="24"/>
        </w:rPr>
      </w:pPr>
      <w:r w:rsidRPr="00C03980">
        <w:rPr>
          <w:rFonts w:ascii="Times New Roman" w:hAnsi="Times New Roman" w:cs="Times New Roman"/>
          <w:b/>
          <w:bCs/>
          <w:sz w:val="24"/>
          <w:szCs w:val="24"/>
        </w:rPr>
        <w:t>DISPOSITION</w:t>
      </w:r>
    </w:p>
    <w:p w:rsidR="00CD50B0" w:rsidRDefault="00C5209B"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my view that the application for leave to execute pending appeal is well grounded on the facts and on the law.  The appeal lodged by the 1</w:t>
      </w:r>
      <w:r w:rsidRPr="00C5209B">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C5209B">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amounts to an abuse of court process.  In applying the principles articulated in case</w:t>
      </w:r>
      <w:r w:rsidR="00CD50B0">
        <w:rPr>
          <w:rFonts w:ascii="Times New Roman" w:hAnsi="Times New Roman" w:cs="Times New Roman"/>
          <w:bCs/>
          <w:sz w:val="24"/>
          <w:szCs w:val="24"/>
        </w:rPr>
        <w:t xml:space="preserve"> </w:t>
      </w:r>
      <w:r>
        <w:rPr>
          <w:rFonts w:ascii="Times New Roman" w:hAnsi="Times New Roman" w:cs="Times New Roman"/>
          <w:bCs/>
          <w:sz w:val="24"/>
          <w:szCs w:val="24"/>
        </w:rPr>
        <w:t>law cited above there can be no doubt that the ap</w:t>
      </w:r>
      <w:r w:rsidR="007B77E7">
        <w:rPr>
          <w:rFonts w:ascii="Times New Roman" w:hAnsi="Times New Roman" w:cs="Times New Roman"/>
          <w:bCs/>
          <w:sz w:val="24"/>
          <w:szCs w:val="24"/>
        </w:rPr>
        <w:t>plicants have met</w:t>
      </w:r>
      <w:r w:rsidR="00BF0E65">
        <w:rPr>
          <w:rFonts w:ascii="Times New Roman" w:hAnsi="Times New Roman" w:cs="Times New Roman"/>
          <w:bCs/>
          <w:sz w:val="24"/>
          <w:szCs w:val="24"/>
        </w:rPr>
        <w:t xml:space="preserve"> the threshold for an order to execute the order of this court pending appeal.</w:t>
      </w:r>
    </w:p>
    <w:p w:rsidR="00BF0E65" w:rsidRDefault="00BF0E65"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In the r</w:t>
      </w:r>
      <w:r w:rsidR="00E37600">
        <w:rPr>
          <w:rFonts w:ascii="Times New Roman" w:hAnsi="Times New Roman" w:cs="Times New Roman"/>
          <w:bCs/>
          <w:sz w:val="24"/>
          <w:szCs w:val="24"/>
        </w:rPr>
        <w:t>esult, the application succeeds.</w:t>
      </w:r>
    </w:p>
    <w:p w:rsidR="00BF0E65" w:rsidRDefault="00BF0E65" w:rsidP="003861B1">
      <w:pPr>
        <w:spacing w:line="480" w:lineRule="auto"/>
        <w:ind w:firstLine="720"/>
        <w:jc w:val="both"/>
        <w:rPr>
          <w:rFonts w:ascii="Times New Roman" w:hAnsi="Times New Roman" w:cs="Times New Roman"/>
          <w:bCs/>
          <w:sz w:val="24"/>
          <w:szCs w:val="24"/>
        </w:rPr>
      </w:pPr>
      <w:r>
        <w:rPr>
          <w:rFonts w:ascii="Times New Roman" w:hAnsi="Times New Roman" w:cs="Times New Roman"/>
          <w:bCs/>
          <w:sz w:val="24"/>
          <w:szCs w:val="24"/>
        </w:rPr>
        <w:t>It is ordered that:-</w:t>
      </w:r>
    </w:p>
    <w:p w:rsidR="00BF0E65" w:rsidRDefault="00BF0E65"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t>1.</w:t>
      </w:r>
      <w:r>
        <w:rPr>
          <w:rFonts w:ascii="Times New Roman" w:hAnsi="Times New Roman" w:cs="Times New Roman"/>
          <w:bCs/>
          <w:sz w:val="24"/>
          <w:szCs w:val="24"/>
        </w:rPr>
        <w:tab/>
        <w:t>The applicants be and are hereby granted leave to execute the judgment of this court dated 14</w:t>
      </w:r>
      <w:r w:rsidRPr="00BF0E65">
        <w:rPr>
          <w:rFonts w:ascii="Times New Roman" w:hAnsi="Times New Roman" w:cs="Times New Roman"/>
          <w:bCs/>
          <w:sz w:val="24"/>
          <w:szCs w:val="24"/>
          <w:vertAlign w:val="superscript"/>
        </w:rPr>
        <w:t>th</w:t>
      </w:r>
      <w:r>
        <w:rPr>
          <w:rFonts w:ascii="Times New Roman" w:hAnsi="Times New Roman" w:cs="Times New Roman"/>
          <w:bCs/>
          <w:sz w:val="24"/>
          <w:szCs w:val="24"/>
        </w:rPr>
        <w:t xml:space="preserve"> July 2022 for the ejectment of the 1</w:t>
      </w:r>
      <w:r w:rsidRPr="00BF0E65">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BF0E65">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and all those claiming occupation through them from number 11 Seymour Road, Montgomery, Bulawayo, pending the hearing and determination of the appeal filed under SCB 77-22.</w:t>
      </w:r>
    </w:p>
    <w:p w:rsidR="00E37600" w:rsidRDefault="00E37600" w:rsidP="003861B1">
      <w:pPr>
        <w:spacing w:line="480" w:lineRule="auto"/>
        <w:ind w:left="1440" w:hanging="720"/>
        <w:jc w:val="both"/>
        <w:rPr>
          <w:rFonts w:ascii="Times New Roman" w:hAnsi="Times New Roman" w:cs="Times New Roman"/>
          <w:bCs/>
          <w:sz w:val="24"/>
          <w:szCs w:val="24"/>
        </w:rPr>
      </w:pPr>
    </w:p>
    <w:p w:rsidR="00BF0E65" w:rsidRDefault="00BF0E65" w:rsidP="003861B1">
      <w:pPr>
        <w:spacing w:line="480" w:lineRule="auto"/>
        <w:ind w:left="1440" w:hanging="720"/>
        <w:jc w:val="both"/>
        <w:rPr>
          <w:rFonts w:ascii="Times New Roman" w:hAnsi="Times New Roman" w:cs="Times New Roman"/>
          <w:bCs/>
          <w:sz w:val="24"/>
          <w:szCs w:val="24"/>
        </w:rPr>
      </w:pPr>
      <w:r>
        <w:rPr>
          <w:rFonts w:ascii="Times New Roman" w:hAnsi="Times New Roman" w:cs="Times New Roman"/>
          <w:bCs/>
          <w:sz w:val="24"/>
          <w:szCs w:val="24"/>
        </w:rPr>
        <w:lastRenderedPageBreak/>
        <w:t>2.</w:t>
      </w:r>
      <w:r>
        <w:rPr>
          <w:rFonts w:ascii="Times New Roman" w:hAnsi="Times New Roman" w:cs="Times New Roman"/>
          <w:bCs/>
          <w:sz w:val="24"/>
          <w:szCs w:val="24"/>
        </w:rPr>
        <w:tab/>
        <w:t>1</w:t>
      </w:r>
      <w:r w:rsidRPr="00BF0E65">
        <w:rPr>
          <w:rFonts w:ascii="Times New Roman" w:hAnsi="Times New Roman" w:cs="Times New Roman"/>
          <w:bCs/>
          <w:sz w:val="24"/>
          <w:szCs w:val="24"/>
          <w:vertAlign w:val="superscript"/>
        </w:rPr>
        <w:t>st</w:t>
      </w:r>
      <w:r>
        <w:rPr>
          <w:rFonts w:ascii="Times New Roman" w:hAnsi="Times New Roman" w:cs="Times New Roman"/>
          <w:bCs/>
          <w:sz w:val="24"/>
          <w:szCs w:val="24"/>
        </w:rPr>
        <w:t xml:space="preserve"> and 2</w:t>
      </w:r>
      <w:r w:rsidRPr="00BF0E65">
        <w:rPr>
          <w:rFonts w:ascii="Times New Roman" w:hAnsi="Times New Roman" w:cs="Times New Roman"/>
          <w:bCs/>
          <w:sz w:val="24"/>
          <w:szCs w:val="24"/>
          <w:vertAlign w:val="superscript"/>
        </w:rPr>
        <w:t>nd</w:t>
      </w:r>
      <w:r>
        <w:rPr>
          <w:rFonts w:ascii="Times New Roman" w:hAnsi="Times New Roman" w:cs="Times New Roman"/>
          <w:bCs/>
          <w:sz w:val="24"/>
          <w:szCs w:val="24"/>
        </w:rPr>
        <w:t xml:space="preserve"> respondents are ordered to pay the costs of suit.</w:t>
      </w:r>
    </w:p>
    <w:p w:rsidR="00BF0E65" w:rsidRDefault="00BF0E65" w:rsidP="003861B1">
      <w:pPr>
        <w:spacing w:line="480" w:lineRule="auto"/>
        <w:jc w:val="both"/>
        <w:rPr>
          <w:rFonts w:ascii="Times New Roman" w:hAnsi="Times New Roman" w:cs="Times New Roman"/>
          <w:bCs/>
          <w:sz w:val="24"/>
          <w:szCs w:val="24"/>
        </w:rPr>
      </w:pPr>
    </w:p>
    <w:p w:rsidR="00584D7A" w:rsidRDefault="00584D7A" w:rsidP="003861B1">
      <w:pPr>
        <w:pStyle w:val="NoSpacing"/>
        <w:jc w:val="both"/>
        <w:rPr>
          <w:i/>
        </w:rPr>
      </w:pPr>
    </w:p>
    <w:p w:rsidR="0091346A" w:rsidRDefault="0091346A" w:rsidP="003861B1">
      <w:pPr>
        <w:pStyle w:val="NoSpacing"/>
        <w:jc w:val="both"/>
        <w:rPr>
          <w:i/>
        </w:rPr>
      </w:pPr>
    </w:p>
    <w:p w:rsidR="00E37600" w:rsidRDefault="00E37600" w:rsidP="003861B1">
      <w:pPr>
        <w:pStyle w:val="NoSpacing"/>
        <w:jc w:val="both"/>
        <w:rPr>
          <w:i/>
        </w:rPr>
      </w:pPr>
    </w:p>
    <w:p w:rsidR="00E37600" w:rsidRDefault="00E37600" w:rsidP="003861B1">
      <w:pPr>
        <w:pStyle w:val="NoSpacing"/>
        <w:jc w:val="both"/>
        <w:rPr>
          <w:i/>
        </w:rPr>
      </w:pPr>
    </w:p>
    <w:p w:rsidR="00BF0E65" w:rsidRDefault="005A7E1A" w:rsidP="003861B1">
      <w:pPr>
        <w:pStyle w:val="NoSpacing"/>
        <w:jc w:val="both"/>
      </w:pPr>
      <w:r w:rsidRPr="00584D7A">
        <w:rPr>
          <w:i/>
        </w:rPr>
        <w:t>Calderwood, Bryce Hendrie and Partners</w:t>
      </w:r>
      <w:r>
        <w:t>, applicants’ legal practitioners</w:t>
      </w:r>
    </w:p>
    <w:p w:rsidR="005A7E1A" w:rsidRDefault="005A7E1A" w:rsidP="003861B1">
      <w:pPr>
        <w:pStyle w:val="NoSpacing"/>
        <w:jc w:val="both"/>
      </w:pPr>
      <w:proofErr w:type="spellStart"/>
      <w:r w:rsidRPr="00584D7A">
        <w:rPr>
          <w:i/>
        </w:rPr>
        <w:t>Mhaka</w:t>
      </w:r>
      <w:proofErr w:type="spellEnd"/>
      <w:r w:rsidRPr="00584D7A">
        <w:rPr>
          <w:i/>
        </w:rPr>
        <w:t xml:space="preserve"> Attorneys c/o </w:t>
      </w:r>
      <w:proofErr w:type="spellStart"/>
      <w:r w:rsidRPr="00584D7A">
        <w:rPr>
          <w:i/>
        </w:rPr>
        <w:t>Majoko</w:t>
      </w:r>
      <w:proofErr w:type="spellEnd"/>
      <w:r w:rsidRPr="00584D7A">
        <w:rPr>
          <w:i/>
        </w:rPr>
        <w:t xml:space="preserve"> and </w:t>
      </w:r>
      <w:proofErr w:type="spellStart"/>
      <w:r w:rsidRPr="00584D7A">
        <w:rPr>
          <w:i/>
        </w:rPr>
        <w:t>Majoko</w:t>
      </w:r>
      <w:proofErr w:type="spellEnd"/>
      <w:r>
        <w:t>, 1</w:t>
      </w:r>
      <w:r w:rsidRPr="005A7E1A">
        <w:rPr>
          <w:vertAlign w:val="superscript"/>
        </w:rPr>
        <w:t>st</w:t>
      </w:r>
      <w:r>
        <w:t xml:space="preserve"> and 2</w:t>
      </w:r>
      <w:r w:rsidRPr="005A7E1A">
        <w:rPr>
          <w:vertAlign w:val="superscript"/>
        </w:rPr>
        <w:t>nd</w:t>
      </w:r>
      <w:r>
        <w:t xml:space="preserve"> respondents’ legal practitioners</w:t>
      </w:r>
    </w:p>
    <w:p w:rsidR="00AF2115" w:rsidRDefault="00AF2115" w:rsidP="00CD50B0">
      <w:pPr>
        <w:spacing w:line="480" w:lineRule="auto"/>
        <w:ind w:firstLine="720"/>
        <w:rPr>
          <w:rFonts w:ascii="Times New Roman" w:hAnsi="Times New Roman" w:cs="Times New Roman"/>
          <w:bCs/>
          <w:sz w:val="24"/>
          <w:szCs w:val="24"/>
        </w:rPr>
      </w:pPr>
    </w:p>
    <w:p w:rsidR="00CD50B0" w:rsidRPr="0015161A" w:rsidRDefault="00CD50B0" w:rsidP="0015161A">
      <w:pPr>
        <w:spacing w:line="480" w:lineRule="auto"/>
        <w:rPr>
          <w:rFonts w:ascii="Times New Roman" w:hAnsi="Times New Roman" w:cs="Times New Roman"/>
          <w:bCs/>
          <w:sz w:val="24"/>
          <w:szCs w:val="24"/>
        </w:rPr>
      </w:pPr>
    </w:p>
    <w:p w:rsidR="00844865" w:rsidRDefault="00844865" w:rsidP="00370066">
      <w:pPr>
        <w:spacing w:line="480" w:lineRule="auto"/>
        <w:ind w:left="720"/>
        <w:rPr>
          <w:rFonts w:ascii="Times New Roman" w:hAnsi="Times New Roman" w:cs="Times New Roman"/>
          <w:bCs/>
          <w:sz w:val="24"/>
          <w:szCs w:val="24"/>
        </w:rPr>
      </w:pPr>
    </w:p>
    <w:p w:rsidR="00B3249F" w:rsidRDefault="00B3249F" w:rsidP="003013FC">
      <w:pPr>
        <w:spacing w:line="480" w:lineRule="auto"/>
        <w:rPr>
          <w:rFonts w:ascii="Times New Roman" w:hAnsi="Times New Roman" w:cs="Times New Roman"/>
          <w:bCs/>
          <w:sz w:val="24"/>
          <w:szCs w:val="24"/>
        </w:rPr>
      </w:pPr>
    </w:p>
    <w:p w:rsidR="00E56058" w:rsidRDefault="00E56058" w:rsidP="003013FC">
      <w:pPr>
        <w:spacing w:line="480" w:lineRule="auto"/>
      </w:pPr>
      <w:bookmarkStart w:id="0" w:name="_GoBack"/>
      <w:bookmarkEnd w:id="0"/>
    </w:p>
    <w:sectPr w:rsidR="00E5605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343AF" w:rsidRDefault="000343AF" w:rsidP="003861B1">
      <w:pPr>
        <w:spacing w:after="0" w:line="240" w:lineRule="auto"/>
      </w:pPr>
      <w:r>
        <w:separator/>
      </w:r>
    </w:p>
  </w:endnote>
  <w:endnote w:type="continuationSeparator" w:id="0">
    <w:p w:rsidR="000343AF" w:rsidRDefault="000343AF" w:rsidP="003861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343AF" w:rsidRDefault="000343AF" w:rsidP="003861B1">
      <w:pPr>
        <w:spacing w:after="0" w:line="240" w:lineRule="auto"/>
      </w:pPr>
      <w:r>
        <w:separator/>
      </w:r>
    </w:p>
  </w:footnote>
  <w:footnote w:type="continuationSeparator" w:id="0">
    <w:p w:rsidR="000343AF" w:rsidRDefault="000343AF" w:rsidP="003861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679029"/>
      <w:docPartObj>
        <w:docPartGallery w:val="Page Numbers (Top of Page)"/>
        <w:docPartUnique/>
      </w:docPartObj>
    </w:sdtPr>
    <w:sdtEndPr>
      <w:rPr>
        <w:rFonts w:ascii="Times New Roman" w:hAnsi="Times New Roman" w:cs="Times New Roman"/>
        <w:noProof/>
        <w:sz w:val="24"/>
        <w:szCs w:val="24"/>
      </w:rPr>
    </w:sdtEndPr>
    <w:sdtContent>
      <w:p w:rsidR="003861B1" w:rsidRPr="00021BDD" w:rsidRDefault="003861B1">
        <w:pPr>
          <w:pStyle w:val="Header"/>
          <w:jc w:val="right"/>
          <w:rPr>
            <w:rFonts w:ascii="Times New Roman" w:hAnsi="Times New Roman" w:cs="Times New Roman"/>
            <w:noProof/>
            <w:sz w:val="24"/>
            <w:szCs w:val="24"/>
          </w:rPr>
        </w:pPr>
        <w:r w:rsidRPr="00021BDD">
          <w:rPr>
            <w:rFonts w:ascii="Times New Roman" w:hAnsi="Times New Roman" w:cs="Times New Roman"/>
            <w:sz w:val="24"/>
            <w:szCs w:val="24"/>
          </w:rPr>
          <w:fldChar w:fldCharType="begin"/>
        </w:r>
        <w:r w:rsidRPr="00021BDD">
          <w:rPr>
            <w:rFonts w:ascii="Times New Roman" w:hAnsi="Times New Roman" w:cs="Times New Roman"/>
            <w:sz w:val="24"/>
            <w:szCs w:val="24"/>
          </w:rPr>
          <w:instrText xml:space="preserve"> PAGE   \* MERGEFORMAT </w:instrText>
        </w:r>
        <w:r w:rsidRPr="00021BDD">
          <w:rPr>
            <w:rFonts w:ascii="Times New Roman" w:hAnsi="Times New Roman" w:cs="Times New Roman"/>
            <w:sz w:val="24"/>
            <w:szCs w:val="24"/>
          </w:rPr>
          <w:fldChar w:fldCharType="separate"/>
        </w:r>
        <w:r w:rsidR="00120872">
          <w:rPr>
            <w:rFonts w:ascii="Times New Roman" w:hAnsi="Times New Roman" w:cs="Times New Roman"/>
            <w:noProof/>
            <w:sz w:val="24"/>
            <w:szCs w:val="24"/>
          </w:rPr>
          <w:t>9</w:t>
        </w:r>
        <w:r w:rsidRPr="00021BDD">
          <w:rPr>
            <w:rFonts w:ascii="Times New Roman" w:hAnsi="Times New Roman" w:cs="Times New Roman"/>
            <w:noProof/>
            <w:sz w:val="24"/>
            <w:szCs w:val="24"/>
          </w:rPr>
          <w:fldChar w:fldCharType="end"/>
        </w:r>
      </w:p>
      <w:p w:rsidR="003861B1" w:rsidRPr="00021BDD" w:rsidRDefault="003861B1">
        <w:pPr>
          <w:pStyle w:val="Header"/>
          <w:jc w:val="right"/>
          <w:rPr>
            <w:rFonts w:ascii="Times New Roman" w:hAnsi="Times New Roman" w:cs="Times New Roman"/>
            <w:noProof/>
            <w:sz w:val="24"/>
            <w:szCs w:val="24"/>
          </w:rPr>
        </w:pPr>
        <w:r w:rsidRPr="00021BDD">
          <w:rPr>
            <w:rFonts w:ascii="Times New Roman" w:hAnsi="Times New Roman" w:cs="Times New Roman"/>
            <w:noProof/>
            <w:sz w:val="24"/>
            <w:szCs w:val="24"/>
          </w:rPr>
          <w:t>HB</w:t>
        </w:r>
        <w:r w:rsidR="001B584C">
          <w:rPr>
            <w:rFonts w:ascii="Times New Roman" w:hAnsi="Times New Roman" w:cs="Times New Roman"/>
            <w:noProof/>
            <w:sz w:val="24"/>
            <w:szCs w:val="24"/>
          </w:rPr>
          <w:t xml:space="preserve"> 51/23</w:t>
        </w:r>
      </w:p>
      <w:p w:rsidR="003861B1" w:rsidRPr="00021BDD" w:rsidRDefault="003861B1">
        <w:pPr>
          <w:pStyle w:val="Header"/>
          <w:jc w:val="right"/>
          <w:rPr>
            <w:rFonts w:ascii="Times New Roman" w:hAnsi="Times New Roman" w:cs="Times New Roman"/>
            <w:noProof/>
            <w:sz w:val="24"/>
            <w:szCs w:val="24"/>
          </w:rPr>
        </w:pPr>
        <w:r w:rsidRPr="00021BDD">
          <w:rPr>
            <w:rFonts w:ascii="Times New Roman" w:hAnsi="Times New Roman" w:cs="Times New Roman"/>
            <w:noProof/>
            <w:sz w:val="24"/>
            <w:szCs w:val="24"/>
          </w:rPr>
          <w:t>HC 1588/22</w:t>
        </w:r>
      </w:p>
      <w:p w:rsidR="003861B1" w:rsidRPr="00021BDD" w:rsidRDefault="003861B1">
        <w:pPr>
          <w:pStyle w:val="Header"/>
          <w:jc w:val="right"/>
          <w:rPr>
            <w:rFonts w:ascii="Times New Roman" w:hAnsi="Times New Roman" w:cs="Times New Roman"/>
            <w:noProof/>
            <w:sz w:val="24"/>
            <w:szCs w:val="24"/>
          </w:rPr>
        </w:pPr>
        <w:r w:rsidRPr="00021BDD">
          <w:rPr>
            <w:rFonts w:ascii="Times New Roman" w:hAnsi="Times New Roman" w:cs="Times New Roman"/>
            <w:noProof/>
            <w:sz w:val="24"/>
            <w:szCs w:val="24"/>
          </w:rPr>
          <w:t>XREF HC 526/19</w:t>
        </w:r>
      </w:p>
      <w:p w:rsidR="003861B1" w:rsidRPr="00021BDD" w:rsidRDefault="003861B1">
        <w:pPr>
          <w:pStyle w:val="Header"/>
          <w:jc w:val="right"/>
          <w:rPr>
            <w:rFonts w:ascii="Times New Roman" w:hAnsi="Times New Roman" w:cs="Times New Roman"/>
            <w:noProof/>
            <w:sz w:val="24"/>
            <w:szCs w:val="24"/>
          </w:rPr>
        </w:pPr>
        <w:r w:rsidRPr="00021BDD">
          <w:rPr>
            <w:rFonts w:ascii="Times New Roman" w:hAnsi="Times New Roman" w:cs="Times New Roman"/>
            <w:noProof/>
            <w:sz w:val="24"/>
            <w:szCs w:val="24"/>
          </w:rPr>
          <w:t>XREF SCB 77/22</w:t>
        </w:r>
      </w:p>
      <w:p w:rsidR="003861B1" w:rsidRPr="00021BDD" w:rsidRDefault="003861B1">
        <w:pPr>
          <w:pStyle w:val="Header"/>
          <w:jc w:val="right"/>
          <w:rPr>
            <w:rFonts w:ascii="Times New Roman" w:hAnsi="Times New Roman" w:cs="Times New Roman"/>
            <w:noProof/>
            <w:sz w:val="24"/>
            <w:szCs w:val="24"/>
          </w:rPr>
        </w:pPr>
        <w:r w:rsidRPr="00021BDD">
          <w:rPr>
            <w:rFonts w:ascii="Times New Roman" w:hAnsi="Times New Roman" w:cs="Times New Roman"/>
            <w:noProof/>
            <w:sz w:val="24"/>
            <w:szCs w:val="24"/>
          </w:rPr>
          <w:t>XREF DR 266/18</w:t>
        </w:r>
      </w:p>
      <w:p w:rsidR="003861B1" w:rsidRPr="00021BDD" w:rsidRDefault="003861B1">
        <w:pPr>
          <w:pStyle w:val="Header"/>
          <w:jc w:val="right"/>
          <w:rPr>
            <w:rFonts w:ascii="Times New Roman" w:hAnsi="Times New Roman" w:cs="Times New Roman"/>
            <w:noProof/>
            <w:sz w:val="24"/>
            <w:szCs w:val="24"/>
          </w:rPr>
        </w:pPr>
        <w:r w:rsidRPr="00021BDD">
          <w:rPr>
            <w:rFonts w:ascii="Times New Roman" w:hAnsi="Times New Roman" w:cs="Times New Roman"/>
            <w:noProof/>
            <w:sz w:val="24"/>
            <w:szCs w:val="24"/>
          </w:rPr>
          <w:t>XREF DR 1511/95</w:t>
        </w:r>
      </w:p>
      <w:p w:rsidR="00F938A9" w:rsidRDefault="003861B1">
        <w:pPr>
          <w:pStyle w:val="Header"/>
          <w:jc w:val="right"/>
          <w:rPr>
            <w:rFonts w:ascii="Times New Roman" w:hAnsi="Times New Roman" w:cs="Times New Roman"/>
            <w:noProof/>
            <w:sz w:val="24"/>
            <w:szCs w:val="24"/>
          </w:rPr>
        </w:pPr>
        <w:r w:rsidRPr="00021BDD">
          <w:rPr>
            <w:rFonts w:ascii="Times New Roman" w:hAnsi="Times New Roman" w:cs="Times New Roman"/>
            <w:noProof/>
            <w:sz w:val="24"/>
            <w:szCs w:val="24"/>
          </w:rPr>
          <w:t>CAPP 197/22</w:t>
        </w:r>
      </w:p>
      <w:p w:rsidR="003861B1" w:rsidRPr="00021BDD" w:rsidRDefault="00120872">
        <w:pPr>
          <w:pStyle w:val="Header"/>
          <w:jc w:val="right"/>
          <w:rPr>
            <w:rFonts w:ascii="Times New Roman" w:hAnsi="Times New Roman" w:cs="Times New Roman"/>
            <w:sz w:val="24"/>
            <w:szCs w:val="24"/>
          </w:rPr>
        </w:pPr>
      </w:p>
    </w:sdtContent>
  </w:sdt>
  <w:p w:rsidR="003861B1" w:rsidRPr="00021BDD" w:rsidRDefault="003861B1">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50601A8"/>
    <w:multiLevelType w:val="hybridMultilevel"/>
    <w:tmpl w:val="08AE4262"/>
    <w:lvl w:ilvl="0" w:tplc="EE18CB4E">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2F"/>
    <w:rsid w:val="00007B3F"/>
    <w:rsid w:val="00021BDD"/>
    <w:rsid w:val="000343AF"/>
    <w:rsid w:val="000965FB"/>
    <w:rsid w:val="000D402C"/>
    <w:rsid w:val="0010071B"/>
    <w:rsid w:val="00112965"/>
    <w:rsid w:val="001129BE"/>
    <w:rsid w:val="001137F7"/>
    <w:rsid w:val="00120872"/>
    <w:rsid w:val="00126223"/>
    <w:rsid w:val="0015161A"/>
    <w:rsid w:val="00153A6E"/>
    <w:rsid w:val="00186473"/>
    <w:rsid w:val="001B584C"/>
    <w:rsid w:val="001F4E24"/>
    <w:rsid w:val="00223694"/>
    <w:rsid w:val="002252E9"/>
    <w:rsid w:val="002479D5"/>
    <w:rsid w:val="00266956"/>
    <w:rsid w:val="00290BD5"/>
    <w:rsid w:val="00296F77"/>
    <w:rsid w:val="002D0A76"/>
    <w:rsid w:val="002E0BF0"/>
    <w:rsid w:val="003013FC"/>
    <w:rsid w:val="003036AF"/>
    <w:rsid w:val="00313059"/>
    <w:rsid w:val="00322619"/>
    <w:rsid w:val="00341E14"/>
    <w:rsid w:val="00354B11"/>
    <w:rsid w:val="00370066"/>
    <w:rsid w:val="00383B80"/>
    <w:rsid w:val="003861B1"/>
    <w:rsid w:val="003A7A1A"/>
    <w:rsid w:val="003C14FE"/>
    <w:rsid w:val="003D080E"/>
    <w:rsid w:val="003F34BA"/>
    <w:rsid w:val="00411CF1"/>
    <w:rsid w:val="00431455"/>
    <w:rsid w:val="00464864"/>
    <w:rsid w:val="004A4CD7"/>
    <w:rsid w:val="004A7469"/>
    <w:rsid w:val="0054124F"/>
    <w:rsid w:val="00584D7A"/>
    <w:rsid w:val="00584E12"/>
    <w:rsid w:val="005A7E1A"/>
    <w:rsid w:val="005B51A0"/>
    <w:rsid w:val="005C649B"/>
    <w:rsid w:val="005D7753"/>
    <w:rsid w:val="00611C3B"/>
    <w:rsid w:val="00626202"/>
    <w:rsid w:val="00645B32"/>
    <w:rsid w:val="0068192A"/>
    <w:rsid w:val="006842D2"/>
    <w:rsid w:val="006D349B"/>
    <w:rsid w:val="00727102"/>
    <w:rsid w:val="00752099"/>
    <w:rsid w:val="00755ACD"/>
    <w:rsid w:val="0078147D"/>
    <w:rsid w:val="007974B7"/>
    <w:rsid w:val="007B77E7"/>
    <w:rsid w:val="007D1F3C"/>
    <w:rsid w:val="00804198"/>
    <w:rsid w:val="0082016E"/>
    <w:rsid w:val="008268BA"/>
    <w:rsid w:val="00844865"/>
    <w:rsid w:val="00851141"/>
    <w:rsid w:val="00877377"/>
    <w:rsid w:val="00891F4F"/>
    <w:rsid w:val="00893CB3"/>
    <w:rsid w:val="008A5677"/>
    <w:rsid w:val="008C356E"/>
    <w:rsid w:val="008F5C92"/>
    <w:rsid w:val="00911DA8"/>
    <w:rsid w:val="0091346A"/>
    <w:rsid w:val="009554F6"/>
    <w:rsid w:val="009A497F"/>
    <w:rsid w:val="009B7202"/>
    <w:rsid w:val="009B749E"/>
    <w:rsid w:val="009F14C5"/>
    <w:rsid w:val="009F1F4F"/>
    <w:rsid w:val="00A23A18"/>
    <w:rsid w:val="00A43C86"/>
    <w:rsid w:val="00A51D55"/>
    <w:rsid w:val="00A77177"/>
    <w:rsid w:val="00AE6D17"/>
    <w:rsid w:val="00AF2115"/>
    <w:rsid w:val="00AF6C39"/>
    <w:rsid w:val="00B2680B"/>
    <w:rsid w:val="00B3249F"/>
    <w:rsid w:val="00B419AE"/>
    <w:rsid w:val="00B56AC5"/>
    <w:rsid w:val="00B847A9"/>
    <w:rsid w:val="00B85921"/>
    <w:rsid w:val="00BB637C"/>
    <w:rsid w:val="00BC2E6C"/>
    <w:rsid w:val="00BF0E65"/>
    <w:rsid w:val="00BF60EB"/>
    <w:rsid w:val="00C03980"/>
    <w:rsid w:val="00C10124"/>
    <w:rsid w:val="00C3722D"/>
    <w:rsid w:val="00C41515"/>
    <w:rsid w:val="00C519C3"/>
    <w:rsid w:val="00C5209B"/>
    <w:rsid w:val="00C81815"/>
    <w:rsid w:val="00CA5D2F"/>
    <w:rsid w:val="00CB7353"/>
    <w:rsid w:val="00CD50B0"/>
    <w:rsid w:val="00D1579F"/>
    <w:rsid w:val="00D3554F"/>
    <w:rsid w:val="00D41807"/>
    <w:rsid w:val="00D75EAC"/>
    <w:rsid w:val="00D81066"/>
    <w:rsid w:val="00D82094"/>
    <w:rsid w:val="00D8383E"/>
    <w:rsid w:val="00D97528"/>
    <w:rsid w:val="00DC2BF8"/>
    <w:rsid w:val="00E00621"/>
    <w:rsid w:val="00E14852"/>
    <w:rsid w:val="00E21091"/>
    <w:rsid w:val="00E37600"/>
    <w:rsid w:val="00E44FA1"/>
    <w:rsid w:val="00E553F8"/>
    <w:rsid w:val="00E56058"/>
    <w:rsid w:val="00E86FE1"/>
    <w:rsid w:val="00EA599B"/>
    <w:rsid w:val="00EF0878"/>
    <w:rsid w:val="00EF6F0C"/>
    <w:rsid w:val="00F4678B"/>
    <w:rsid w:val="00F55A59"/>
    <w:rsid w:val="00F87A98"/>
    <w:rsid w:val="00F938A9"/>
    <w:rsid w:val="00FA2340"/>
    <w:rsid w:val="00FB2596"/>
    <w:rsid w:val="00FB7360"/>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199662D-F9D9-45C3-96D2-637290FCC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5D2F"/>
    <w:pPr>
      <w:spacing w:line="252"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5D2F"/>
    <w:pPr>
      <w:keepLines/>
      <w:spacing w:before="100" w:beforeAutospacing="1" w:after="100" w:afterAutospacing="1" w:line="240" w:lineRule="auto"/>
      <w:contextualSpacing/>
    </w:pPr>
    <w:rPr>
      <w:rFonts w:ascii="Times New Roman" w:hAnsi="Times New Roman"/>
      <w:sz w:val="24"/>
      <w:lang w:val="en-US"/>
    </w:rPr>
  </w:style>
  <w:style w:type="paragraph" w:styleId="ListParagraph">
    <w:name w:val="List Paragraph"/>
    <w:basedOn w:val="Normal"/>
    <w:uiPriority w:val="34"/>
    <w:qFormat/>
    <w:rsid w:val="0015161A"/>
    <w:pPr>
      <w:ind w:left="720"/>
      <w:contextualSpacing/>
    </w:pPr>
  </w:style>
  <w:style w:type="paragraph" w:styleId="Header">
    <w:name w:val="header"/>
    <w:basedOn w:val="Normal"/>
    <w:link w:val="HeaderChar"/>
    <w:uiPriority w:val="99"/>
    <w:unhideWhenUsed/>
    <w:rsid w:val="003861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61B1"/>
  </w:style>
  <w:style w:type="paragraph" w:styleId="Footer">
    <w:name w:val="footer"/>
    <w:basedOn w:val="Normal"/>
    <w:link w:val="FooterChar"/>
    <w:uiPriority w:val="99"/>
    <w:unhideWhenUsed/>
    <w:rsid w:val="003861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61B1"/>
  </w:style>
  <w:style w:type="paragraph" w:styleId="BalloonText">
    <w:name w:val="Balloon Text"/>
    <w:basedOn w:val="Normal"/>
    <w:link w:val="BalloonTextChar"/>
    <w:uiPriority w:val="99"/>
    <w:semiHidden/>
    <w:unhideWhenUsed/>
    <w:rsid w:val="001208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08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1395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578</TotalTime>
  <Pages>9</Pages>
  <Words>1482</Words>
  <Characters>8452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129</cp:revision>
  <cp:lastPrinted>2023-03-23T13:23:00Z</cp:lastPrinted>
  <dcterms:created xsi:type="dcterms:W3CDTF">2023-03-16T07:12:00Z</dcterms:created>
  <dcterms:modified xsi:type="dcterms:W3CDTF">2023-03-23T13:23:00Z</dcterms:modified>
</cp:coreProperties>
</file>