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D5ABB" w14:textId="77777777" w:rsidR="002862AC" w:rsidRDefault="002862AC" w:rsidP="002862AC">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BUCHWA IRON MINING COMPANY (PVT) LTD</w:t>
      </w:r>
    </w:p>
    <w:p w14:paraId="603EA015" w14:textId="77777777" w:rsidR="002862AC" w:rsidRDefault="002862AC" w:rsidP="002862AC">
      <w:pPr>
        <w:spacing w:line="360" w:lineRule="auto"/>
        <w:rPr>
          <w:rFonts w:ascii="Times New Roman" w:hAnsi="Times New Roman" w:cs="Times New Roman"/>
          <w:sz w:val="24"/>
          <w:szCs w:val="24"/>
        </w:rPr>
      </w:pPr>
      <w:r>
        <w:rPr>
          <w:rFonts w:ascii="Times New Roman" w:hAnsi="Times New Roman" w:cs="Times New Roman"/>
          <w:b/>
          <w:sz w:val="24"/>
          <w:szCs w:val="24"/>
        </w:rPr>
        <w:t>vs</w:t>
      </w:r>
    </w:p>
    <w:p w14:paraId="5D9031E6"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VUSANI DIAMOND GREY SIBANDA</w:t>
      </w:r>
    </w:p>
    <w:p w14:paraId="7FD73073"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14:paraId="7D6A9B31"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MARGARET SIBANDA</w:t>
      </w:r>
    </w:p>
    <w:p w14:paraId="7DD0AAE5" w14:textId="77777777" w:rsidR="002862AC" w:rsidRPr="002862AC" w:rsidRDefault="002862AC" w:rsidP="002862AC">
      <w:pPr>
        <w:spacing w:after="0" w:line="240" w:lineRule="auto"/>
        <w:rPr>
          <w:rFonts w:ascii="Times New Roman" w:hAnsi="Times New Roman" w:cs="Times New Roman"/>
          <w:b/>
          <w:i/>
          <w:sz w:val="24"/>
          <w:szCs w:val="24"/>
        </w:rPr>
      </w:pPr>
      <w:r>
        <w:rPr>
          <w:rFonts w:ascii="Times New Roman" w:hAnsi="Times New Roman" w:cs="Times New Roman"/>
          <w:b/>
          <w:sz w:val="24"/>
          <w:szCs w:val="24"/>
        </w:rPr>
        <w:t>(</w:t>
      </w:r>
      <w:r>
        <w:rPr>
          <w:rFonts w:ascii="Times New Roman" w:hAnsi="Times New Roman" w:cs="Times New Roman"/>
          <w:b/>
          <w:i/>
          <w:sz w:val="24"/>
          <w:szCs w:val="24"/>
        </w:rPr>
        <w:t>in her capacity as the Executrix Dative of the Estate Late Absalom Nganunu Sibanda)</w:t>
      </w:r>
    </w:p>
    <w:p w14:paraId="49391C63"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and </w:t>
      </w:r>
    </w:p>
    <w:p w14:paraId="2F02CBEC"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NJZ RESOURCES AFRICA (PVT) LTD</w:t>
      </w:r>
    </w:p>
    <w:p w14:paraId="1955DAED"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14:paraId="0DBC86CC"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NJZ RESOURCES (HK) LIMITED</w:t>
      </w:r>
    </w:p>
    <w:p w14:paraId="148C0BA4"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14:paraId="5BA749A6" w14:textId="77777777" w:rsidR="002862AC" w:rsidRDefault="002862AC" w:rsidP="002862AC">
      <w:pPr>
        <w:spacing w:after="0" w:line="240" w:lineRule="auto"/>
        <w:rPr>
          <w:rFonts w:ascii="Times New Roman" w:hAnsi="Times New Roman" w:cs="Times New Roman"/>
          <w:b/>
          <w:sz w:val="24"/>
          <w:szCs w:val="24"/>
        </w:rPr>
      </w:pPr>
      <w:r>
        <w:rPr>
          <w:rFonts w:ascii="Times New Roman" w:hAnsi="Times New Roman" w:cs="Times New Roman"/>
          <w:b/>
          <w:sz w:val="24"/>
          <w:szCs w:val="24"/>
        </w:rPr>
        <w:t>THE SHERIFF OF ZIMBABWE HIGH COURT, GWERU N.O</w:t>
      </w:r>
    </w:p>
    <w:p w14:paraId="3BC1528D" w14:textId="77777777" w:rsidR="002862AC" w:rsidRPr="002862AC" w:rsidRDefault="002862AC" w:rsidP="002862AC">
      <w:pPr>
        <w:spacing w:after="0" w:line="240" w:lineRule="auto"/>
        <w:rPr>
          <w:rFonts w:ascii="Times New Roman" w:hAnsi="Times New Roman" w:cs="Times New Roman"/>
          <w:b/>
          <w:sz w:val="24"/>
          <w:szCs w:val="24"/>
        </w:rPr>
      </w:pPr>
    </w:p>
    <w:p w14:paraId="0288BE9F" w14:textId="77777777" w:rsidR="002862AC" w:rsidRDefault="002862AC" w:rsidP="002862AC">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14:paraId="5305939B" w14:textId="77777777" w:rsidR="002862AC" w:rsidRDefault="002862AC" w:rsidP="002862AC">
      <w:pPr>
        <w:spacing w:after="0" w:line="240" w:lineRule="auto"/>
        <w:rPr>
          <w:rFonts w:ascii="Times New Roman" w:hAnsi="Times New Roman" w:cs="Times New Roman"/>
          <w:sz w:val="24"/>
          <w:szCs w:val="24"/>
        </w:rPr>
      </w:pPr>
      <w:r>
        <w:rPr>
          <w:rFonts w:ascii="Times New Roman" w:hAnsi="Times New Roman" w:cs="Times New Roman"/>
          <w:sz w:val="24"/>
          <w:szCs w:val="24"/>
        </w:rPr>
        <w:t>MUTEVEDZI J</w:t>
      </w:r>
    </w:p>
    <w:p w14:paraId="17FC83D8" w14:textId="59E4D675" w:rsidR="00B640BB" w:rsidRDefault="002862AC" w:rsidP="00A57E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BULAWAYO, </w:t>
      </w:r>
      <w:r w:rsidR="00884041">
        <w:rPr>
          <w:rFonts w:ascii="Times New Roman" w:hAnsi="Times New Roman" w:cs="Times New Roman"/>
          <w:sz w:val="24"/>
          <w:szCs w:val="24"/>
        </w:rPr>
        <w:t>30 June and 1</w:t>
      </w:r>
      <w:r w:rsidR="00845E19">
        <w:rPr>
          <w:rFonts w:ascii="Times New Roman" w:hAnsi="Times New Roman" w:cs="Times New Roman"/>
          <w:sz w:val="24"/>
          <w:szCs w:val="24"/>
        </w:rPr>
        <w:t>7</w:t>
      </w:r>
      <w:r w:rsidR="00884041">
        <w:rPr>
          <w:rFonts w:ascii="Times New Roman" w:hAnsi="Times New Roman" w:cs="Times New Roman"/>
          <w:sz w:val="24"/>
          <w:szCs w:val="24"/>
        </w:rPr>
        <w:t xml:space="preserve"> October</w:t>
      </w:r>
      <w:r>
        <w:rPr>
          <w:rFonts w:ascii="Times New Roman" w:hAnsi="Times New Roman" w:cs="Times New Roman"/>
          <w:sz w:val="24"/>
          <w:szCs w:val="24"/>
        </w:rPr>
        <w:t xml:space="preserve"> 2025</w:t>
      </w:r>
    </w:p>
    <w:p w14:paraId="3B042B82" w14:textId="2A05EE5F" w:rsidR="00CD58AA" w:rsidRDefault="00CD58AA" w:rsidP="00A57E25">
      <w:pPr>
        <w:spacing w:after="0" w:line="240" w:lineRule="auto"/>
        <w:rPr>
          <w:rFonts w:ascii="Times New Roman" w:hAnsi="Times New Roman" w:cs="Times New Roman"/>
          <w:sz w:val="24"/>
          <w:szCs w:val="24"/>
        </w:rPr>
      </w:pPr>
    </w:p>
    <w:p w14:paraId="40968BAD" w14:textId="043F2C5D" w:rsidR="00CD58AA" w:rsidRPr="00CD58AA" w:rsidRDefault="00C2253C" w:rsidP="00A57E25">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chamber application</w:t>
      </w:r>
    </w:p>
    <w:p w14:paraId="4D5ABA7A" w14:textId="77777777" w:rsidR="00A57E25" w:rsidRPr="00A57E25" w:rsidRDefault="00A57E25" w:rsidP="00A57E25">
      <w:pPr>
        <w:spacing w:after="0" w:line="240" w:lineRule="auto"/>
        <w:rPr>
          <w:rFonts w:ascii="Times New Roman" w:hAnsi="Times New Roman" w:cs="Times New Roman"/>
          <w:sz w:val="24"/>
          <w:szCs w:val="24"/>
        </w:rPr>
      </w:pPr>
    </w:p>
    <w:p w14:paraId="2CB0BF53" w14:textId="77777777" w:rsidR="002862AC" w:rsidRPr="00B640BB" w:rsidRDefault="00B640BB" w:rsidP="00EF4176">
      <w:pPr>
        <w:tabs>
          <w:tab w:val="center" w:pos="4680"/>
          <w:tab w:val="left" w:pos="5080"/>
        </w:tabs>
        <w:spacing w:after="0" w:line="240" w:lineRule="auto"/>
        <w:rPr>
          <w:rFonts w:ascii="Times New Roman" w:hAnsi="Times New Roman" w:cs="Times New Roman"/>
          <w:b/>
          <w:bCs/>
          <w:i/>
          <w:iCs/>
          <w:sz w:val="24"/>
          <w:szCs w:val="24"/>
        </w:rPr>
      </w:pPr>
      <w:r>
        <w:rPr>
          <w:rFonts w:ascii="Times New Roman" w:hAnsi="Times New Roman" w:cs="Times New Roman"/>
          <w:i/>
          <w:iCs/>
          <w:sz w:val="24"/>
          <w:szCs w:val="24"/>
        </w:rPr>
        <w:t>A.</w:t>
      </w:r>
      <w:r w:rsidRPr="00B640BB">
        <w:rPr>
          <w:rFonts w:ascii="Times New Roman" w:hAnsi="Times New Roman" w:cs="Times New Roman"/>
          <w:i/>
          <w:iCs/>
          <w:sz w:val="24"/>
          <w:szCs w:val="24"/>
        </w:rPr>
        <w:t xml:space="preserve">Mtima </w:t>
      </w:r>
      <w:r w:rsidR="002862AC" w:rsidRPr="00B640BB">
        <w:rPr>
          <w:rFonts w:ascii="Times New Roman" w:hAnsi="Times New Roman" w:cs="Times New Roman"/>
          <w:i/>
          <w:iCs/>
          <w:sz w:val="24"/>
          <w:szCs w:val="24"/>
        </w:rPr>
        <w:t>,</w:t>
      </w:r>
      <w:r w:rsidR="002862AC" w:rsidRPr="00B640BB">
        <w:rPr>
          <w:rFonts w:ascii="Times New Roman" w:hAnsi="Times New Roman" w:cs="Times New Roman"/>
          <w:i/>
          <w:sz w:val="24"/>
          <w:szCs w:val="24"/>
        </w:rPr>
        <w:t xml:space="preserve"> </w:t>
      </w:r>
      <w:r w:rsidR="002862AC" w:rsidRPr="00B640BB">
        <w:rPr>
          <w:rFonts w:ascii="Times New Roman" w:hAnsi="Times New Roman" w:cs="Times New Roman"/>
          <w:sz w:val="24"/>
          <w:szCs w:val="24"/>
        </w:rPr>
        <w:t xml:space="preserve">for the </w:t>
      </w:r>
      <w:r w:rsidR="00884041">
        <w:rPr>
          <w:rFonts w:ascii="Times New Roman" w:hAnsi="Times New Roman" w:cs="Times New Roman"/>
          <w:sz w:val="24"/>
          <w:szCs w:val="24"/>
        </w:rPr>
        <w:t>a</w:t>
      </w:r>
      <w:r>
        <w:rPr>
          <w:rFonts w:ascii="Times New Roman" w:hAnsi="Times New Roman" w:cs="Times New Roman"/>
          <w:sz w:val="24"/>
          <w:szCs w:val="24"/>
        </w:rPr>
        <w:t>pplicant</w:t>
      </w:r>
    </w:p>
    <w:p w14:paraId="13A8A74D" w14:textId="77777777" w:rsidR="002862AC" w:rsidRDefault="00B640BB" w:rsidP="00EF4176">
      <w:pPr>
        <w:spacing w:after="0" w:line="240" w:lineRule="auto"/>
        <w:rPr>
          <w:rFonts w:ascii="Times New Roman" w:hAnsi="Times New Roman" w:cs="Times New Roman"/>
          <w:sz w:val="24"/>
          <w:szCs w:val="24"/>
        </w:rPr>
      </w:pPr>
      <w:r>
        <w:rPr>
          <w:rFonts w:ascii="Times New Roman" w:hAnsi="Times New Roman" w:cs="Times New Roman"/>
          <w:i/>
          <w:sz w:val="24"/>
          <w:szCs w:val="24"/>
        </w:rPr>
        <w:t>W.T.Mandinde</w:t>
      </w:r>
      <w:r w:rsidR="002862AC">
        <w:rPr>
          <w:rFonts w:ascii="Times New Roman" w:hAnsi="Times New Roman" w:cs="Times New Roman"/>
          <w:i/>
          <w:sz w:val="24"/>
          <w:szCs w:val="24"/>
        </w:rPr>
        <w:t xml:space="preserve">, </w:t>
      </w:r>
      <w:r w:rsidR="002862AC">
        <w:rPr>
          <w:rFonts w:ascii="Times New Roman" w:hAnsi="Times New Roman" w:cs="Times New Roman"/>
          <w:sz w:val="24"/>
          <w:szCs w:val="24"/>
        </w:rPr>
        <w:t xml:space="preserve">for the </w:t>
      </w:r>
      <w:r w:rsidR="00884041">
        <w:rPr>
          <w:rFonts w:ascii="Times New Roman" w:hAnsi="Times New Roman" w:cs="Times New Roman"/>
          <w:sz w:val="24"/>
          <w:szCs w:val="24"/>
        </w:rPr>
        <w:t>first r</w:t>
      </w:r>
      <w:r>
        <w:rPr>
          <w:rFonts w:ascii="Times New Roman" w:hAnsi="Times New Roman" w:cs="Times New Roman"/>
          <w:sz w:val="24"/>
          <w:szCs w:val="24"/>
        </w:rPr>
        <w:t>espondent</w:t>
      </w:r>
    </w:p>
    <w:p w14:paraId="4826E7C6" w14:textId="77777777" w:rsidR="00A57E25" w:rsidRPr="00884041" w:rsidRDefault="00884041" w:rsidP="00EF4176">
      <w:pPr>
        <w:spacing w:after="0" w:line="240" w:lineRule="auto"/>
        <w:rPr>
          <w:rFonts w:ascii="Times New Roman" w:hAnsi="Times New Roman" w:cs="Times New Roman"/>
          <w:sz w:val="24"/>
          <w:szCs w:val="24"/>
        </w:rPr>
      </w:pPr>
      <w:r w:rsidRPr="00884041">
        <w:rPr>
          <w:rFonts w:ascii="Times New Roman" w:hAnsi="Times New Roman" w:cs="Times New Roman"/>
          <w:sz w:val="24"/>
          <w:szCs w:val="24"/>
        </w:rPr>
        <w:t>No appearance for second to fifth</w:t>
      </w:r>
      <w:r w:rsidR="00EF4176" w:rsidRPr="00884041">
        <w:rPr>
          <w:rFonts w:ascii="Times New Roman" w:hAnsi="Times New Roman" w:cs="Times New Roman"/>
          <w:sz w:val="24"/>
          <w:szCs w:val="24"/>
        </w:rPr>
        <w:t xml:space="preserve"> </w:t>
      </w:r>
      <w:r w:rsidRPr="00884041">
        <w:rPr>
          <w:rFonts w:ascii="Times New Roman" w:hAnsi="Times New Roman" w:cs="Times New Roman"/>
          <w:sz w:val="24"/>
          <w:szCs w:val="24"/>
        </w:rPr>
        <w:t>r</w:t>
      </w:r>
      <w:r w:rsidR="00EF4176" w:rsidRPr="00884041">
        <w:rPr>
          <w:rFonts w:ascii="Times New Roman" w:hAnsi="Times New Roman" w:cs="Times New Roman"/>
          <w:sz w:val="24"/>
          <w:szCs w:val="24"/>
        </w:rPr>
        <w:t>espondent</w:t>
      </w:r>
      <w:r w:rsidRPr="00884041">
        <w:rPr>
          <w:rFonts w:ascii="Times New Roman" w:hAnsi="Times New Roman" w:cs="Times New Roman"/>
          <w:sz w:val="24"/>
          <w:szCs w:val="24"/>
        </w:rPr>
        <w:t>s</w:t>
      </w:r>
    </w:p>
    <w:p w14:paraId="1796769E" w14:textId="77777777" w:rsidR="00EF4176" w:rsidRDefault="00EF4176" w:rsidP="00EF4176">
      <w:pPr>
        <w:spacing w:after="0" w:line="240" w:lineRule="auto"/>
        <w:rPr>
          <w:rFonts w:ascii="Times New Roman" w:hAnsi="Times New Roman" w:cs="Times New Roman"/>
          <w:sz w:val="24"/>
          <w:szCs w:val="24"/>
        </w:rPr>
      </w:pPr>
    </w:p>
    <w:p w14:paraId="4148B463" w14:textId="7CD9A37F" w:rsidR="00745756" w:rsidRDefault="00200C30" w:rsidP="00745756">
      <w:pPr>
        <w:spacing w:after="0" w:line="360" w:lineRule="auto"/>
        <w:ind w:firstLine="360"/>
        <w:jc w:val="both"/>
        <w:rPr>
          <w:rFonts w:ascii="Times New Roman" w:hAnsi="Times New Roman" w:cs="Times New Roman"/>
          <w:sz w:val="24"/>
          <w:szCs w:val="24"/>
        </w:rPr>
      </w:pPr>
      <w:r>
        <w:rPr>
          <w:rFonts w:ascii="Times New Roman" w:hAnsi="Times New Roman" w:cs="Times New Roman"/>
          <w:b/>
          <w:sz w:val="24"/>
          <w:szCs w:val="24"/>
        </w:rPr>
        <w:t xml:space="preserve">MUTEVEDZI J: </w:t>
      </w:r>
      <w:r w:rsidR="0080405C">
        <w:rPr>
          <w:rFonts w:ascii="Times New Roman" w:hAnsi="Times New Roman" w:cs="Times New Roman"/>
          <w:sz w:val="24"/>
          <w:szCs w:val="24"/>
        </w:rPr>
        <w:t>Th</w:t>
      </w:r>
      <w:r w:rsidR="00D101CD">
        <w:rPr>
          <w:rFonts w:ascii="Times New Roman" w:hAnsi="Times New Roman" w:cs="Times New Roman"/>
          <w:sz w:val="24"/>
          <w:szCs w:val="24"/>
        </w:rPr>
        <w:t>e applicant anchored its argument in this application, on</w:t>
      </w:r>
      <w:r w:rsidR="0080405C">
        <w:rPr>
          <w:rFonts w:ascii="Times New Roman" w:hAnsi="Times New Roman" w:cs="Times New Roman"/>
          <w:sz w:val="24"/>
          <w:szCs w:val="24"/>
        </w:rPr>
        <w:t xml:space="preserve"> the interpretation of r 32(8) of the High Court Rules, 2021 (the Rules). </w:t>
      </w:r>
      <w:r w:rsidR="00D101CD">
        <w:rPr>
          <w:rFonts w:ascii="Times New Roman" w:hAnsi="Times New Roman" w:cs="Times New Roman"/>
          <w:sz w:val="24"/>
          <w:szCs w:val="24"/>
        </w:rPr>
        <w:t>Although that interpretation is not the ratio of my decision herein, m</w:t>
      </w:r>
      <w:r w:rsidR="0080405C">
        <w:rPr>
          <w:rFonts w:ascii="Times New Roman" w:hAnsi="Times New Roman" w:cs="Times New Roman"/>
          <w:sz w:val="24"/>
          <w:szCs w:val="24"/>
        </w:rPr>
        <w:t>y view is that the rule was never intended to be a reprieve to a litigant who deliberately cites a dead person as a party to proceedings with the full knowledge that such person is deceased</w:t>
      </w:r>
      <w:r w:rsidR="00884041">
        <w:rPr>
          <w:rFonts w:ascii="Times New Roman" w:hAnsi="Times New Roman" w:cs="Times New Roman"/>
          <w:sz w:val="24"/>
          <w:szCs w:val="24"/>
        </w:rPr>
        <w:t xml:space="preserve"> at the time the suit is instituted</w:t>
      </w:r>
      <w:r w:rsidR="0080405C">
        <w:rPr>
          <w:rFonts w:ascii="Times New Roman" w:hAnsi="Times New Roman" w:cs="Times New Roman"/>
          <w:sz w:val="24"/>
          <w:szCs w:val="24"/>
        </w:rPr>
        <w:t>, to be able to later change his/her/its mind and substitute the deceased with the executor of his/her estate.</w:t>
      </w:r>
    </w:p>
    <w:p w14:paraId="03D6C745" w14:textId="306C2EB5" w:rsidR="0080405C" w:rsidRDefault="0080405C" w:rsidP="0074575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14:paraId="61A7584F" w14:textId="77699828" w:rsidR="0033201D" w:rsidRPr="006632D1" w:rsidRDefault="0033201D" w:rsidP="0033201D">
      <w:pPr>
        <w:pStyle w:val="ListParagraph"/>
        <w:numPr>
          <w:ilvl w:val="0"/>
          <w:numId w:val="7"/>
        </w:numPr>
        <w:spacing w:after="0" w:line="360" w:lineRule="auto"/>
        <w:jc w:val="both"/>
        <w:rPr>
          <w:rFonts w:ascii="Times New Roman" w:hAnsi="Times New Roman" w:cs="Times New Roman"/>
          <w:sz w:val="24"/>
          <w:szCs w:val="24"/>
        </w:rPr>
      </w:pPr>
      <w:r w:rsidRPr="006632D1">
        <w:rPr>
          <w:rFonts w:ascii="Times New Roman" w:hAnsi="Times New Roman" w:cs="Times New Roman"/>
          <w:sz w:val="24"/>
          <w:szCs w:val="24"/>
        </w:rPr>
        <w:t xml:space="preserve">The </w:t>
      </w:r>
      <w:r w:rsidR="00625ADE" w:rsidRPr="006632D1">
        <w:rPr>
          <w:rFonts w:ascii="Times New Roman" w:hAnsi="Times New Roman" w:cs="Times New Roman"/>
          <w:sz w:val="24"/>
          <w:szCs w:val="24"/>
        </w:rPr>
        <w:t>background to the dispute is that, on 28 March 2023, the a</w:t>
      </w:r>
      <w:r w:rsidRPr="006632D1">
        <w:rPr>
          <w:rFonts w:ascii="Times New Roman" w:hAnsi="Times New Roman" w:cs="Times New Roman"/>
          <w:sz w:val="24"/>
          <w:szCs w:val="24"/>
        </w:rPr>
        <w:t>pplicant</w:t>
      </w:r>
      <w:r w:rsidR="00625ADE" w:rsidRPr="006632D1">
        <w:rPr>
          <w:rFonts w:ascii="Times New Roman" w:hAnsi="Times New Roman" w:cs="Times New Roman"/>
          <w:sz w:val="24"/>
          <w:szCs w:val="24"/>
        </w:rPr>
        <w:t xml:space="preserve">, a duly registered mining entity, </w:t>
      </w:r>
      <w:r w:rsidRPr="006632D1">
        <w:rPr>
          <w:rFonts w:ascii="Times New Roman" w:hAnsi="Times New Roman" w:cs="Times New Roman"/>
          <w:sz w:val="24"/>
          <w:szCs w:val="24"/>
        </w:rPr>
        <w:t xml:space="preserve">filed </w:t>
      </w:r>
      <w:r w:rsidR="00D101CD">
        <w:rPr>
          <w:rFonts w:ascii="Times New Roman" w:hAnsi="Times New Roman" w:cs="Times New Roman"/>
          <w:sz w:val="24"/>
          <w:szCs w:val="24"/>
        </w:rPr>
        <w:t xml:space="preserve">a </w:t>
      </w:r>
      <w:r w:rsidRPr="006632D1">
        <w:rPr>
          <w:rFonts w:ascii="Times New Roman" w:hAnsi="Times New Roman" w:cs="Times New Roman"/>
          <w:sz w:val="24"/>
          <w:szCs w:val="24"/>
        </w:rPr>
        <w:t xml:space="preserve">court application </w:t>
      </w:r>
      <w:r w:rsidR="00625ADE" w:rsidRPr="006632D1">
        <w:rPr>
          <w:rFonts w:ascii="Times New Roman" w:hAnsi="Times New Roman" w:cs="Times New Roman"/>
          <w:sz w:val="24"/>
          <w:szCs w:val="24"/>
        </w:rPr>
        <w:t xml:space="preserve">challenging the </w:t>
      </w:r>
      <w:r w:rsidRPr="006632D1">
        <w:rPr>
          <w:rFonts w:ascii="Times New Roman" w:hAnsi="Times New Roman" w:cs="Times New Roman"/>
          <w:sz w:val="24"/>
          <w:szCs w:val="24"/>
        </w:rPr>
        <w:t xml:space="preserve">confirmation of a sale </w:t>
      </w:r>
      <w:r w:rsidR="00625ADE" w:rsidRPr="006632D1">
        <w:rPr>
          <w:rFonts w:ascii="Times New Roman" w:hAnsi="Times New Roman" w:cs="Times New Roman"/>
          <w:sz w:val="24"/>
          <w:szCs w:val="24"/>
        </w:rPr>
        <w:t xml:space="preserve">in </w:t>
      </w:r>
      <w:r w:rsidRPr="006632D1">
        <w:rPr>
          <w:rFonts w:ascii="Times New Roman" w:hAnsi="Times New Roman" w:cs="Times New Roman"/>
          <w:sz w:val="24"/>
          <w:szCs w:val="24"/>
        </w:rPr>
        <w:t>executio</w:t>
      </w:r>
      <w:r w:rsidR="00625ADE" w:rsidRPr="006632D1">
        <w:rPr>
          <w:rFonts w:ascii="Times New Roman" w:hAnsi="Times New Roman" w:cs="Times New Roman"/>
          <w:sz w:val="24"/>
          <w:szCs w:val="24"/>
        </w:rPr>
        <w:t>n. The applicant alleged that the sale in execution was pursuant to a judgment debt</w:t>
      </w:r>
      <w:r w:rsidR="00D101CD">
        <w:rPr>
          <w:rFonts w:ascii="Times New Roman" w:hAnsi="Times New Roman" w:cs="Times New Roman"/>
          <w:sz w:val="24"/>
          <w:szCs w:val="24"/>
        </w:rPr>
        <w:t xml:space="preserve"> granted </w:t>
      </w:r>
      <w:r w:rsidR="00625ADE" w:rsidRPr="006632D1">
        <w:rPr>
          <w:rFonts w:ascii="Times New Roman" w:hAnsi="Times New Roman" w:cs="Times New Roman"/>
          <w:sz w:val="24"/>
          <w:szCs w:val="24"/>
        </w:rPr>
        <w:t xml:space="preserve"> in favour of the first respondent and others</w:t>
      </w:r>
      <w:r w:rsidR="000E073C">
        <w:rPr>
          <w:rFonts w:ascii="Times New Roman" w:hAnsi="Times New Roman" w:cs="Times New Roman"/>
          <w:sz w:val="24"/>
          <w:szCs w:val="24"/>
        </w:rPr>
        <w:t>,</w:t>
      </w:r>
      <w:r w:rsidR="00625ADE" w:rsidRPr="006632D1">
        <w:rPr>
          <w:rFonts w:ascii="Times New Roman" w:hAnsi="Times New Roman" w:cs="Times New Roman"/>
          <w:sz w:val="24"/>
          <w:szCs w:val="24"/>
        </w:rPr>
        <w:t xml:space="preserve"> yet the property which was the subject of the sale belonged to it and had been attached at its </w:t>
      </w:r>
      <w:r w:rsidRPr="006632D1">
        <w:rPr>
          <w:rFonts w:ascii="Times New Roman" w:hAnsi="Times New Roman" w:cs="Times New Roman"/>
          <w:sz w:val="24"/>
          <w:szCs w:val="24"/>
        </w:rPr>
        <w:t xml:space="preserve">Mukwakwe Plant </w:t>
      </w:r>
      <w:r w:rsidR="00625ADE" w:rsidRPr="006632D1">
        <w:rPr>
          <w:rFonts w:ascii="Times New Roman" w:hAnsi="Times New Roman" w:cs="Times New Roman"/>
          <w:sz w:val="24"/>
          <w:szCs w:val="24"/>
        </w:rPr>
        <w:t xml:space="preserve">at </w:t>
      </w:r>
      <w:r w:rsidRPr="006632D1">
        <w:rPr>
          <w:rFonts w:ascii="Times New Roman" w:hAnsi="Times New Roman" w:cs="Times New Roman"/>
          <w:sz w:val="24"/>
          <w:szCs w:val="24"/>
        </w:rPr>
        <w:t xml:space="preserve">Site 338 in Mberengwa. </w:t>
      </w:r>
      <w:r w:rsidR="00625ADE" w:rsidRPr="006632D1">
        <w:rPr>
          <w:rFonts w:ascii="Times New Roman" w:hAnsi="Times New Roman" w:cs="Times New Roman"/>
          <w:sz w:val="24"/>
          <w:szCs w:val="24"/>
        </w:rPr>
        <w:t xml:space="preserve">It further argued that it had not been a party to the litigation which led to the sale in execution. Put differently, </w:t>
      </w:r>
      <w:r w:rsidR="00625ADE" w:rsidRPr="006632D1">
        <w:rPr>
          <w:rFonts w:ascii="Times New Roman" w:hAnsi="Times New Roman" w:cs="Times New Roman"/>
          <w:sz w:val="24"/>
          <w:szCs w:val="24"/>
        </w:rPr>
        <w:lastRenderedPageBreak/>
        <w:t xml:space="preserve">the applicant said it had nothing to do with the judgment debt. </w:t>
      </w:r>
      <w:r w:rsidR="00D101CD">
        <w:rPr>
          <w:rFonts w:ascii="Times New Roman" w:hAnsi="Times New Roman" w:cs="Times New Roman"/>
          <w:sz w:val="24"/>
          <w:szCs w:val="24"/>
        </w:rPr>
        <w:t>Vusani Diamond Grey Sibanda (t</w:t>
      </w:r>
      <w:r w:rsidRPr="006632D1">
        <w:rPr>
          <w:rFonts w:ascii="Times New Roman" w:hAnsi="Times New Roman" w:cs="Times New Roman"/>
          <w:sz w:val="24"/>
          <w:szCs w:val="24"/>
        </w:rPr>
        <w:t xml:space="preserve">he </w:t>
      </w:r>
      <w:r w:rsidR="00B85C6C" w:rsidRPr="006632D1">
        <w:rPr>
          <w:rFonts w:ascii="Times New Roman" w:hAnsi="Times New Roman" w:cs="Times New Roman"/>
          <w:sz w:val="24"/>
          <w:szCs w:val="24"/>
        </w:rPr>
        <w:t>first</w:t>
      </w:r>
      <w:r w:rsidRPr="006632D1">
        <w:rPr>
          <w:rFonts w:ascii="Times New Roman" w:hAnsi="Times New Roman" w:cs="Times New Roman"/>
          <w:sz w:val="24"/>
          <w:szCs w:val="24"/>
        </w:rPr>
        <w:t xml:space="preserve"> </w:t>
      </w:r>
      <w:r w:rsidR="00B85C6C" w:rsidRPr="006632D1">
        <w:rPr>
          <w:rFonts w:ascii="Times New Roman" w:hAnsi="Times New Roman" w:cs="Times New Roman"/>
          <w:sz w:val="24"/>
          <w:szCs w:val="24"/>
        </w:rPr>
        <w:t>r</w:t>
      </w:r>
      <w:r w:rsidRPr="006632D1">
        <w:rPr>
          <w:rFonts w:ascii="Times New Roman" w:hAnsi="Times New Roman" w:cs="Times New Roman"/>
          <w:sz w:val="24"/>
          <w:szCs w:val="24"/>
        </w:rPr>
        <w:t>espondent herein</w:t>
      </w:r>
      <w:r w:rsidR="00D101CD">
        <w:rPr>
          <w:rFonts w:ascii="Times New Roman" w:hAnsi="Times New Roman" w:cs="Times New Roman"/>
          <w:sz w:val="24"/>
          <w:szCs w:val="24"/>
        </w:rPr>
        <w:t>),</w:t>
      </w:r>
      <w:r w:rsidRPr="006632D1">
        <w:rPr>
          <w:rFonts w:ascii="Times New Roman" w:hAnsi="Times New Roman" w:cs="Times New Roman"/>
          <w:sz w:val="24"/>
          <w:szCs w:val="24"/>
        </w:rPr>
        <w:t xml:space="preserve"> was the highest bidder at the </w:t>
      </w:r>
      <w:r w:rsidR="00B85C6C" w:rsidRPr="006632D1">
        <w:rPr>
          <w:rFonts w:ascii="Times New Roman" w:hAnsi="Times New Roman" w:cs="Times New Roman"/>
          <w:sz w:val="24"/>
          <w:szCs w:val="24"/>
        </w:rPr>
        <w:t xml:space="preserve">sale in execution which was conducted by the fifth respondent. In addition, the applicant further argued that the sale itself had been conducted without its knowledge. </w:t>
      </w:r>
    </w:p>
    <w:p w14:paraId="6BF3A8E4" w14:textId="17A4BC76" w:rsidR="00B85C6C" w:rsidRDefault="00B85C6C" w:rsidP="00B85C6C">
      <w:pPr>
        <w:pStyle w:val="ListParagraph"/>
        <w:numPr>
          <w:ilvl w:val="0"/>
          <w:numId w:val="7"/>
        </w:numPr>
        <w:spacing w:after="0" w:line="360" w:lineRule="auto"/>
        <w:jc w:val="both"/>
        <w:rPr>
          <w:rFonts w:ascii="Times New Roman" w:hAnsi="Times New Roman" w:cs="Times New Roman"/>
          <w:sz w:val="24"/>
          <w:szCs w:val="24"/>
        </w:rPr>
      </w:pPr>
      <w:r w:rsidRPr="006632D1">
        <w:rPr>
          <w:rFonts w:ascii="Times New Roman" w:hAnsi="Times New Roman" w:cs="Times New Roman"/>
          <w:sz w:val="24"/>
          <w:szCs w:val="24"/>
        </w:rPr>
        <w:t xml:space="preserve">The </w:t>
      </w:r>
      <w:r w:rsidR="002E5D1B" w:rsidRPr="006632D1">
        <w:rPr>
          <w:rFonts w:ascii="Times New Roman" w:hAnsi="Times New Roman" w:cs="Times New Roman"/>
          <w:sz w:val="24"/>
          <w:szCs w:val="24"/>
        </w:rPr>
        <w:t xml:space="preserve">applicant’s application </w:t>
      </w:r>
      <w:r w:rsidR="00D101CD">
        <w:rPr>
          <w:rFonts w:ascii="Times New Roman" w:hAnsi="Times New Roman" w:cs="Times New Roman"/>
          <w:sz w:val="24"/>
          <w:szCs w:val="24"/>
        </w:rPr>
        <w:t>challenging the confirmation of the sale</w:t>
      </w:r>
      <w:r w:rsidR="002E5D1B" w:rsidRPr="006632D1">
        <w:rPr>
          <w:rFonts w:ascii="Times New Roman" w:hAnsi="Times New Roman" w:cs="Times New Roman"/>
          <w:sz w:val="24"/>
          <w:szCs w:val="24"/>
        </w:rPr>
        <w:t xml:space="preserve"> </w:t>
      </w:r>
      <w:r w:rsidRPr="006632D1">
        <w:rPr>
          <w:rFonts w:ascii="Times New Roman" w:hAnsi="Times New Roman" w:cs="Times New Roman"/>
          <w:sz w:val="24"/>
          <w:szCs w:val="24"/>
        </w:rPr>
        <w:t xml:space="preserve">was set down for hearing on 1 October 2024. On the date of hearing, the applicant </w:t>
      </w:r>
      <w:r w:rsidR="002E5D1B" w:rsidRPr="006632D1">
        <w:rPr>
          <w:rFonts w:ascii="Times New Roman" w:hAnsi="Times New Roman" w:cs="Times New Roman"/>
          <w:sz w:val="24"/>
          <w:szCs w:val="24"/>
        </w:rPr>
        <w:t xml:space="preserve">then </w:t>
      </w:r>
      <w:r w:rsidR="002E5D1B">
        <w:rPr>
          <w:rFonts w:ascii="Times New Roman" w:hAnsi="Times New Roman" w:cs="Times New Roman"/>
          <w:sz w:val="24"/>
          <w:szCs w:val="24"/>
        </w:rPr>
        <w:t>sought the removal of the application from the roll</w:t>
      </w:r>
      <w:r w:rsidRPr="00B85C6C">
        <w:rPr>
          <w:rFonts w:ascii="Times New Roman" w:hAnsi="Times New Roman" w:cs="Times New Roman"/>
          <w:sz w:val="24"/>
          <w:szCs w:val="24"/>
        </w:rPr>
        <w:t xml:space="preserve"> </w:t>
      </w:r>
      <w:r w:rsidR="002E5D1B">
        <w:rPr>
          <w:rFonts w:ascii="Times New Roman" w:hAnsi="Times New Roman" w:cs="Times New Roman"/>
          <w:sz w:val="24"/>
          <w:szCs w:val="24"/>
        </w:rPr>
        <w:t xml:space="preserve">ostensibly to enable it </w:t>
      </w:r>
      <w:r w:rsidR="002E5D1B" w:rsidRPr="00B85C6C">
        <w:rPr>
          <w:rFonts w:ascii="Times New Roman" w:hAnsi="Times New Roman" w:cs="Times New Roman"/>
          <w:sz w:val="24"/>
          <w:szCs w:val="24"/>
        </w:rPr>
        <w:t>to</w:t>
      </w:r>
      <w:r w:rsidRPr="00B85C6C">
        <w:rPr>
          <w:rFonts w:ascii="Times New Roman" w:hAnsi="Times New Roman" w:cs="Times New Roman"/>
          <w:sz w:val="24"/>
          <w:szCs w:val="24"/>
        </w:rPr>
        <w:t xml:space="preserve"> serve </w:t>
      </w:r>
      <w:r w:rsidR="002E5D1B">
        <w:rPr>
          <w:rFonts w:ascii="Times New Roman" w:hAnsi="Times New Roman" w:cs="Times New Roman"/>
          <w:sz w:val="24"/>
          <w:szCs w:val="24"/>
        </w:rPr>
        <w:t>the application on the second r</w:t>
      </w:r>
      <w:r w:rsidRPr="00B85C6C">
        <w:rPr>
          <w:rFonts w:ascii="Times New Roman" w:hAnsi="Times New Roman" w:cs="Times New Roman"/>
          <w:sz w:val="24"/>
          <w:szCs w:val="24"/>
        </w:rPr>
        <w:t xml:space="preserve">espondent </w:t>
      </w:r>
      <w:r w:rsidR="002E5D1B" w:rsidRPr="009B7445">
        <w:rPr>
          <w:rFonts w:ascii="Times New Roman" w:hAnsi="Times New Roman" w:cs="Times New Roman"/>
          <w:i/>
          <w:sz w:val="24"/>
          <w:szCs w:val="24"/>
        </w:rPr>
        <w:t>Margaret Sibanda</w:t>
      </w:r>
      <w:r w:rsidR="009B7445">
        <w:rPr>
          <w:rFonts w:ascii="Times New Roman" w:hAnsi="Times New Roman" w:cs="Times New Roman"/>
          <w:sz w:val="24"/>
          <w:szCs w:val="24"/>
        </w:rPr>
        <w:t xml:space="preserve"> (Margaret)</w:t>
      </w:r>
      <w:r w:rsidR="002E5D1B">
        <w:rPr>
          <w:rFonts w:ascii="Times New Roman" w:hAnsi="Times New Roman" w:cs="Times New Roman"/>
          <w:sz w:val="24"/>
          <w:szCs w:val="24"/>
        </w:rPr>
        <w:t>.</w:t>
      </w:r>
      <w:r w:rsidR="00D101CD">
        <w:rPr>
          <w:rFonts w:ascii="Times New Roman" w:hAnsi="Times New Roman" w:cs="Times New Roman"/>
          <w:sz w:val="24"/>
          <w:szCs w:val="24"/>
        </w:rPr>
        <w:t xml:space="preserve"> Margaret</w:t>
      </w:r>
      <w:r w:rsidR="002E5D1B">
        <w:rPr>
          <w:rFonts w:ascii="Times New Roman" w:hAnsi="Times New Roman" w:cs="Times New Roman"/>
          <w:sz w:val="24"/>
          <w:szCs w:val="24"/>
        </w:rPr>
        <w:t xml:space="preserve"> had been appointed executrix dative of Estate Late Absolom Sibanda, </w:t>
      </w:r>
      <w:r w:rsidRPr="00B85C6C">
        <w:rPr>
          <w:rFonts w:ascii="Times New Roman" w:hAnsi="Times New Roman" w:cs="Times New Roman"/>
          <w:sz w:val="24"/>
          <w:szCs w:val="24"/>
        </w:rPr>
        <w:t xml:space="preserve">after </w:t>
      </w:r>
      <w:r w:rsidR="002E5D1B">
        <w:rPr>
          <w:rFonts w:ascii="Times New Roman" w:hAnsi="Times New Roman" w:cs="Times New Roman"/>
          <w:sz w:val="24"/>
          <w:szCs w:val="24"/>
        </w:rPr>
        <w:t xml:space="preserve">the </w:t>
      </w:r>
      <w:r w:rsidRPr="00B85C6C">
        <w:rPr>
          <w:rFonts w:ascii="Times New Roman" w:hAnsi="Times New Roman" w:cs="Times New Roman"/>
          <w:sz w:val="24"/>
          <w:szCs w:val="24"/>
        </w:rPr>
        <w:t xml:space="preserve">passing </w:t>
      </w:r>
      <w:r w:rsidR="002E5D1B">
        <w:rPr>
          <w:rFonts w:ascii="Times New Roman" w:hAnsi="Times New Roman" w:cs="Times New Roman"/>
          <w:sz w:val="24"/>
          <w:szCs w:val="24"/>
        </w:rPr>
        <w:t xml:space="preserve">on </w:t>
      </w:r>
      <w:r w:rsidRPr="00B85C6C">
        <w:rPr>
          <w:rFonts w:ascii="Times New Roman" w:hAnsi="Times New Roman" w:cs="Times New Roman"/>
          <w:sz w:val="24"/>
          <w:szCs w:val="24"/>
        </w:rPr>
        <w:t xml:space="preserve">of </w:t>
      </w:r>
      <w:r w:rsidRPr="002E5D1B">
        <w:rPr>
          <w:rFonts w:ascii="Times New Roman" w:hAnsi="Times New Roman" w:cs="Times New Roman"/>
          <w:i/>
          <w:sz w:val="24"/>
          <w:szCs w:val="24"/>
        </w:rPr>
        <w:t>Absolom Nganunu Sibanda</w:t>
      </w:r>
      <w:r w:rsidR="002E5D1B">
        <w:rPr>
          <w:rFonts w:ascii="Times New Roman" w:hAnsi="Times New Roman" w:cs="Times New Roman"/>
          <w:i/>
          <w:sz w:val="24"/>
          <w:szCs w:val="24"/>
        </w:rPr>
        <w:t xml:space="preserve"> </w:t>
      </w:r>
      <w:r w:rsidR="002E5D1B" w:rsidRPr="002E5D1B">
        <w:rPr>
          <w:rFonts w:ascii="Times New Roman" w:hAnsi="Times New Roman" w:cs="Times New Roman"/>
          <w:sz w:val="24"/>
          <w:szCs w:val="24"/>
        </w:rPr>
        <w:t>(Absolom), who</w:t>
      </w:r>
      <w:r w:rsidR="002E5D1B">
        <w:rPr>
          <w:rFonts w:ascii="Times New Roman" w:hAnsi="Times New Roman" w:cs="Times New Roman"/>
          <w:sz w:val="24"/>
          <w:szCs w:val="24"/>
        </w:rPr>
        <w:t xml:space="preserve">, at the inception of the proceedings, </w:t>
      </w:r>
      <w:r w:rsidR="002E5D1B" w:rsidRPr="002E5D1B">
        <w:rPr>
          <w:rFonts w:ascii="Times New Roman" w:hAnsi="Times New Roman" w:cs="Times New Roman"/>
          <w:sz w:val="24"/>
          <w:szCs w:val="24"/>
        </w:rPr>
        <w:t xml:space="preserve">was the </w:t>
      </w:r>
      <w:r w:rsidR="002E5D1B">
        <w:rPr>
          <w:rFonts w:ascii="Times New Roman" w:hAnsi="Times New Roman" w:cs="Times New Roman"/>
          <w:sz w:val="24"/>
          <w:szCs w:val="24"/>
        </w:rPr>
        <w:t>original</w:t>
      </w:r>
      <w:r w:rsidR="002E5D1B" w:rsidRPr="002E5D1B">
        <w:rPr>
          <w:rFonts w:ascii="Times New Roman" w:hAnsi="Times New Roman" w:cs="Times New Roman"/>
          <w:sz w:val="24"/>
          <w:szCs w:val="24"/>
        </w:rPr>
        <w:t xml:space="preserve"> second respondent</w:t>
      </w:r>
      <w:r w:rsidRPr="002E5D1B">
        <w:rPr>
          <w:rFonts w:ascii="Times New Roman" w:hAnsi="Times New Roman" w:cs="Times New Roman"/>
          <w:sz w:val="24"/>
          <w:szCs w:val="24"/>
        </w:rPr>
        <w:t>.</w:t>
      </w:r>
      <w:r w:rsidRPr="00B85C6C">
        <w:rPr>
          <w:rFonts w:ascii="Times New Roman" w:hAnsi="Times New Roman" w:cs="Times New Roman"/>
          <w:sz w:val="24"/>
          <w:szCs w:val="24"/>
        </w:rPr>
        <w:t xml:space="preserve"> The applic</w:t>
      </w:r>
      <w:r w:rsidR="002E5D1B">
        <w:rPr>
          <w:rFonts w:ascii="Times New Roman" w:hAnsi="Times New Roman" w:cs="Times New Roman"/>
          <w:sz w:val="24"/>
          <w:szCs w:val="24"/>
        </w:rPr>
        <w:t xml:space="preserve">ant later </w:t>
      </w:r>
      <w:r w:rsidRPr="00B85C6C">
        <w:rPr>
          <w:rFonts w:ascii="Times New Roman" w:hAnsi="Times New Roman" w:cs="Times New Roman"/>
          <w:sz w:val="24"/>
          <w:szCs w:val="24"/>
        </w:rPr>
        <w:t xml:space="preserve">filed </w:t>
      </w:r>
      <w:r w:rsidR="002E5D1B">
        <w:rPr>
          <w:rFonts w:ascii="Times New Roman" w:hAnsi="Times New Roman" w:cs="Times New Roman"/>
          <w:sz w:val="24"/>
          <w:szCs w:val="24"/>
        </w:rPr>
        <w:t xml:space="preserve">a </w:t>
      </w:r>
      <w:r w:rsidRPr="00B85C6C">
        <w:rPr>
          <w:rFonts w:ascii="Times New Roman" w:hAnsi="Times New Roman" w:cs="Times New Roman"/>
          <w:sz w:val="24"/>
          <w:szCs w:val="24"/>
        </w:rPr>
        <w:t xml:space="preserve">notice of substitution of a party in terms of </w:t>
      </w:r>
      <w:r w:rsidR="002E5D1B">
        <w:rPr>
          <w:rFonts w:ascii="Times New Roman" w:hAnsi="Times New Roman" w:cs="Times New Roman"/>
          <w:sz w:val="24"/>
          <w:szCs w:val="24"/>
        </w:rPr>
        <w:t xml:space="preserve">r </w:t>
      </w:r>
      <w:r w:rsidRPr="00B85C6C">
        <w:rPr>
          <w:rFonts w:ascii="Times New Roman" w:hAnsi="Times New Roman" w:cs="Times New Roman"/>
          <w:sz w:val="24"/>
          <w:szCs w:val="24"/>
        </w:rPr>
        <w:t>32(8) of the Rules</w:t>
      </w:r>
      <w:r w:rsidR="002E5D1B">
        <w:rPr>
          <w:rFonts w:ascii="Times New Roman" w:hAnsi="Times New Roman" w:cs="Times New Roman"/>
          <w:sz w:val="24"/>
          <w:szCs w:val="24"/>
        </w:rPr>
        <w:t xml:space="preserve"> </w:t>
      </w:r>
      <w:r w:rsidRPr="00B85C6C">
        <w:rPr>
          <w:rFonts w:ascii="Times New Roman" w:hAnsi="Times New Roman" w:cs="Times New Roman"/>
          <w:sz w:val="24"/>
          <w:szCs w:val="24"/>
        </w:rPr>
        <w:t xml:space="preserve">and </w:t>
      </w:r>
      <w:r w:rsidR="002E5D1B">
        <w:rPr>
          <w:rFonts w:ascii="Times New Roman" w:hAnsi="Times New Roman" w:cs="Times New Roman"/>
          <w:sz w:val="24"/>
          <w:szCs w:val="24"/>
        </w:rPr>
        <w:t>thereafter</w:t>
      </w:r>
      <w:r w:rsidR="00915AC5">
        <w:rPr>
          <w:rFonts w:ascii="Times New Roman" w:hAnsi="Times New Roman" w:cs="Times New Roman"/>
          <w:sz w:val="24"/>
          <w:szCs w:val="24"/>
        </w:rPr>
        <w:t>, on 20 December 2024,</w:t>
      </w:r>
      <w:r w:rsidR="002E5D1B">
        <w:rPr>
          <w:rFonts w:ascii="Times New Roman" w:hAnsi="Times New Roman" w:cs="Times New Roman"/>
          <w:sz w:val="24"/>
          <w:szCs w:val="24"/>
        </w:rPr>
        <w:t xml:space="preserve"> issued a </w:t>
      </w:r>
      <w:r w:rsidRPr="00B85C6C">
        <w:rPr>
          <w:rFonts w:ascii="Times New Roman" w:hAnsi="Times New Roman" w:cs="Times New Roman"/>
          <w:sz w:val="24"/>
          <w:szCs w:val="24"/>
        </w:rPr>
        <w:t>draf</w:t>
      </w:r>
      <w:r w:rsidR="000E073C">
        <w:rPr>
          <w:rFonts w:ascii="Times New Roman" w:hAnsi="Times New Roman" w:cs="Times New Roman"/>
          <w:sz w:val="24"/>
          <w:szCs w:val="24"/>
        </w:rPr>
        <w:t>t</w:t>
      </w:r>
      <w:r w:rsidRPr="00B85C6C">
        <w:rPr>
          <w:rFonts w:ascii="Times New Roman" w:hAnsi="Times New Roman" w:cs="Times New Roman"/>
          <w:sz w:val="24"/>
          <w:szCs w:val="24"/>
        </w:rPr>
        <w:t xml:space="preserve"> notice of set down</w:t>
      </w:r>
      <w:r w:rsidR="00915AC5">
        <w:rPr>
          <w:rFonts w:ascii="Times New Roman" w:hAnsi="Times New Roman" w:cs="Times New Roman"/>
          <w:sz w:val="24"/>
          <w:szCs w:val="24"/>
        </w:rPr>
        <w:t>. It later turned out that the notice of set down was irregular in more ways than one. O</w:t>
      </w:r>
      <w:r w:rsidRPr="00B85C6C">
        <w:rPr>
          <w:rFonts w:ascii="Times New Roman" w:hAnsi="Times New Roman" w:cs="Times New Roman"/>
          <w:sz w:val="24"/>
          <w:szCs w:val="24"/>
        </w:rPr>
        <w:t>n 5 February 2025</w:t>
      </w:r>
      <w:r w:rsidR="00915AC5">
        <w:rPr>
          <w:rFonts w:ascii="Times New Roman" w:hAnsi="Times New Roman" w:cs="Times New Roman"/>
          <w:sz w:val="24"/>
          <w:szCs w:val="24"/>
        </w:rPr>
        <w:t xml:space="preserve">, the registrar of this court advised that </w:t>
      </w:r>
      <w:r w:rsidR="00915AC5" w:rsidRPr="00B85C6C">
        <w:rPr>
          <w:rFonts w:ascii="Times New Roman" w:hAnsi="Times New Roman" w:cs="Times New Roman"/>
          <w:sz w:val="24"/>
          <w:szCs w:val="24"/>
        </w:rPr>
        <w:t>that</w:t>
      </w:r>
      <w:r w:rsidRPr="00B85C6C">
        <w:rPr>
          <w:rFonts w:ascii="Times New Roman" w:hAnsi="Times New Roman" w:cs="Times New Roman"/>
          <w:sz w:val="24"/>
          <w:szCs w:val="24"/>
        </w:rPr>
        <w:t xml:space="preserve"> the matter </w:t>
      </w:r>
      <w:r w:rsidR="00915AC5">
        <w:rPr>
          <w:rFonts w:ascii="Times New Roman" w:hAnsi="Times New Roman" w:cs="Times New Roman"/>
          <w:sz w:val="24"/>
          <w:szCs w:val="24"/>
        </w:rPr>
        <w:t>had</w:t>
      </w:r>
      <w:r w:rsidRPr="00B85C6C">
        <w:rPr>
          <w:rFonts w:ascii="Times New Roman" w:hAnsi="Times New Roman" w:cs="Times New Roman"/>
          <w:sz w:val="24"/>
          <w:szCs w:val="24"/>
        </w:rPr>
        <w:t xml:space="preserve"> </w:t>
      </w:r>
      <w:r w:rsidR="00D101CD">
        <w:rPr>
          <w:rFonts w:ascii="Times New Roman" w:hAnsi="Times New Roman" w:cs="Times New Roman"/>
          <w:sz w:val="24"/>
          <w:szCs w:val="24"/>
        </w:rPr>
        <w:t xml:space="preserve">been </w:t>
      </w:r>
      <w:r w:rsidRPr="00B85C6C">
        <w:rPr>
          <w:rFonts w:ascii="Times New Roman" w:hAnsi="Times New Roman" w:cs="Times New Roman"/>
          <w:sz w:val="24"/>
          <w:szCs w:val="24"/>
        </w:rPr>
        <w:t>deemed abandoned</w:t>
      </w:r>
      <w:r w:rsidR="00915AC5">
        <w:rPr>
          <w:rFonts w:ascii="Times New Roman" w:hAnsi="Times New Roman" w:cs="Times New Roman"/>
          <w:sz w:val="24"/>
          <w:szCs w:val="24"/>
        </w:rPr>
        <w:t xml:space="preserve">/inactive and had consequently been dismissed </w:t>
      </w:r>
      <w:r w:rsidRPr="00B85C6C">
        <w:rPr>
          <w:rFonts w:ascii="Times New Roman" w:hAnsi="Times New Roman" w:cs="Times New Roman"/>
          <w:sz w:val="24"/>
          <w:szCs w:val="24"/>
        </w:rPr>
        <w:t xml:space="preserve">in </w:t>
      </w:r>
      <w:r w:rsidR="00915AC5">
        <w:rPr>
          <w:rFonts w:ascii="Times New Roman" w:hAnsi="Times New Roman" w:cs="Times New Roman"/>
          <w:sz w:val="24"/>
          <w:szCs w:val="24"/>
        </w:rPr>
        <w:t>accordance with</w:t>
      </w:r>
      <w:r w:rsidRPr="00B85C6C">
        <w:rPr>
          <w:rFonts w:ascii="Times New Roman" w:hAnsi="Times New Roman" w:cs="Times New Roman"/>
          <w:sz w:val="24"/>
          <w:szCs w:val="24"/>
        </w:rPr>
        <w:t xml:space="preserve"> </w:t>
      </w:r>
      <w:r w:rsidR="00915AC5">
        <w:rPr>
          <w:rFonts w:ascii="Times New Roman" w:hAnsi="Times New Roman" w:cs="Times New Roman"/>
          <w:sz w:val="24"/>
          <w:szCs w:val="24"/>
        </w:rPr>
        <w:t>r</w:t>
      </w:r>
      <w:r w:rsidRPr="00B85C6C">
        <w:rPr>
          <w:rFonts w:ascii="Times New Roman" w:hAnsi="Times New Roman" w:cs="Times New Roman"/>
          <w:sz w:val="24"/>
          <w:szCs w:val="24"/>
        </w:rPr>
        <w:t xml:space="preserve"> 66(3) of the Rules.</w:t>
      </w:r>
      <w:r w:rsidR="00915AC5" w:rsidRPr="00915AC5">
        <w:rPr>
          <w:rFonts w:ascii="Times New Roman" w:hAnsi="Times New Roman" w:cs="Times New Roman"/>
          <w:sz w:val="24"/>
          <w:szCs w:val="24"/>
        </w:rPr>
        <w:t xml:space="preserve"> </w:t>
      </w:r>
      <w:r w:rsidR="00915AC5">
        <w:rPr>
          <w:rFonts w:ascii="Times New Roman" w:hAnsi="Times New Roman" w:cs="Times New Roman"/>
          <w:sz w:val="24"/>
          <w:szCs w:val="24"/>
        </w:rPr>
        <w:t>It is that decision of the registrar which directly led to the present application. In it, the applicant sought an order which was couched in the following terms:</w:t>
      </w:r>
    </w:p>
    <w:p w14:paraId="7DA32F35" w14:textId="77777777" w:rsidR="00915AC5" w:rsidRPr="00915AC5" w:rsidRDefault="00915AC5" w:rsidP="00915AC5">
      <w:pPr>
        <w:pStyle w:val="ListParagraph"/>
        <w:numPr>
          <w:ilvl w:val="0"/>
          <w:numId w:val="8"/>
        </w:numPr>
        <w:spacing w:after="0" w:line="240" w:lineRule="auto"/>
        <w:jc w:val="both"/>
        <w:rPr>
          <w:rFonts w:ascii="Times New Roman" w:hAnsi="Times New Roman" w:cs="Times New Roman"/>
          <w:sz w:val="20"/>
          <w:szCs w:val="20"/>
        </w:rPr>
      </w:pPr>
      <w:r w:rsidRPr="00915AC5">
        <w:rPr>
          <w:rFonts w:ascii="Times New Roman" w:hAnsi="Times New Roman" w:cs="Times New Roman"/>
          <w:sz w:val="20"/>
          <w:szCs w:val="20"/>
        </w:rPr>
        <w:t>The application for condonation and reinstatement in case number HCCAPP140/23 be and is hereby granted.</w:t>
      </w:r>
    </w:p>
    <w:p w14:paraId="7856F22C" w14:textId="77777777" w:rsidR="00915AC5" w:rsidRPr="00915AC5" w:rsidRDefault="00915AC5" w:rsidP="00915AC5">
      <w:pPr>
        <w:pStyle w:val="ListParagraph"/>
        <w:numPr>
          <w:ilvl w:val="0"/>
          <w:numId w:val="8"/>
        </w:numPr>
        <w:spacing w:after="0" w:line="240" w:lineRule="auto"/>
        <w:jc w:val="both"/>
        <w:rPr>
          <w:rFonts w:ascii="Times New Roman" w:hAnsi="Times New Roman" w:cs="Times New Roman"/>
          <w:sz w:val="20"/>
          <w:szCs w:val="20"/>
        </w:rPr>
      </w:pPr>
      <w:r w:rsidRPr="00915AC5">
        <w:rPr>
          <w:rFonts w:ascii="Times New Roman" w:hAnsi="Times New Roman" w:cs="Times New Roman"/>
          <w:sz w:val="20"/>
          <w:szCs w:val="20"/>
        </w:rPr>
        <w:t>The Applicant shall file the notice of set down within 7 days of the date of this order.</w:t>
      </w:r>
    </w:p>
    <w:p w14:paraId="3A956DCF" w14:textId="77777777" w:rsidR="00915AC5" w:rsidRPr="00915AC5" w:rsidRDefault="00915AC5" w:rsidP="00915AC5">
      <w:pPr>
        <w:pStyle w:val="ListParagraph"/>
        <w:numPr>
          <w:ilvl w:val="0"/>
          <w:numId w:val="8"/>
        </w:numPr>
        <w:spacing w:after="0" w:line="240" w:lineRule="auto"/>
        <w:jc w:val="both"/>
        <w:rPr>
          <w:rFonts w:ascii="Times New Roman" w:hAnsi="Times New Roman" w:cs="Times New Roman"/>
          <w:sz w:val="20"/>
          <w:szCs w:val="20"/>
        </w:rPr>
      </w:pPr>
      <w:r w:rsidRPr="00915AC5">
        <w:rPr>
          <w:rFonts w:ascii="Times New Roman" w:hAnsi="Times New Roman" w:cs="Times New Roman"/>
          <w:sz w:val="20"/>
          <w:szCs w:val="20"/>
        </w:rPr>
        <w:t>No order as to costs.</w:t>
      </w:r>
    </w:p>
    <w:p w14:paraId="11A2605D" w14:textId="77777777" w:rsidR="00915AC5" w:rsidRPr="00B85C6C" w:rsidRDefault="00915AC5" w:rsidP="00915AC5">
      <w:pPr>
        <w:pStyle w:val="ListParagraph"/>
        <w:spacing w:after="0" w:line="360" w:lineRule="auto"/>
        <w:jc w:val="both"/>
        <w:rPr>
          <w:rFonts w:ascii="Times New Roman" w:hAnsi="Times New Roman" w:cs="Times New Roman"/>
          <w:sz w:val="24"/>
          <w:szCs w:val="24"/>
        </w:rPr>
      </w:pPr>
    </w:p>
    <w:p w14:paraId="438F7947" w14:textId="4F00DE53" w:rsidR="00845BCB" w:rsidRDefault="0054392D" w:rsidP="00845BCB">
      <w:pPr>
        <w:pStyle w:val="ListParagraph"/>
        <w:numPr>
          <w:ilvl w:val="0"/>
          <w:numId w:val="7"/>
        </w:numPr>
        <w:spacing w:after="0" w:line="360" w:lineRule="auto"/>
        <w:jc w:val="both"/>
        <w:rPr>
          <w:rFonts w:ascii="Times New Roman" w:hAnsi="Times New Roman" w:cs="Times New Roman"/>
          <w:sz w:val="24"/>
          <w:szCs w:val="24"/>
        </w:rPr>
      </w:pPr>
      <w:r w:rsidRPr="00845BCB">
        <w:rPr>
          <w:rFonts w:ascii="Times New Roman" w:hAnsi="Times New Roman" w:cs="Times New Roman"/>
          <w:sz w:val="24"/>
          <w:szCs w:val="24"/>
        </w:rPr>
        <w:t xml:space="preserve">The first respondent opposed the application. The rest of the respondents neither filed any papers nor appeared on the date of the hearing. </w:t>
      </w:r>
      <w:r w:rsidR="00D101CD">
        <w:rPr>
          <w:rFonts w:ascii="Times New Roman" w:hAnsi="Times New Roman" w:cs="Times New Roman"/>
          <w:sz w:val="24"/>
          <w:szCs w:val="24"/>
        </w:rPr>
        <w:t>At the hearing</w:t>
      </w:r>
      <w:r w:rsidRPr="00845BCB">
        <w:rPr>
          <w:rFonts w:ascii="Times New Roman" w:hAnsi="Times New Roman" w:cs="Times New Roman"/>
          <w:sz w:val="24"/>
          <w:szCs w:val="24"/>
        </w:rPr>
        <w:t xml:space="preserve">, Mr </w:t>
      </w:r>
      <w:r w:rsidRPr="00845BCB">
        <w:rPr>
          <w:rFonts w:ascii="Times New Roman" w:hAnsi="Times New Roman" w:cs="Times New Roman"/>
          <w:i/>
          <w:sz w:val="24"/>
          <w:szCs w:val="24"/>
        </w:rPr>
        <w:t>Mandinde</w:t>
      </w:r>
      <w:r w:rsidRPr="00845BCB">
        <w:rPr>
          <w:rFonts w:ascii="Times New Roman" w:hAnsi="Times New Roman" w:cs="Times New Roman"/>
          <w:sz w:val="24"/>
          <w:szCs w:val="24"/>
        </w:rPr>
        <w:t xml:space="preserve"> who </w:t>
      </w:r>
      <w:r w:rsidR="009B7445" w:rsidRPr="00845BCB">
        <w:rPr>
          <w:rFonts w:ascii="Times New Roman" w:hAnsi="Times New Roman" w:cs="Times New Roman"/>
          <w:sz w:val="24"/>
          <w:szCs w:val="24"/>
        </w:rPr>
        <w:t>appeared</w:t>
      </w:r>
      <w:r w:rsidRPr="00845BCB">
        <w:rPr>
          <w:rFonts w:ascii="Times New Roman" w:hAnsi="Times New Roman" w:cs="Times New Roman"/>
          <w:sz w:val="24"/>
          <w:szCs w:val="24"/>
        </w:rPr>
        <w:t xml:space="preserve"> for the first respondent</w:t>
      </w:r>
      <w:r w:rsidR="00D101CD">
        <w:rPr>
          <w:rFonts w:ascii="Times New Roman" w:hAnsi="Times New Roman" w:cs="Times New Roman"/>
          <w:sz w:val="24"/>
          <w:szCs w:val="24"/>
        </w:rPr>
        <w:t xml:space="preserve"> </w:t>
      </w:r>
      <w:r w:rsidR="006F549E">
        <w:rPr>
          <w:rFonts w:ascii="Times New Roman" w:hAnsi="Times New Roman" w:cs="Times New Roman"/>
          <w:sz w:val="24"/>
          <w:szCs w:val="24"/>
        </w:rPr>
        <w:t xml:space="preserve">said </w:t>
      </w:r>
      <w:r w:rsidR="006F549E" w:rsidRPr="00845BCB">
        <w:rPr>
          <w:rFonts w:ascii="Times New Roman" w:hAnsi="Times New Roman" w:cs="Times New Roman"/>
          <w:sz w:val="24"/>
          <w:szCs w:val="24"/>
        </w:rPr>
        <w:t>that</w:t>
      </w:r>
      <w:r w:rsidR="009B7445" w:rsidRPr="00845BCB">
        <w:rPr>
          <w:rFonts w:ascii="Times New Roman" w:hAnsi="Times New Roman" w:cs="Times New Roman"/>
          <w:sz w:val="24"/>
          <w:szCs w:val="24"/>
        </w:rPr>
        <w:t xml:space="preserve"> </w:t>
      </w:r>
      <w:r w:rsidR="00D101CD">
        <w:rPr>
          <w:rFonts w:ascii="Times New Roman" w:hAnsi="Times New Roman" w:cs="Times New Roman"/>
          <w:sz w:val="24"/>
          <w:szCs w:val="24"/>
        </w:rPr>
        <w:t xml:space="preserve">much as he would abide by the papers filed </w:t>
      </w:r>
      <w:r w:rsidR="006F549E">
        <w:rPr>
          <w:rFonts w:ascii="Times New Roman" w:hAnsi="Times New Roman" w:cs="Times New Roman"/>
          <w:sz w:val="24"/>
          <w:szCs w:val="24"/>
        </w:rPr>
        <w:t>already</w:t>
      </w:r>
      <w:r w:rsidR="00D101CD">
        <w:rPr>
          <w:rFonts w:ascii="Times New Roman" w:hAnsi="Times New Roman" w:cs="Times New Roman"/>
          <w:sz w:val="24"/>
          <w:szCs w:val="24"/>
        </w:rPr>
        <w:t xml:space="preserve">, </w:t>
      </w:r>
      <w:r w:rsidR="009B7445" w:rsidRPr="00845BCB">
        <w:rPr>
          <w:rFonts w:ascii="Times New Roman" w:hAnsi="Times New Roman" w:cs="Times New Roman"/>
          <w:sz w:val="24"/>
          <w:szCs w:val="24"/>
        </w:rPr>
        <w:t>the first respondent</w:t>
      </w:r>
      <w:r w:rsidR="006F549E">
        <w:rPr>
          <w:rFonts w:ascii="Times New Roman" w:hAnsi="Times New Roman" w:cs="Times New Roman"/>
          <w:sz w:val="24"/>
          <w:szCs w:val="24"/>
        </w:rPr>
        <w:t xml:space="preserve">’s major contention related to the </w:t>
      </w:r>
      <w:r w:rsidR="009B7445" w:rsidRPr="00845BCB">
        <w:rPr>
          <w:rFonts w:ascii="Times New Roman" w:hAnsi="Times New Roman" w:cs="Times New Roman"/>
          <w:sz w:val="24"/>
          <w:szCs w:val="24"/>
        </w:rPr>
        <w:t xml:space="preserve">preliminary objection which he believed was dispositive of the matter.  The argument </w:t>
      </w:r>
      <w:r w:rsidR="006F549E">
        <w:rPr>
          <w:rFonts w:ascii="Times New Roman" w:hAnsi="Times New Roman" w:cs="Times New Roman"/>
          <w:sz w:val="24"/>
          <w:szCs w:val="24"/>
        </w:rPr>
        <w:t xml:space="preserve">forming the core of the objection </w:t>
      </w:r>
      <w:r w:rsidR="006F549E" w:rsidRPr="006F549E">
        <w:rPr>
          <w:rFonts w:ascii="Times New Roman" w:hAnsi="Times New Roman" w:cs="Times New Roman"/>
          <w:i/>
          <w:sz w:val="24"/>
          <w:szCs w:val="24"/>
        </w:rPr>
        <w:t>in limine</w:t>
      </w:r>
      <w:r w:rsidR="009B7445" w:rsidRPr="00845BCB">
        <w:rPr>
          <w:rFonts w:ascii="Times New Roman" w:hAnsi="Times New Roman" w:cs="Times New Roman"/>
          <w:sz w:val="24"/>
          <w:szCs w:val="24"/>
        </w:rPr>
        <w:t xml:space="preserve"> was </w:t>
      </w:r>
      <w:r w:rsidRPr="00845BCB">
        <w:rPr>
          <w:rFonts w:ascii="Times New Roman" w:hAnsi="Times New Roman" w:cs="Times New Roman"/>
          <w:sz w:val="24"/>
          <w:szCs w:val="24"/>
        </w:rPr>
        <w:t xml:space="preserve">that there </w:t>
      </w:r>
      <w:r w:rsidR="009B7445" w:rsidRPr="00845BCB">
        <w:rPr>
          <w:rFonts w:ascii="Times New Roman" w:hAnsi="Times New Roman" w:cs="Times New Roman"/>
          <w:sz w:val="24"/>
          <w:szCs w:val="24"/>
        </w:rPr>
        <w:t>was an</w:t>
      </w:r>
      <w:r w:rsidRPr="00845BCB">
        <w:rPr>
          <w:rFonts w:ascii="Times New Roman" w:hAnsi="Times New Roman" w:cs="Times New Roman"/>
          <w:sz w:val="24"/>
          <w:szCs w:val="24"/>
        </w:rPr>
        <w:t xml:space="preserve"> improper addition of a new party</w:t>
      </w:r>
      <w:r w:rsidR="009B7445" w:rsidRPr="00845BCB">
        <w:rPr>
          <w:rFonts w:ascii="Times New Roman" w:hAnsi="Times New Roman" w:cs="Times New Roman"/>
          <w:sz w:val="24"/>
          <w:szCs w:val="24"/>
        </w:rPr>
        <w:t xml:space="preserve"> to</w:t>
      </w:r>
      <w:r w:rsidRPr="00845BCB">
        <w:rPr>
          <w:rFonts w:ascii="Times New Roman" w:hAnsi="Times New Roman" w:cs="Times New Roman"/>
          <w:sz w:val="24"/>
          <w:szCs w:val="24"/>
        </w:rPr>
        <w:t xml:space="preserve"> the proceedings.</w:t>
      </w:r>
      <w:r w:rsidR="009B7445" w:rsidRPr="00845BCB">
        <w:rPr>
          <w:rFonts w:ascii="Times New Roman" w:hAnsi="Times New Roman" w:cs="Times New Roman"/>
          <w:sz w:val="24"/>
          <w:szCs w:val="24"/>
        </w:rPr>
        <w:t xml:space="preserve"> </w:t>
      </w:r>
      <w:r w:rsidR="00115207">
        <w:rPr>
          <w:rFonts w:ascii="Times New Roman" w:hAnsi="Times New Roman" w:cs="Times New Roman"/>
          <w:sz w:val="24"/>
          <w:szCs w:val="24"/>
        </w:rPr>
        <w:t xml:space="preserve">Counsel said </w:t>
      </w:r>
      <w:r w:rsidRPr="00845BCB">
        <w:rPr>
          <w:rFonts w:ascii="Times New Roman" w:hAnsi="Times New Roman" w:cs="Times New Roman"/>
          <w:sz w:val="24"/>
          <w:szCs w:val="24"/>
        </w:rPr>
        <w:t>th</w:t>
      </w:r>
      <w:r w:rsidR="009B7445" w:rsidRPr="00845BCB">
        <w:rPr>
          <w:rFonts w:ascii="Times New Roman" w:hAnsi="Times New Roman" w:cs="Times New Roman"/>
          <w:sz w:val="24"/>
          <w:szCs w:val="24"/>
        </w:rPr>
        <w:t>e</w:t>
      </w:r>
      <w:r w:rsidRPr="00845BCB">
        <w:rPr>
          <w:rFonts w:ascii="Times New Roman" w:hAnsi="Times New Roman" w:cs="Times New Roman"/>
          <w:sz w:val="24"/>
          <w:szCs w:val="24"/>
        </w:rPr>
        <w:t xml:space="preserve"> addition of Margaret Sibanda</w:t>
      </w:r>
      <w:r w:rsidR="009B7445" w:rsidRPr="00845BCB">
        <w:rPr>
          <w:rFonts w:ascii="Times New Roman" w:hAnsi="Times New Roman" w:cs="Times New Roman"/>
          <w:sz w:val="24"/>
          <w:szCs w:val="24"/>
        </w:rPr>
        <w:t xml:space="preserve"> (the executrix dative)</w:t>
      </w:r>
      <w:r w:rsidRPr="00845BCB">
        <w:rPr>
          <w:rFonts w:ascii="Times New Roman" w:hAnsi="Times New Roman" w:cs="Times New Roman"/>
          <w:sz w:val="24"/>
          <w:szCs w:val="24"/>
        </w:rPr>
        <w:t xml:space="preserve">, of </w:t>
      </w:r>
      <w:r w:rsidR="009B7445" w:rsidRPr="00845BCB">
        <w:rPr>
          <w:rFonts w:ascii="Times New Roman" w:hAnsi="Times New Roman" w:cs="Times New Roman"/>
          <w:sz w:val="24"/>
          <w:szCs w:val="24"/>
        </w:rPr>
        <w:t xml:space="preserve">the </w:t>
      </w:r>
      <w:r w:rsidRPr="00845BCB">
        <w:rPr>
          <w:rFonts w:ascii="Times New Roman" w:hAnsi="Times New Roman" w:cs="Times New Roman"/>
          <w:sz w:val="24"/>
          <w:szCs w:val="24"/>
        </w:rPr>
        <w:t xml:space="preserve">Estate late Absolom </w:t>
      </w:r>
      <w:r w:rsidR="009B7445" w:rsidRPr="00845BCB">
        <w:rPr>
          <w:rFonts w:ascii="Times New Roman" w:hAnsi="Times New Roman" w:cs="Times New Roman"/>
          <w:sz w:val="24"/>
          <w:szCs w:val="24"/>
        </w:rPr>
        <w:t>was irregular.</w:t>
      </w:r>
      <w:r w:rsidRPr="00845BCB">
        <w:rPr>
          <w:rFonts w:ascii="Times New Roman" w:hAnsi="Times New Roman" w:cs="Times New Roman"/>
          <w:sz w:val="24"/>
          <w:szCs w:val="24"/>
        </w:rPr>
        <w:t xml:space="preserve"> </w:t>
      </w:r>
      <w:r w:rsidR="009B7445" w:rsidRPr="00845BCB">
        <w:rPr>
          <w:rFonts w:ascii="Times New Roman" w:hAnsi="Times New Roman" w:cs="Times New Roman"/>
          <w:sz w:val="24"/>
          <w:szCs w:val="24"/>
        </w:rPr>
        <w:t>It was so because, so the argument</w:t>
      </w:r>
      <w:r w:rsidRPr="00845BCB">
        <w:rPr>
          <w:rFonts w:ascii="Times New Roman" w:hAnsi="Times New Roman" w:cs="Times New Roman"/>
          <w:sz w:val="24"/>
          <w:szCs w:val="24"/>
        </w:rPr>
        <w:t xml:space="preserve"> </w:t>
      </w:r>
      <w:r w:rsidR="009B7445" w:rsidRPr="00845BCB">
        <w:rPr>
          <w:rFonts w:ascii="Times New Roman" w:hAnsi="Times New Roman" w:cs="Times New Roman"/>
          <w:sz w:val="24"/>
          <w:szCs w:val="24"/>
        </w:rPr>
        <w:t xml:space="preserve">went, the applicant was, when it first instituted the suit, well aware that Absolom was deceased. Absolom had died on 18 February 2021. That information </w:t>
      </w:r>
      <w:r w:rsidR="00115207">
        <w:rPr>
          <w:rFonts w:ascii="Times New Roman" w:hAnsi="Times New Roman" w:cs="Times New Roman"/>
          <w:sz w:val="24"/>
          <w:szCs w:val="24"/>
        </w:rPr>
        <w:t>had</w:t>
      </w:r>
      <w:r w:rsidR="009B7445" w:rsidRPr="00845BCB">
        <w:rPr>
          <w:rFonts w:ascii="Times New Roman" w:hAnsi="Times New Roman" w:cs="Times New Roman"/>
          <w:sz w:val="24"/>
          <w:szCs w:val="24"/>
        </w:rPr>
        <w:t xml:space="preserve"> apparently </w:t>
      </w:r>
      <w:r w:rsidR="00115207">
        <w:rPr>
          <w:rFonts w:ascii="Times New Roman" w:hAnsi="Times New Roman" w:cs="Times New Roman"/>
          <w:sz w:val="24"/>
          <w:szCs w:val="24"/>
        </w:rPr>
        <w:t xml:space="preserve">been </w:t>
      </w:r>
      <w:r w:rsidR="009B7445" w:rsidRPr="00845BCB">
        <w:rPr>
          <w:rFonts w:ascii="Times New Roman" w:hAnsi="Times New Roman" w:cs="Times New Roman"/>
          <w:sz w:val="24"/>
          <w:szCs w:val="24"/>
        </w:rPr>
        <w:t xml:space="preserve">conveyed to the applicant’s legal practitioners on 3 March 2023 before the </w:t>
      </w:r>
      <w:r w:rsidR="009B7445" w:rsidRPr="00845BCB">
        <w:rPr>
          <w:rFonts w:ascii="Times New Roman" w:hAnsi="Times New Roman" w:cs="Times New Roman"/>
          <w:sz w:val="24"/>
          <w:szCs w:val="24"/>
        </w:rPr>
        <w:lastRenderedPageBreak/>
        <w:t xml:space="preserve">initial application to challenge the confirmation of the sale was filed on 26 April 2023. </w:t>
      </w:r>
      <w:r w:rsidRPr="00845BCB">
        <w:rPr>
          <w:rFonts w:ascii="Times New Roman" w:hAnsi="Times New Roman" w:cs="Times New Roman"/>
          <w:sz w:val="24"/>
          <w:szCs w:val="24"/>
        </w:rPr>
        <w:t xml:space="preserve"> The applicants</w:t>
      </w:r>
      <w:r w:rsidR="009B7445" w:rsidRPr="00845BCB">
        <w:rPr>
          <w:rFonts w:ascii="Times New Roman" w:hAnsi="Times New Roman" w:cs="Times New Roman"/>
          <w:sz w:val="24"/>
          <w:szCs w:val="24"/>
        </w:rPr>
        <w:t>, so it was again maintained,</w:t>
      </w:r>
      <w:r w:rsidRPr="00845BCB">
        <w:rPr>
          <w:rFonts w:ascii="Times New Roman" w:hAnsi="Times New Roman" w:cs="Times New Roman"/>
          <w:sz w:val="24"/>
          <w:szCs w:val="24"/>
        </w:rPr>
        <w:t xml:space="preserve"> were aware at the time of filing of notice of set down that Absolom</w:t>
      </w:r>
      <w:r w:rsidR="009B7445" w:rsidRPr="00845BCB">
        <w:rPr>
          <w:rFonts w:ascii="Times New Roman" w:hAnsi="Times New Roman" w:cs="Times New Roman"/>
          <w:sz w:val="24"/>
          <w:szCs w:val="24"/>
        </w:rPr>
        <w:t xml:space="preserve"> </w:t>
      </w:r>
      <w:r w:rsidRPr="00845BCB">
        <w:rPr>
          <w:rFonts w:ascii="Times New Roman" w:hAnsi="Times New Roman" w:cs="Times New Roman"/>
          <w:sz w:val="24"/>
          <w:szCs w:val="24"/>
        </w:rPr>
        <w:t xml:space="preserve">was deceased. </w:t>
      </w:r>
      <w:r w:rsidR="009B7445" w:rsidRPr="00845BCB">
        <w:rPr>
          <w:rFonts w:ascii="Times New Roman" w:hAnsi="Times New Roman" w:cs="Times New Roman"/>
          <w:sz w:val="24"/>
          <w:szCs w:val="24"/>
        </w:rPr>
        <w:t>As such, t</w:t>
      </w:r>
      <w:r w:rsidRPr="00845BCB">
        <w:rPr>
          <w:rFonts w:ascii="Times New Roman" w:hAnsi="Times New Roman" w:cs="Times New Roman"/>
          <w:sz w:val="24"/>
          <w:szCs w:val="24"/>
        </w:rPr>
        <w:t>he matter set down for hearing on 31 October 2024</w:t>
      </w:r>
      <w:r w:rsidR="00845BCB" w:rsidRPr="00845BCB">
        <w:rPr>
          <w:rFonts w:ascii="Times New Roman" w:hAnsi="Times New Roman" w:cs="Times New Roman"/>
          <w:sz w:val="24"/>
          <w:szCs w:val="24"/>
        </w:rPr>
        <w:t xml:space="preserve">, could not like the first respondent had insisted at that hearing, not have been removed from the roll. It was fatally defective and ought to have been struck off the roll. </w:t>
      </w:r>
      <w:r w:rsidRPr="00845BCB">
        <w:rPr>
          <w:rFonts w:ascii="Times New Roman" w:hAnsi="Times New Roman" w:cs="Times New Roman"/>
          <w:sz w:val="24"/>
          <w:szCs w:val="24"/>
        </w:rPr>
        <w:t xml:space="preserve"> It </w:t>
      </w:r>
      <w:r w:rsidR="00845BCB" w:rsidRPr="00845BCB">
        <w:rPr>
          <w:rFonts w:ascii="Times New Roman" w:hAnsi="Times New Roman" w:cs="Times New Roman"/>
          <w:sz w:val="24"/>
          <w:szCs w:val="24"/>
        </w:rPr>
        <w:t xml:space="preserve">was Mr </w:t>
      </w:r>
      <w:r w:rsidR="00845BCB" w:rsidRPr="00845BCB">
        <w:rPr>
          <w:rFonts w:ascii="Times New Roman" w:hAnsi="Times New Roman" w:cs="Times New Roman"/>
          <w:i/>
          <w:sz w:val="24"/>
          <w:szCs w:val="24"/>
        </w:rPr>
        <w:t>Mandinde’s</w:t>
      </w:r>
      <w:r w:rsidR="00845BCB" w:rsidRPr="00845BCB">
        <w:rPr>
          <w:rFonts w:ascii="Times New Roman" w:hAnsi="Times New Roman" w:cs="Times New Roman"/>
          <w:sz w:val="24"/>
          <w:szCs w:val="24"/>
        </w:rPr>
        <w:t xml:space="preserve"> further</w:t>
      </w:r>
      <w:r w:rsidRPr="00845BCB">
        <w:rPr>
          <w:rFonts w:ascii="Times New Roman" w:hAnsi="Times New Roman" w:cs="Times New Roman"/>
          <w:sz w:val="24"/>
          <w:szCs w:val="24"/>
        </w:rPr>
        <w:t xml:space="preserve"> contention that the matter </w:t>
      </w:r>
      <w:r w:rsidR="00845BCB" w:rsidRPr="00845BCB">
        <w:rPr>
          <w:rFonts w:ascii="Times New Roman" w:hAnsi="Times New Roman" w:cs="Times New Roman"/>
          <w:sz w:val="24"/>
          <w:szCs w:val="24"/>
        </w:rPr>
        <w:t>remained</w:t>
      </w:r>
      <w:r w:rsidRPr="00845BCB">
        <w:rPr>
          <w:rFonts w:ascii="Times New Roman" w:hAnsi="Times New Roman" w:cs="Times New Roman"/>
          <w:sz w:val="24"/>
          <w:szCs w:val="24"/>
        </w:rPr>
        <w:t xml:space="preserve"> fatally defective</w:t>
      </w:r>
      <w:r w:rsidR="00115207">
        <w:rPr>
          <w:rFonts w:ascii="Times New Roman" w:hAnsi="Times New Roman" w:cs="Times New Roman"/>
          <w:sz w:val="24"/>
          <w:szCs w:val="24"/>
        </w:rPr>
        <w:t xml:space="preserve"> to this date</w:t>
      </w:r>
      <w:r w:rsidR="00845BCB" w:rsidRPr="00845BCB">
        <w:rPr>
          <w:rFonts w:ascii="Times New Roman" w:hAnsi="Times New Roman" w:cs="Times New Roman"/>
          <w:sz w:val="24"/>
          <w:szCs w:val="24"/>
        </w:rPr>
        <w:t>. As such, it could not be reinstated because the substitution of Absolom</w:t>
      </w:r>
      <w:r w:rsidR="00FD2FD6">
        <w:rPr>
          <w:rFonts w:ascii="Times New Roman" w:hAnsi="Times New Roman" w:cs="Times New Roman"/>
          <w:sz w:val="24"/>
          <w:szCs w:val="24"/>
        </w:rPr>
        <w:t xml:space="preserve"> </w:t>
      </w:r>
      <w:r w:rsidR="00FD2FD6" w:rsidRPr="00845BCB">
        <w:rPr>
          <w:rFonts w:ascii="Times New Roman" w:hAnsi="Times New Roman" w:cs="Times New Roman"/>
          <w:sz w:val="24"/>
          <w:szCs w:val="24"/>
        </w:rPr>
        <w:t xml:space="preserve">as the second respondent </w:t>
      </w:r>
      <w:r w:rsidR="00FD2FD6">
        <w:rPr>
          <w:rFonts w:ascii="Times New Roman" w:hAnsi="Times New Roman" w:cs="Times New Roman"/>
          <w:sz w:val="24"/>
          <w:szCs w:val="24"/>
        </w:rPr>
        <w:t>by</w:t>
      </w:r>
      <w:r w:rsidR="00115207">
        <w:rPr>
          <w:rFonts w:ascii="Times New Roman" w:hAnsi="Times New Roman" w:cs="Times New Roman"/>
          <w:sz w:val="24"/>
          <w:szCs w:val="24"/>
        </w:rPr>
        <w:t xml:space="preserve"> someone else</w:t>
      </w:r>
      <w:r w:rsidR="00845BCB" w:rsidRPr="00845BCB">
        <w:rPr>
          <w:rFonts w:ascii="Times New Roman" w:hAnsi="Times New Roman" w:cs="Times New Roman"/>
          <w:sz w:val="24"/>
          <w:szCs w:val="24"/>
        </w:rPr>
        <w:t xml:space="preserve"> was impermissible. He said r 38(2) did not cater for the substitution of a party who was dead </w:t>
      </w:r>
      <w:r w:rsidR="00845BCB" w:rsidRPr="00115207">
        <w:rPr>
          <w:rFonts w:ascii="Times New Roman" w:hAnsi="Times New Roman" w:cs="Times New Roman"/>
          <w:b/>
          <w:sz w:val="24"/>
          <w:szCs w:val="24"/>
        </w:rPr>
        <w:t xml:space="preserve">before </w:t>
      </w:r>
      <w:r w:rsidR="00845BCB" w:rsidRPr="00845BCB">
        <w:rPr>
          <w:rFonts w:ascii="Times New Roman" w:hAnsi="Times New Roman" w:cs="Times New Roman"/>
          <w:sz w:val="24"/>
          <w:szCs w:val="24"/>
        </w:rPr>
        <w:t xml:space="preserve">the proceedings commenced. Instead, it was intended to deal with situations where a party died </w:t>
      </w:r>
      <w:r w:rsidR="00845BCB" w:rsidRPr="00115207">
        <w:rPr>
          <w:rFonts w:ascii="Times New Roman" w:hAnsi="Times New Roman" w:cs="Times New Roman"/>
          <w:b/>
          <w:sz w:val="24"/>
          <w:szCs w:val="24"/>
        </w:rPr>
        <w:t xml:space="preserve">after </w:t>
      </w:r>
      <w:r w:rsidR="00845BCB" w:rsidRPr="00845BCB">
        <w:rPr>
          <w:rFonts w:ascii="Times New Roman" w:hAnsi="Times New Roman" w:cs="Times New Roman"/>
          <w:sz w:val="24"/>
          <w:szCs w:val="24"/>
        </w:rPr>
        <w:t xml:space="preserve">the commencement of the suit in issue. </w:t>
      </w:r>
    </w:p>
    <w:p w14:paraId="722C63B8" w14:textId="0B1F1A49" w:rsidR="0054392D" w:rsidRDefault="0054392D" w:rsidP="00845BCB">
      <w:pPr>
        <w:pStyle w:val="ListParagraph"/>
        <w:numPr>
          <w:ilvl w:val="0"/>
          <w:numId w:val="7"/>
        </w:numPr>
        <w:spacing w:after="0" w:line="360" w:lineRule="auto"/>
        <w:jc w:val="both"/>
        <w:rPr>
          <w:rFonts w:ascii="Times New Roman" w:hAnsi="Times New Roman" w:cs="Times New Roman"/>
          <w:sz w:val="24"/>
          <w:szCs w:val="24"/>
        </w:rPr>
      </w:pPr>
      <w:r w:rsidRPr="00845BCB">
        <w:rPr>
          <w:rFonts w:ascii="Times New Roman" w:hAnsi="Times New Roman" w:cs="Times New Roman"/>
          <w:sz w:val="24"/>
          <w:szCs w:val="24"/>
        </w:rPr>
        <w:t>In response, Mr</w:t>
      </w:r>
      <w:r w:rsidRPr="00845BCB">
        <w:rPr>
          <w:rFonts w:ascii="Times New Roman" w:hAnsi="Times New Roman" w:cs="Times New Roman"/>
          <w:i/>
          <w:sz w:val="24"/>
          <w:szCs w:val="24"/>
        </w:rPr>
        <w:t xml:space="preserve"> Mtima </w:t>
      </w:r>
      <w:r w:rsidRPr="00845BCB">
        <w:rPr>
          <w:rFonts w:ascii="Times New Roman" w:hAnsi="Times New Roman" w:cs="Times New Roman"/>
          <w:sz w:val="24"/>
          <w:szCs w:val="24"/>
        </w:rPr>
        <w:t xml:space="preserve">for the applicant, </w:t>
      </w:r>
      <w:r w:rsidR="00845BCB">
        <w:rPr>
          <w:rFonts w:ascii="Times New Roman" w:hAnsi="Times New Roman" w:cs="Times New Roman"/>
          <w:sz w:val="24"/>
          <w:szCs w:val="24"/>
        </w:rPr>
        <w:t xml:space="preserve">insisted </w:t>
      </w:r>
      <w:r w:rsidRPr="00845BCB">
        <w:rPr>
          <w:rFonts w:ascii="Times New Roman" w:hAnsi="Times New Roman" w:cs="Times New Roman"/>
          <w:sz w:val="24"/>
          <w:szCs w:val="24"/>
        </w:rPr>
        <w:t xml:space="preserve">that the applicant </w:t>
      </w:r>
      <w:r w:rsidR="00845BCB">
        <w:rPr>
          <w:rFonts w:ascii="Times New Roman" w:hAnsi="Times New Roman" w:cs="Times New Roman"/>
          <w:sz w:val="24"/>
          <w:szCs w:val="24"/>
        </w:rPr>
        <w:t>had not been</w:t>
      </w:r>
      <w:r w:rsidRPr="00845BCB">
        <w:rPr>
          <w:rFonts w:ascii="Times New Roman" w:hAnsi="Times New Roman" w:cs="Times New Roman"/>
          <w:sz w:val="24"/>
          <w:szCs w:val="24"/>
        </w:rPr>
        <w:t xml:space="preserve"> aware of the death of the</w:t>
      </w:r>
      <w:r w:rsidR="00845BCB">
        <w:rPr>
          <w:rFonts w:ascii="Times New Roman" w:hAnsi="Times New Roman" w:cs="Times New Roman"/>
          <w:sz w:val="24"/>
          <w:szCs w:val="24"/>
        </w:rPr>
        <w:t xml:space="preserve"> second</w:t>
      </w:r>
      <w:r w:rsidRPr="00845BCB">
        <w:rPr>
          <w:rFonts w:ascii="Times New Roman" w:hAnsi="Times New Roman" w:cs="Times New Roman"/>
          <w:sz w:val="24"/>
          <w:szCs w:val="24"/>
        </w:rPr>
        <w:t xml:space="preserve"> respondent at the time</w:t>
      </w:r>
      <w:r w:rsidR="00381277">
        <w:rPr>
          <w:rFonts w:ascii="Times New Roman" w:hAnsi="Times New Roman" w:cs="Times New Roman"/>
          <w:sz w:val="24"/>
          <w:szCs w:val="24"/>
        </w:rPr>
        <w:t xml:space="preserve"> the</w:t>
      </w:r>
      <w:r w:rsidRPr="00845BCB">
        <w:rPr>
          <w:rFonts w:ascii="Times New Roman" w:hAnsi="Times New Roman" w:cs="Times New Roman"/>
          <w:sz w:val="24"/>
          <w:szCs w:val="24"/>
        </w:rPr>
        <w:t xml:space="preserve"> notice of set down</w:t>
      </w:r>
      <w:r w:rsidR="00381277">
        <w:rPr>
          <w:rFonts w:ascii="Times New Roman" w:hAnsi="Times New Roman" w:cs="Times New Roman"/>
          <w:sz w:val="24"/>
          <w:szCs w:val="24"/>
        </w:rPr>
        <w:t xml:space="preserve"> was filed</w:t>
      </w:r>
      <w:r w:rsidRPr="00845BCB">
        <w:rPr>
          <w:rFonts w:ascii="Times New Roman" w:hAnsi="Times New Roman" w:cs="Times New Roman"/>
          <w:sz w:val="24"/>
          <w:szCs w:val="24"/>
        </w:rPr>
        <w:t xml:space="preserve">. He </w:t>
      </w:r>
      <w:r w:rsidR="00845BCB">
        <w:rPr>
          <w:rFonts w:ascii="Times New Roman" w:hAnsi="Times New Roman" w:cs="Times New Roman"/>
          <w:sz w:val="24"/>
          <w:szCs w:val="24"/>
        </w:rPr>
        <w:t xml:space="preserve">argued that </w:t>
      </w:r>
      <w:r w:rsidRPr="00845BCB">
        <w:rPr>
          <w:rFonts w:ascii="Times New Roman" w:hAnsi="Times New Roman" w:cs="Times New Roman"/>
          <w:sz w:val="24"/>
          <w:szCs w:val="24"/>
        </w:rPr>
        <w:t xml:space="preserve">the law </w:t>
      </w:r>
      <w:r w:rsidR="00845BCB">
        <w:rPr>
          <w:rFonts w:ascii="Times New Roman" w:hAnsi="Times New Roman" w:cs="Times New Roman"/>
          <w:sz w:val="24"/>
          <w:szCs w:val="24"/>
        </w:rPr>
        <w:t>regulating the procedure to be taken pursuant to</w:t>
      </w:r>
      <w:r w:rsidRPr="00845BCB">
        <w:rPr>
          <w:rFonts w:ascii="Times New Roman" w:hAnsi="Times New Roman" w:cs="Times New Roman"/>
          <w:sz w:val="24"/>
          <w:szCs w:val="24"/>
        </w:rPr>
        <w:t xml:space="preserve"> the death of a party to proceedings is found under </w:t>
      </w:r>
      <w:r w:rsidR="00845BCB">
        <w:rPr>
          <w:rFonts w:ascii="Times New Roman" w:hAnsi="Times New Roman" w:cs="Times New Roman"/>
          <w:sz w:val="24"/>
          <w:szCs w:val="24"/>
        </w:rPr>
        <w:t>r</w:t>
      </w:r>
      <w:r w:rsidRPr="00845BCB">
        <w:rPr>
          <w:rFonts w:ascii="Times New Roman" w:hAnsi="Times New Roman" w:cs="Times New Roman"/>
          <w:sz w:val="24"/>
          <w:szCs w:val="24"/>
        </w:rPr>
        <w:t xml:space="preserve"> 32(8)</w:t>
      </w:r>
      <w:r w:rsidR="00845BCB">
        <w:rPr>
          <w:rFonts w:ascii="Times New Roman" w:hAnsi="Times New Roman" w:cs="Times New Roman"/>
          <w:sz w:val="24"/>
          <w:szCs w:val="24"/>
        </w:rPr>
        <w:t>. In line with that,</w:t>
      </w:r>
      <w:r w:rsidRPr="00845BCB">
        <w:rPr>
          <w:rFonts w:ascii="Times New Roman" w:hAnsi="Times New Roman" w:cs="Times New Roman"/>
          <w:sz w:val="24"/>
          <w:szCs w:val="24"/>
        </w:rPr>
        <w:t xml:space="preserve"> </w:t>
      </w:r>
      <w:r w:rsidR="00FD2FD6">
        <w:rPr>
          <w:rFonts w:ascii="Times New Roman" w:hAnsi="Times New Roman" w:cs="Times New Roman"/>
          <w:sz w:val="24"/>
          <w:szCs w:val="24"/>
        </w:rPr>
        <w:t xml:space="preserve">so he said, </w:t>
      </w:r>
      <w:r w:rsidRPr="00845BCB">
        <w:rPr>
          <w:rFonts w:ascii="Times New Roman" w:hAnsi="Times New Roman" w:cs="Times New Roman"/>
          <w:sz w:val="24"/>
          <w:szCs w:val="24"/>
        </w:rPr>
        <w:t xml:space="preserve">the applicant </w:t>
      </w:r>
      <w:r w:rsidR="00015AE6">
        <w:rPr>
          <w:rFonts w:ascii="Times New Roman" w:hAnsi="Times New Roman" w:cs="Times New Roman"/>
          <w:sz w:val="24"/>
          <w:szCs w:val="24"/>
        </w:rPr>
        <w:t xml:space="preserve">had </w:t>
      </w:r>
      <w:r w:rsidRPr="00845BCB">
        <w:rPr>
          <w:rFonts w:ascii="Times New Roman" w:hAnsi="Times New Roman" w:cs="Times New Roman"/>
          <w:sz w:val="24"/>
          <w:szCs w:val="24"/>
        </w:rPr>
        <w:t xml:space="preserve">filed a notice of substitution </w:t>
      </w:r>
      <w:r w:rsidR="00015AE6">
        <w:rPr>
          <w:rFonts w:ascii="Times New Roman" w:hAnsi="Times New Roman" w:cs="Times New Roman"/>
          <w:sz w:val="24"/>
          <w:szCs w:val="24"/>
        </w:rPr>
        <w:t xml:space="preserve">of the second respondent with the executrix dative of his estate, </w:t>
      </w:r>
      <w:r w:rsidRPr="00845BCB">
        <w:rPr>
          <w:rFonts w:ascii="Times New Roman" w:hAnsi="Times New Roman" w:cs="Times New Roman"/>
          <w:sz w:val="24"/>
          <w:szCs w:val="24"/>
        </w:rPr>
        <w:t xml:space="preserve">on 20 November 2024. He further </w:t>
      </w:r>
      <w:r w:rsidR="00015AE6">
        <w:rPr>
          <w:rFonts w:ascii="Times New Roman" w:hAnsi="Times New Roman" w:cs="Times New Roman"/>
          <w:sz w:val="24"/>
          <w:szCs w:val="24"/>
        </w:rPr>
        <w:t>contended</w:t>
      </w:r>
      <w:r w:rsidRPr="00845BCB">
        <w:rPr>
          <w:rFonts w:ascii="Times New Roman" w:hAnsi="Times New Roman" w:cs="Times New Roman"/>
          <w:sz w:val="24"/>
          <w:szCs w:val="24"/>
        </w:rPr>
        <w:t xml:space="preserve"> that the respondent </w:t>
      </w:r>
      <w:r w:rsidR="00015AE6">
        <w:rPr>
          <w:rFonts w:ascii="Times New Roman" w:hAnsi="Times New Roman" w:cs="Times New Roman"/>
          <w:sz w:val="24"/>
          <w:szCs w:val="24"/>
        </w:rPr>
        <w:t xml:space="preserve">retained </w:t>
      </w:r>
      <w:r w:rsidRPr="00845BCB">
        <w:rPr>
          <w:rFonts w:ascii="Times New Roman" w:hAnsi="Times New Roman" w:cs="Times New Roman"/>
          <w:sz w:val="24"/>
          <w:szCs w:val="24"/>
        </w:rPr>
        <w:t xml:space="preserve">a procedural right in terms of </w:t>
      </w:r>
      <w:r w:rsidR="00015AE6">
        <w:rPr>
          <w:rFonts w:ascii="Times New Roman" w:hAnsi="Times New Roman" w:cs="Times New Roman"/>
          <w:sz w:val="24"/>
          <w:szCs w:val="24"/>
        </w:rPr>
        <w:t>r</w:t>
      </w:r>
      <w:r w:rsidRPr="00845BCB">
        <w:rPr>
          <w:rFonts w:ascii="Times New Roman" w:hAnsi="Times New Roman" w:cs="Times New Roman"/>
          <w:sz w:val="24"/>
          <w:szCs w:val="24"/>
        </w:rPr>
        <w:t xml:space="preserve"> 32(10) to challenge th</w:t>
      </w:r>
      <w:r w:rsidR="00015AE6">
        <w:rPr>
          <w:rFonts w:ascii="Times New Roman" w:hAnsi="Times New Roman" w:cs="Times New Roman"/>
          <w:sz w:val="24"/>
          <w:szCs w:val="24"/>
        </w:rPr>
        <w:t>at</w:t>
      </w:r>
      <w:r w:rsidRPr="00845BCB">
        <w:rPr>
          <w:rFonts w:ascii="Times New Roman" w:hAnsi="Times New Roman" w:cs="Times New Roman"/>
          <w:sz w:val="24"/>
          <w:szCs w:val="24"/>
        </w:rPr>
        <w:t xml:space="preserve"> substitution within </w:t>
      </w:r>
      <w:r w:rsidR="00015AE6">
        <w:rPr>
          <w:rFonts w:ascii="Times New Roman" w:hAnsi="Times New Roman" w:cs="Times New Roman"/>
          <w:sz w:val="24"/>
          <w:szCs w:val="24"/>
        </w:rPr>
        <w:t>fi</w:t>
      </w:r>
      <w:r w:rsidR="00E05554">
        <w:rPr>
          <w:rFonts w:ascii="Times New Roman" w:hAnsi="Times New Roman" w:cs="Times New Roman"/>
          <w:sz w:val="24"/>
          <w:szCs w:val="24"/>
        </w:rPr>
        <w:t>fteen</w:t>
      </w:r>
      <w:r w:rsidR="00015AE6">
        <w:rPr>
          <w:rFonts w:ascii="Times New Roman" w:hAnsi="Times New Roman" w:cs="Times New Roman"/>
          <w:sz w:val="24"/>
          <w:szCs w:val="24"/>
        </w:rPr>
        <w:t xml:space="preserve"> (</w:t>
      </w:r>
      <w:r w:rsidR="00E05554">
        <w:rPr>
          <w:rFonts w:ascii="Times New Roman" w:hAnsi="Times New Roman" w:cs="Times New Roman"/>
          <w:sz w:val="24"/>
          <w:szCs w:val="24"/>
        </w:rPr>
        <w:t>1</w:t>
      </w:r>
      <w:r w:rsidR="00015AE6">
        <w:rPr>
          <w:rFonts w:ascii="Times New Roman" w:hAnsi="Times New Roman" w:cs="Times New Roman"/>
          <w:sz w:val="24"/>
          <w:szCs w:val="24"/>
        </w:rPr>
        <w:t>5)</w:t>
      </w:r>
      <w:r w:rsidRPr="00845BCB">
        <w:rPr>
          <w:rFonts w:ascii="Times New Roman" w:hAnsi="Times New Roman" w:cs="Times New Roman"/>
          <w:sz w:val="24"/>
          <w:szCs w:val="24"/>
        </w:rPr>
        <w:t xml:space="preserve"> days </w:t>
      </w:r>
      <w:r w:rsidR="00E05554">
        <w:rPr>
          <w:rFonts w:ascii="Times New Roman" w:hAnsi="Times New Roman" w:cs="Times New Roman"/>
          <w:sz w:val="24"/>
          <w:szCs w:val="24"/>
        </w:rPr>
        <w:t xml:space="preserve">after being served with the notice of substitution. It had </w:t>
      </w:r>
      <w:r w:rsidRPr="00845BCB">
        <w:rPr>
          <w:rFonts w:ascii="Times New Roman" w:hAnsi="Times New Roman" w:cs="Times New Roman"/>
          <w:sz w:val="24"/>
          <w:szCs w:val="24"/>
        </w:rPr>
        <w:t>failed and/or neglected to</w:t>
      </w:r>
      <w:r w:rsidR="00E05554">
        <w:rPr>
          <w:rFonts w:ascii="Times New Roman" w:hAnsi="Times New Roman" w:cs="Times New Roman"/>
          <w:sz w:val="24"/>
          <w:szCs w:val="24"/>
        </w:rPr>
        <w:t xml:space="preserve"> do so. It</w:t>
      </w:r>
      <w:r w:rsidRPr="00845BCB">
        <w:rPr>
          <w:rFonts w:ascii="Times New Roman" w:hAnsi="Times New Roman" w:cs="Times New Roman"/>
          <w:sz w:val="24"/>
          <w:szCs w:val="24"/>
        </w:rPr>
        <w:t xml:space="preserve"> therefore</w:t>
      </w:r>
      <w:r w:rsidR="00E05554">
        <w:rPr>
          <w:rFonts w:ascii="Times New Roman" w:hAnsi="Times New Roman" w:cs="Times New Roman"/>
          <w:sz w:val="24"/>
          <w:szCs w:val="24"/>
        </w:rPr>
        <w:t xml:space="preserve"> was</w:t>
      </w:r>
      <w:r w:rsidRPr="00845BCB">
        <w:rPr>
          <w:rFonts w:ascii="Times New Roman" w:hAnsi="Times New Roman" w:cs="Times New Roman"/>
          <w:sz w:val="24"/>
          <w:szCs w:val="24"/>
        </w:rPr>
        <w:t xml:space="preserve"> barred </w:t>
      </w:r>
      <w:r w:rsidR="00E05554">
        <w:rPr>
          <w:rFonts w:ascii="Times New Roman" w:hAnsi="Times New Roman" w:cs="Times New Roman"/>
          <w:sz w:val="24"/>
          <w:szCs w:val="24"/>
        </w:rPr>
        <w:t>from pursuing it belatedly</w:t>
      </w:r>
      <w:r w:rsidRPr="00845BCB">
        <w:rPr>
          <w:rFonts w:ascii="Times New Roman" w:hAnsi="Times New Roman" w:cs="Times New Roman"/>
          <w:sz w:val="24"/>
          <w:szCs w:val="24"/>
        </w:rPr>
        <w:t>.</w:t>
      </w:r>
    </w:p>
    <w:p w14:paraId="2BFA7C43" w14:textId="77777777" w:rsidR="00391CBB" w:rsidRPr="00391CBB" w:rsidRDefault="00391CBB" w:rsidP="00391CBB">
      <w:pPr>
        <w:pStyle w:val="ListParagraph"/>
        <w:spacing w:after="0" w:line="360" w:lineRule="auto"/>
        <w:jc w:val="both"/>
        <w:rPr>
          <w:rFonts w:ascii="Times New Roman" w:hAnsi="Times New Roman" w:cs="Times New Roman"/>
          <w:b/>
          <w:sz w:val="24"/>
          <w:szCs w:val="24"/>
        </w:rPr>
      </w:pPr>
      <w:r w:rsidRPr="00391CBB">
        <w:rPr>
          <w:rFonts w:ascii="Times New Roman" w:hAnsi="Times New Roman" w:cs="Times New Roman"/>
          <w:b/>
          <w:sz w:val="24"/>
          <w:szCs w:val="24"/>
        </w:rPr>
        <w:t>The issues for determination</w:t>
      </w:r>
    </w:p>
    <w:p w14:paraId="437DD7E7" w14:textId="7175AFE1" w:rsidR="00391CBB" w:rsidRDefault="00391CBB" w:rsidP="00391CBB">
      <w:pPr>
        <w:pStyle w:val="ListParagraph"/>
        <w:numPr>
          <w:ilvl w:val="0"/>
          <w:numId w:val="7"/>
        </w:numPr>
        <w:spacing w:after="0" w:line="360" w:lineRule="auto"/>
        <w:jc w:val="both"/>
        <w:rPr>
          <w:rFonts w:ascii="Times New Roman" w:hAnsi="Times New Roman" w:cs="Times New Roman"/>
          <w:sz w:val="24"/>
          <w:szCs w:val="24"/>
        </w:rPr>
      </w:pPr>
      <w:r w:rsidRPr="00E05554">
        <w:rPr>
          <w:rFonts w:ascii="Times New Roman" w:hAnsi="Times New Roman" w:cs="Times New Roman"/>
          <w:sz w:val="24"/>
          <w:szCs w:val="24"/>
        </w:rPr>
        <w:t xml:space="preserve">From the </w:t>
      </w:r>
      <w:r>
        <w:rPr>
          <w:rFonts w:ascii="Times New Roman" w:hAnsi="Times New Roman" w:cs="Times New Roman"/>
          <w:sz w:val="24"/>
          <w:szCs w:val="24"/>
        </w:rPr>
        <w:t xml:space="preserve">above </w:t>
      </w:r>
      <w:r w:rsidRPr="00E05554">
        <w:rPr>
          <w:rFonts w:ascii="Times New Roman" w:hAnsi="Times New Roman" w:cs="Times New Roman"/>
          <w:sz w:val="24"/>
          <w:szCs w:val="24"/>
        </w:rPr>
        <w:t>arguments</w:t>
      </w:r>
      <w:r>
        <w:rPr>
          <w:rFonts w:ascii="Times New Roman" w:hAnsi="Times New Roman" w:cs="Times New Roman"/>
          <w:sz w:val="24"/>
          <w:szCs w:val="24"/>
        </w:rPr>
        <w:t xml:space="preserve">, </w:t>
      </w:r>
      <w:r w:rsidRPr="00E05554">
        <w:rPr>
          <w:rFonts w:ascii="Times New Roman" w:hAnsi="Times New Roman" w:cs="Times New Roman"/>
          <w:sz w:val="24"/>
          <w:szCs w:val="24"/>
        </w:rPr>
        <w:t xml:space="preserve">the </w:t>
      </w:r>
      <w:r>
        <w:rPr>
          <w:rFonts w:ascii="Times New Roman" w:hAnsi="Times New Roman" w:cs="Times New Roman"/>
          <w:sz w:val="24"/>
          <w:szCs w:val="24"/>
        </w:rPr>
        <w:t xml:space="preserve">question for determination is </w:t>
      </w:r>
      <w:r w:rsidRPr="00E05554">
        <w:rPr>
          <w:rFonts w:ascii="Times New Roman" w:hAnsi="Times New Roman" w:cs="Times New Roman"/>
          <w:sz w:val="24"/>
          <w:szCs w:val="24"/>
        </w:rPr>
        <w:t xml:space="preserve">whether or not </w:t>
      </w:r>
      <w:r>
        <w:rPr>
          <w:rFonts w:ascii="Times New Roman" w:hAnsi="Times New Roman" w:cs="Times New Roman"/>
          <w:sz w:val="24"/>
          <w:szCs w:val="24"/>
        </w:rPr>
        <w:t xml:space="preserve">the application is properly before me; if it is, whether or not the applicant has made a case for the grant of both the applications for condonation and reinstatement. </w:t>
      </w:r>
    </w:p>
    <w:p w14:paraId="4DD09049" w14:textId="77777777" w:rsidR="00391CBB" w:rsidRPr="00391CBB" w:rsidRDefault="00391CBB" w:rsidP="00391CBB">
      <w:pPr>
        <w:pStyle w:val="ListParagraph"/>
        <w:spacing w:after="0" w:line="360" w:lineRule="auto"/>
        <w:jc w:val="both"/>
        <w:rPr>
          <w:rFonts w:ascii="Times New Roman" w:hAnsi="Times New Roman" w:cs="Times New Roman"/>
          <w:b/>
          <w:sz w:val="24"/>
          <w:szCs w:val="24"/>
        </w:rPr>
      </w:pPr>
      <w:r w:rsidRPr="00391CBB">
        <w:rPr>
          <w:rFonts w:ascii="Times New Roman" w:hAnsi="Times New Roman" w:cs="Times New Roman"/>
          <w:b/>
          <w:sz w:val="24"/>
          <w:szCs w:val="24"/>
        </w:rPr>
        <w:t>The preliminary objection</w:t>
      </w:r>
    </w:p>
    <w:p w14:paraId="553C126A" w14:textId="77777777" w:rsidR="00391CBB" w:rsidRDefault="00391CBB" w:rsidP="00391CB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objection in </w:t>
      </w:r>
      <w:r w:rsidRPr="00391CBB">
        <w:rPr>
          <w:rFonts w:ascii="Times New Roman" w:hAnsi="Times New Roman" w:cs="Times New Roman"/>
          <w:i/>
          <w:sz w:val="24"/>
          <w:szCs w:val="24"/>
        </w:rPr>
        <w:t>limine</w:t>
      </w:r>
      <w:r>
        <w:rPr>
          <w:rFonts w:ascii="Times New Roman" w:hAnsi="Times New Roman" w:cs="Times New Roman"/>
          <w:sz w:val="24"/>
          <w:szCs w:val="24"/>
        </w:rPr>
        <w:t xml:space="preserve"> was squarely based on whether or not a party can be</w:t>
      </w:r>
      <w:r w:rsidRPr="00E05554">
        <w:rPr>
          <w:rFonts w:ascii="Times New Roman" w:hAnsi="Times New Roman" w:cs="Times New Roman"/>
          <w:sz w:val="24"/>
          <w:szCs w:val="24"/>
        </w:rPr>
        <w:t xml:space="preserve"> substituted in terms of </w:t>
      </w:r>
      <w:r>
        <w:rPr>
          <w:rFonts w:ascii="Times New Roman" w:hAnsi="Times New Roman" w:cs="Times New Roman"/>
          <w:sz w:val="24"/>
          <w:szCs w:val="24"/>
        </w:rPr>
        <w:t xml:space="preserve">r </w:t>
      </w:r>
      <w:r w:rsidRPr="00E05554">
        <w:rPr>
          <w:rFonts w:ascii="Times New Roman" w:hAnsi="Times New Roman" w:cs="Times New Roman"/>
          <w:sz w:val="24"/>
          <w:szCs w:val="24"/>
        </w:rPr>
        <w:t xml:space="preserve">32(8) if he/she predeceased the claim against him/her. </w:t>
      </w:r>
      <w:r w:rsidR="00123380">
        <w:rPr>
          <w:rFonts w:ascii="Times New Roman" w:hAnsi="Times New Roman" w:cs="Times New Roman"/>
          <w:sz w:val="24"/>
          <w:szCs w:val="24"/>
        </w:rPr>
        <w:t xml:space="preserve">Subrule (8) of r </w:t>
      </w:r>
      <w:r w:rsidRPr="00E05554">
        <w:rPr>
          <w:rFonts w:ascii="Times New Roman" w:hAnsi="Times New Roman" w:cs="Times New Roman"/>
          <w:sz w:val="24"/>
          <w:szCs w:val="24"/>
        </w:rPr>
        <w:t xml:space="preserve">32 </w:t>
      </w:r>
      <w:r w:rsidR="00123380">
        <w:rPr>
          <w:rFonts w:ascii="Times New Roman" w:hAnsi="Times New Roman" w:cs="Times New Roman"/>
          <w:sz w:val="24"/>
          <w:szCs w:val="24"/>
        </w:rPr>
        <w:t xml:space="preserve">is predicated on Subrule (7) which </w:t>
      </w:r>
      <w:r w:rsidRPr="00E05554">
        <w:rPr>
          <w:rFonts w:ascii="Times New Roman" w:hAnsi="Times New Roman" w:cs="Times New Roman"/>
          <w:sz w:val="24"/>
          <w:szCs w:val="24"/>
        </w:rPr>
        <w:t xml:space="preserve">provides as follows: </w:t>
      </w:r>
    </w:p>
    <w:p w14:paraId="7C9B5ACD" w14:textId="77777777" w:rsidR="00123380" w:rsidRDefault="00123380" w:rsidP="009675D6">
      <w:pPr>
        <w:pStyle w:val="ListParagraph"/>
        <w:spacing w:after="0" w:line="240" w:lineRule="auto"/>
        <w:ind w:left="1440"/>
        <w:jc w:val="both"/>
        <w:rPr>
          <w:rFonts w:ascii="Times New Roman" w:hAnsi="Times New Roman" w:cs="Times New Roman"/>
          <w:sz w:val="20"/>
          <w:szCs w:val="20"/>
        </w:rPr>
      </w:pPr>
      <w:r>
        <w:rPr>
          <w:rFonts w:ascii="Times New Roman" w:hAnsi="Times New Roman" w:cs="Times New Roman"/>
          <w:sz w:val="24"/>
          <w:szCs w:val="24"/>
        </w:rPr>
        <w:t>(</w:t>
      </w:r>
      <w:r w:rsidRPr="007A17E0">
        <w:rPr>
          <w:rFonts w:ascii="Times New Roman" w:hAnsi="Times New Roman" w:cs="Times New Roman"/>
          <w:sz w:val="20"/>
          <w:szCs w:val="20"/>
        </w:rPr>
        <w:t>7) No proceedings shall terminate solely as a result</w:t>
      </w:r>
      <w:r w:rsidR="007A17E0" w:rsidRPr="007A17E0">
        <w:rPr>
          <w:rFonts w:ascii="Times New Roman" w:hAnsi="Times New Roman" w:cs="Times New Roman"/>
          <w:sz w:val="20"/>
          <w:szCs w:val="20"/>
        </w:rPr>
        <w:t xml:space="preserve"> of the death, marriage or other change of status of any person unless the proceedings are thereby extinguished.”</w:t>
      </w:r>
    </w:p>
    <w:p w14:paraId="4B6FE1E5" w14:textId="77777777" w:rsidR="00FD2FD6" w:rsidRDefault="00FD2FD6" w:rsidP="00FD2FD6">
      <w:pPr>
        <w:spacing w:after="0" w:line="240" w:lineRule="auto"/>
        <w:ind w:firstLine="720"/>
        <w:jc w:val="both"/>
        <w:rPr>
          <w:rFonts w:ascii="Times New Roman" w:hAnsi="Times New Roman" w:cs="Times New Roman"/>
          <w:sz w:val="24"/>
          <w:szCs w:val="24"/>
        </w:rPr>
      </w:pPr>
    </w:p>
    <w:p w14:paraId="6EF752B2" w14:textId="3D141E9A" w:rsidR="007A17E0" w:rsidRPr="007A17E0" w:rsidRDefault="00FD2FD6" w:rsidP="00FD2F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17E0">
        <w:rPr>
          <w:rFonts w:ascii="Times New Roman" w:hAnsi="Times New Roman" w:cs="Times New Roman"/>
          <w:sz w:val="24"/>
          <w:szCs w:val="24"/>
        </w:rPr>
        <w:t>In turn, and on its part, subrule (8) is couched in the following terms:</w:t>
      </w:r>
    </w:p>
    <w:p w14:paraId="212C69FB" w14:textId="77777777" w:rsidR="00391CBB" w:rsidRDefault="00391CBB" w:rsidP="009675D6">
      <w:pPr>
        <w:spacing w:after="0" w:line="240" w:lineRule="auto"/>
        <w:ind w:left="1440"/>
        <w:jc w:val="both"/>
        <w:rPr>
          <w:rFonts w:ascii="Times New Roman" w:hAnsi="Times New Roman" w:cs="Times New Roman"/>
          <w:sz w:val="20"/>
          <w:szCs w:val="20"/>
        </w:rPr>
      </w:pPr>
      <w:r>
        <w:rPr>
          <w:rFonts w:ascii="Times New Roman" w:hAnsi="Times New Roman" w:cs="Times New Roman"/>
          <w:sz w:val="24"/>
          <w:szCs w:val="24"/>
        </w:rPr>
        <w:lastRenderedPageBreak/>
        <w:tab/>
      </w:r>
      <w:r>
        <w:rPr>
          <w:rFonts w:ascii="Times New Roman" w:hAnsi="Times New Roman" w:cs="Times New Roman"/>
          <w:sz w:val="20"/>
          <w:szCs w:val="20"/>
        </w:rPr>
        <w:t>“(8) If, as a result of an event referred to in subrule (7), it is necessary or desirable to join or substitute a person as a party to any proceedings, any party to the proceedings may, by notice served on that person and all other parties and filed with the registrar, join or substitute that person as a party to the proceedings, and thereupon. Subject to subrule (10), the proceedings shall continue with the person so joined or substituted as the case may be, as if he or she had been a party from their commencement:</w:t>
      </w:r>
    </w:p>
    <w:p w14:paraId="3FEA8AA4" w14:textId="77777777" w:rsidR="00391CBB" w:rsidRDefault="00391CBB" w:rsidP="009675D6">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Provided that – </w:t>
      </w:r>
    </w:p>
    <w:p w14:paraId="23D581DB" w14:textId="77777777" w:rsidR="00391CBB" w:rsidRPr="00933C59" w:rsidRDefault="00391CBB" w:rsidP="009675D6">
      <w:pPr>
        <w:pStyle w:val="ListParagraph"/>
        <w:numPr>
          <w:ilvl w:val="0"/>
          <w:numId w:val="4"/>
        </w:numPr>
        <w:spacing w:after="0" w:line="240" w:lineRule="auto"/>
        <w:ind w:left="3024"/>
        <w:jc w:val="both"/>
        <w:rPr>
          <w:rFonts w:ascii="Times New Roman" w:hAnsi="Times New Roman" w:cs="Times New Roman"/>
          <w:sz w:val="20"/>
          <w:szCs w:val="20"/>
        </w:rPr>
      </w:pPr>
      <w:r>
        <w:rPr>
          <w:rFonts w:ascii="Times New Roman" w:hAnsi="Times New Roman" w:cs="Times New Roman"/>
          <w:sz w:val="20"/>
          <w:szCs w:val="20"/>
        </w:rPr>
        <w:t xml:space="preserve">Except with the leave of the court, </w:t>
      </w:r>
      <w:r w:rsidRPr="00933C59">
        <w:rPr>
          <w:rFonts w:ascii="Times New Roman" w:hAnsi="Times New Roman" w:cs="Times New Roman"/>
          <w:sz w:val="20"/>
          <w:szCs w:val="20"/>
        </w:rPr>
        <w:t>no such notice shall be given after the commencement of the hearing of any opposed matter;</w:t>
      </w:r>
    </w:p>
    <w:p w14:paraId="50E384F3" w14:textId="77777777" w:rsidR="00391CBB" w:rsidRPr="00F57BBB" w:rsidRDefault="00391CBB" w:rsidP="009675D6">
      <w:pPr>
        <w:pStyle w:val="ListParagraph"/>
        <w:numPr>
          <w:ilvl w:val="0"/>
          <w:numId w:val="4"/>
        </w:numPr>
        <w:spacing w:after="0" w:line="240" w:lineRule="auto"/>
        <w:ind w:left="3024"/>
        <w:jc w:val="both"/>
        <w:rPr>
          <w:rFonts w:ascii="Times New Roman" w:hAnsi="Times New Roman" w:cs="Times New Roman"/>
          <w:sz w:val="20"/>
          <w:szCs w:val="20"/>
        </w:rPr>
      </w:pPr>
      <w:r>
        <w:rPr>
          <w:rFonts w:ascii="Times New Roman" w:hAnsi="Times New Roman" w:cs="Times New Roman"/>
          <w:sz w:val="20"/>
          <w:szCs w:val="20"/>
        </w:rPr>
        <w:t>the copy of the notice filed on the person to be joined or substituted shall be accompanied by copies of all documents previously filed or served in the proceedings.” (own emphasis added)</w:t>
      </w:r>
    </w:p>
    <w:p w14:paraId="437048AD" w14:textId="77777777" w:rsidR="00391CBB" w:rsidRDefault="00391CBB" w:rsidP="00391CBB">
      <w:pPr>
        <w:spacing w:after="0" w:line="360" w:lineRule="auto"/>
        <w:ind w:left="720"/>
        <w:jc w:val="both"/>
        <w:rPr>
          <w:rFonts w:ascii="Times New Roman" w:hAnsi="Times New Roman" w:cs="Times New Roman"/>
          <w:sz w:val="20"/>
          <w:szCs w:val="20"/>
        </w:rPr>
      </w:pPr>
    </w:p>
    <w:p w14:paraId="1C9322EC" w14:textId="77777777" w:rsidR="00510D26" w:rsidRDefault="00933C59" w:rsidP="00510D26">
      <w:pPr>
        <w:pStyle w:val="ListParagraph"/>
        <w:numPr>
          <w:ilvl w:val="0"/>
          <w:numId w:val="34"/>
        </w:numPr>
        <w:spacing w:after="0" w:line="360" w:lineRule="auto"/>
        <w:jc w:val="both"/>
        <w:rPr>
          <w:rFonts w:ascii="Times New Roman" w:hAnsi="Times New Roman" w:cs="Times New Roman"/>
          <w:sz w:val="24"/>
          <w:szCs w:val="24"/>
        </w:rPr>
      </w:pPr>
      <w:r w:rsidRPr="00510D26">
        <w:rPr>
          <w:rFonts w:ascii="Times New Roman" w:hAnsi="Times New Roman" w:cs="Times New Roman"/>
          <w:sz w:val="24"/>
          <w:szCs w:val="24"/>
        </w:rPr>
        <w:t xml:space="preserve">My understanding of the above </w:t>
      </w:r>
      <w:r w:rsidR="0055580A" w:rsidRPr="00510D26">
        <w:rPr>
          <w:rFonts w:ascii="Times New Roman" w:hAnsi="Times New Roman" w:cs="Times New Roman"/>
          <w:sz w:val="24"/>
          <w:szCs w:val="24"/>
        </w:rPr>
        <w:t>sub rules</w:t>
      </w:r>
      <w:r w:rsidRPr="00510D26">
        <w:rPr>
          <w:rFonts w:ascii="Times New Roman" w:hAnsi="Times New Roman" w:cs="Times New Roman"/>
          <w:sz w:val="24"/>
          <w:szCs w:val="24"/>
        </w:rPr>
        <w:t>, is that it is permissible for a party to substitute a deceased party with the executor of his/her estate if the prescribed conditions are met</w:t>
      </w:r>
      <w:r w:rsidR="009675D6" w:rsidRPr="00510D26">
        <w:rPr>
          <w:rFonts w:ascii="Times New Roman" w:hAnsi="Times New Roman" w:cs="Times New Roman"/>
          <w:sz w:val="24"/>
          <w:szCs w:val="24"/>
        </w:rPr>
        <w:t xml:space="preserve"> and the party died </w:t>
      </w:r>
      <w:r w:rsidR="009675D6" w:rsidRPr="00510D26">
        <w:rPr>
          <w:rFonts w:ascii="Times New Roman" w:hAnsi="Times New Roman" w:cs="Times New Roman"/>
          <w:b/>
          <w:sz w:val="24"/>
          <w:szCs w:val="24"/>
        </w:rPr>
        <w:t xml:space="preserve">after </w:t>
      </w:r>
      <w:r w:rsidR="009675D6" w:rsidRPr="00510D26">
        <w:rPr>
          <w:rFonts w:ascii="Times New Roman" w:hAnsi="Times New Roman" w:cs="Times New Roman"/>
          <w:sz w:val="24"/>
          <w:szCs w:val="24"/>
        </w:rPr>
        <w:t>the commencement of the proceedings</w:t>
      </w:r>
      <w:r w:rsidRPr="00510D26">
        <w:rPr>
          <w:rFonts w:ascii="Times New Roman" w:hAnsi="Times New Roman" w:cs="Times New Roman"/>
          <w:sz w:val="24"/>
          <w:szCs w:val="24"/>
        </w:rPr>
        <w:t xml:space="preserve">. </w:t>
      </w:r>
      <w:r w:rsidR="00391CBB" w:rsidRPr="00510D26">
        <w:rPr>
          <w:rFonts w:ascii="Times New Roman" w:hAnsi="Times New Roman" w:cs="Times New Roman"/>
          <w:sz w:val="24"/>
          <w:szCs w:val="24"/>
        </w:rPr>
        <w:t xml:space="preserve"> </w:t>
      </w:r>
      <w:r w:rsidRPr="00510D26">
        <w:rPr>
          <w:rFonts w:ascii="Times New Roman" w:hAnsi="Times New Roman" w:cs="Times New Roman"/>
          <w:sz w:val="24"/>
          <w:szCs w:val="24"/>
        </w:rPr>
        <w:t xml:space="preserve">Yet in this case, </w:t>
      </w:r>
      <w:r w:rsidR="0055580A" w:rsidRPr="00510D26">
        <w:rPr>
          <w:rFonts w:ascii="Times New Roman" w:hAnsi="Times New Roman" w:cs="Times New Roman"/>
          <w:sz w:val="24"/>
          <w:szCs w:val="24"/>
        </w:rPr>
        <w:t>t</w:t>
      </w:r>
      <w:r w:rsidRPr="00510D26">
        <w:rPr>
          <w:rFonts w:ascii="Times New Roman" w:hAnsi="Times New Roman" w:cs="Times New Roman"/>
          <w:sz w:val="24"/>
          <w:szCs w:val="24"/>
        </w:rPr>
        <w:t xml:space="preserve">he argument is hardly that the citation or </w:t>
      </w:r>
      <w:r w:rsidR="0055580A" w:rsidRPr="00510D26">
        <w:rPr>
          <w:rFonts w:ascii="Times New Roman" w:hAnsi="Times New Roman" w:cs="Times New Roman"/>
          <w:sz w:val="24"/>
          <w:szCs w:val="24"/>
        </w:rPr>
        <w:t>the</w:t>
      </w:r>
      <w:r w:rsidRPr="00510D26">
        <w:rPr>
          <w:rFonts w:ascii="Times New Roman" w:hAnsi="Times New Roman" w:cs="Times New Roman"/>
          <w:sz w:val="24"/>
          <w:szCs w:val="24"/>
        </w:rPr>
        <w:t xml:space="preserve"> substitution </w:t>
      </w:r>
      <w:r w:rsidR="0055580A" w:rsidRPr="00510D26">
        <w:rPr>
          <w:rFonts w:ascii="Times New Roman" w:hAnsi="Times New Roman" w:cs="Times New Roman"/>
          <w:sz w:val="24"/>
          <w:szCs w:val="24"/>
        </w:rPr>
        <w:t xml:space="preserve">of the executrix dative </w:t>
      </w:r>
      <w:r w:rsidRPr="00510D26">
        <w:rPr>
          <w:rFonts w:ascii="Times New Roman" w:hAnsi="Times New Roman" w:cs="Times New Roman"/>
          <w:sz w:val="24"/>
          <w:szCs w:val="24"/>
        </w:rPr>
        <w:t xml:space="preserve">for the late </w:t>
      </w:r>
      <w:r w:rsidRPr="00510D26">
        <w:rPr>
          <w:rFonts w:ascii="Times New Roman" w:hAnsi="Times New Roman" w:cs="Times New Roman"/>
          <w:i/>
          <w:sz w:val="24"/>
          <w:szCs w:val="24"/>
        </w:rPr>
        <w:t>Absolom</w:t>
      </w:r>
      <w:r w:rsidRPr="00510D26">
        <w:rPr>
          <w:rFonts w:ascii="Times New Roman" w:hAnsi="Times New Roman" w:cs="Times New Roman"/>
          <w:sz w:val="24"/>
          <w:szCs w:val="24"/>
        </w:rPr>
        <w:t xml:space="preserve"> is not fathomable at law. It is simply that the </w:t>
      </w:r>
      <w:r w:rsidR="0055580A" w:rsidRPr="00510D26">
        <w:rPr>
          <w:rFonts w:ascii="Times New Roman" w:hAnsi="Times New Roman" w:cs="Times New Roman"/>
          <w:sz w:val="24"/>
          <w:szCs w:val="24"/>
        </w:rPr>
        <w:t xml:space="preserve">applicant’s initial </w:t>
      </w:r>
      <w:r w:rsidRPr="00510D26">
        <w:rPr>
          <w:rFonts w:ascii="Times New Roman" w:hAnsi="Times New Roman" w:cs="Times New Roman"/>
          <w:sz w:val="24"/>
          <w:szCs w:val="24"/>
        </w:rPr>
        <w:t xml:space="preserve">citation of Absolom </w:t>
      </w:r>
      <w:r w:rsidR="0055580A" w:rsidRPr="00510D26">
        <w:rPr>
          <w:rFonts w:ascii="Times New Roman" w:hAnsi="Times New Roman" w:cs="Times New Roman"/>
          <w:sz w:val="24"/>
          <w:szCs w:val="24"/>
        </w:rPr>
        <w:t xml:space="preserve">as the second defendant, </w:t>
      </w:r>
      <w:r w:rsidRPr="00510D26">
        <w:rPr>
          <w:rFonts w:ascii="Times New Roman" w:hAnsi="Times New Roman" w:cs="Times New Roman"/>
          <w:sz w:val="24"/>
          <w:szCs w:val="24"/>
        </w:rPr>
        <w:t xml:space="preserve">in the full knowledge that he was deceased </w:t>
      </w:r>
      <w:r w:rsidR="0055580A" w:rsidRPr="00510D26">
        <w:rPr>
          <w:rFonts w:ascii="Times New Roman" w:hAnsi="Times New Roman" w:cs="Times New Roman"/>
          <w:sz w:val="24"/>
          <w:szCs w:val="24"/>
        </w:rPr>
        <w:t>turned the entire suit into</w:t>
      </w:r>
      <w:r w:rsidRPr="00510D26">
        <w:rPr>
          <w:rFonts w:ascii="Times New Roman" w:hAnsi="Times New Roman" w:cs="Times New Roman"/>
          <w:sz w:val="24"/>
          <w:szCs w:val="24"/>
        </w:rPr>
        <w:t xml:space="preserve"> a nullity.  </w:t>
      </w:r>
      <w:r w:rsidR="0055580A" w:rsidRPr="00510D26">
        <w:rPr>
          <w:rFonts w:ascii="Times New Roman" w:hAnsi="Times New Roman" w:cs="Times New Roman"/>
          <w:sz w:val="24"/>
          <w:szCs w:val="24"/>
        </w:rPr>
        <w:t>The further argument was that, o</w:t>
      </w:r>
      <w:r w:rsidRPr="00510D26">
        <w:rPr>
          <w:rFonts w:ascii="Times New Roman" w:hAnsi="Times New Roman" w:cs="Times New Roman"/>
          <w:sz w:val="24"/>
          <w:szCs w:val="24"/>
        </w:rPr>
        <w:t xml:space="preserve">nce it </w:t>
      </w:r>
      <w:r w:rsidR="0055580A" w:rsidRPr="00510D26">
        <w:rPr>
          <w:rFonts w:ascii="Times New Roman" w:hAnsi="Times New Roman" w:cs="Times New Roman"/>
          <w:sz w:val="24"/>
          <w:szCs w:val="24"/>
        </w:rPr>
        <w:t>became a nullity</w:t>
      </w:r>
      <w:r w:rsidRPr="00510D26">
        <w:rPr>
          <w:rFonts w:ascii="Times New Roman" w:hAnsi="Times New Roman" w:cs="Times New Roman"/>
          <w:sz w:val="24"/>
          <w:szCs w:val="24"/>
        </w:rPr>
        <w:t>,</w:t>
      </w:r>
      <w:r w:rsidR="0055580A" w:rsidRPr="00510D26">
        <w:rPr>
          <w:rFonts w:ascii="Times New Roman" w:hAnsi="Times New Roman" w:cs="Times New Roman"/>
          <w:sz w:val="24"/>
          <w:szCs w:val="24"/>
        </w:rPr>
        <w:t xml:space="preserve"> Absolom </w:t>
      </w:r>
      <w:r w:rsidRPr="00510D26">
        <w:rPr>
          <w:rFonts w:ascii="Times New Roman" w:hAnsi="Times New Roman" w:cs="Times New Roman"/>
          <w:sz w:val="24"/>
          <w:szCs w:val="24"/>
        </w:rPr>
        <w:t xml:space="preserve">could not be substituted by anyone. </w:t>
      </w:r>
    </w:p>
    <w:p w14:paraId="0D90A911" w14:textId="77777777" w:rsidR="00510D26" w:rsidRDefault="0055580A" w:rsidP="00510D26">
      <w:pPr>
        <w:pStyle w:val="ListParagraph"/>
        <w:numPr>
          <w:ilvl w:val="0"/>
          <w:numId w:val="34"/>
        </w:numPr>
        <w:spacing w:after="0" w:line="360" w:lineRule="auto"/>
        <w:jc w:val="both"/>
        <w:rPr>
          <w:rFonts w:ascii="Times New Roman" w:hAnsi="Times New Roman" w:cs="Times New Roman"/>
          <w:sz w:val="24"/>
          <w:szCs w:val="24"/>
        </w:rPr>
      </w:pPr>
      <w:r w:rsidRPr="00510D26">
        <w:rPr>
          <w:rFonts w:ascii="Times New Roman" w:hAnsi="Times New Roman" w:cs="Times New Roman"/>
          <w:sz w:val="24"/>
          <w:szCs w:val="24"/>
        </w:rPr>
        <w:t xml:space="preserve">The correctness of the above arguments cannot be debated. To begin with, subrule (7) speaks to ‘termination’ of proceedings as a result of death among other eventualities. The synonyms of the word terminate include ‘stop’; ‘end’; ‘abort’; ‘close’; and ‘finish’; among others. It therefore envisages a scenario where something would have commenced or started. Proceedings cannot terminate before they have begun. Subrule (8) only kicks in </w:t>
      </w:r>
      <w:r w:rsidR="00A31604" w:rsidRPr="00510D26">
        <w:rPr>
          <w:rFonts w:ascii="Times New Roman" w:hAnsi="Times New Roman" w:cs="Times New Roman"/>
          <w:sz w:val="24"/>
          <w:szCs w:val="24"/>
        </w:rPr>
        <w:t>after the occurrence of any one of the events stated under subrule (7).</w:t>
      </w:r>
      <w:r w:rsidR="004B42A4" w:rsidRPr="00510D26">
        <w:rPr>
          <w:rFonts w:ascii="Times New Roman" w:hAnsi="Times New Roman" w:cs="Times New Roman"/>
          <w:sz w:val="24"/>
          <w:szCs w:val="24"/>
        </w:rPr>
        <w:t xml:space="preserve"> Had Absolom died after the commencement of the proceedings, the substitution in issue would have been a no brainer. </w:t>
      </w:r>
      <w:r w:rsidR="00A31604" w:rsidRPr="00510D26">
        <w:rPr>
          <w:rFonts w:ascii="Times New Roman" w:hAnsi="Times New Roman" w:cs="Times New Roman"/>
          <w:sz w:val="24"/>
          <w:szCs w:val="24"/>
        </w:rPr>
        <w:t xml:space="preserve"> It is, in my view, therefore</w:t>
      </w:r>
      <w:r w:rsidR="009A2873" w:rsidRPr="00510D26">
        <w:rPr>
          <w:rFonts w:ascii="Times New Roman" w:hAnsi="Times New Roman" w:cs="Times New Roman"/>
          <w:sz w:val="24"/>
          <w:szCs w:val="24"/>
        </w:rPr>
        <w:t xml:space="preserve"> </w:t>
      </w:r>
      <w:r w:rsidR="00A31604" w:rsidRPr="00510D26">
        <w:rPr>
          <w:rFonts w:ascii="Times New Roman" w:hAnsi="Times New Roman" w:cs="Times New Roman"/>
          <w:sz w:val="24"/>
          <w:szCs w:val="24"/>
        </w:rPr>
        <w:t xml:space="preserve">legally impermissible to substitute a party who was deceased at the time the proceedings commenced using the provisions of subrules (7) and (8). To me, it </w:t>
      </w:r>
      <w:r w:rsidR="004B42A4" w:rsidRPr="00510D26">
        <w:rPr>
          <w:rFonts w:ascii="Times New Roman" w:hAnsi="Times New Roman" w:cs="Times New Roman"/>
          <w:sz w:val="24"/>
          <w:szCs w:val="24"/>
        </w:rPr>
        <w:t xml:space="preserve">equally </w:t>
      </w:r>
      <w:r w:rsidR="00A31604" w:rsidRPr="00510D26">
        <w:rPr>
          <w:rFonts w:ascii="Times New Roman" w:hAnsi="Times New Roman" w:cs="Times New Roman"/>
          <w:sz w:val="24"/>
          <w:szCs w:val="24"/>
        </w:rPr>
        <w:t xml:space="preserve">seems immaterial whether or not the party seeking the substitution was or was not aware at the time of institution of the proceedings, that the party in question was deceased. </w:t>
      </w:r>
      <w:r w:rsidR="009A2873" w:rsidRPr="00510D26">
        <w:rPr>
          <w:rFonts w:ascii="Times New Roman" w:hAnsi="Times New Roman" w:cs="Times New Roman"/>
          <w:sz w:val="24"/>
          <w:szCs w:val="24"/>
        </w:rPr>
        <w:t xml:space="preserve">In any case, the drafters of the law, in coming up with the provisions, would not have contemplated that ordinarily a litigant would opt to cite a deceased person as a party to any proceedings in court. </w:t>
      </w:r>
    </w:p>
    <w:p w14:paraId="3D74AB90" w14:textId="77777777" w:rsidR="00510D26" w:rsidRDefault="004B42A4" w:rsidP="00510D26">
      <w:pPr>
        <w:pStyle w:val="ListParagraph"/>
        <w:numPr>
          <w:ilvl w:val="0"/>
          <w:numId w:val="34"/>
        </w:numPr>
        <w:spacing w:after="0" w:line="360" w:lineRule="auto"/>
        <w:jc w:val="both"/>
        <w:rPr>
          <w:rFonts w:ascii="Times New Roman" w:hAnsi="Times New Roman" w:cs="Times New Roman"/>
          <w:sz w:val="24"/>
          <w:szCs w:val="24"/>
        </w:rPr>
      </w:pPr>
      <w:r w:rsidRPr="00510D26">
        <w:rPr>
          <w:rFonts w:ascii="Times New Roman" w:hAnsi="Times New Roman" w:cs="Times New Roman"/>
          <w:sz w:val="24"/>
          <w:szCs w:val="24"/>
        </w:rPr>
        <w:lastRenderedPageBreak/>
        <w:t xml:space="preserve">What I point out above and the remarks I make would unfortunately remain obiter in this application. The arguments would have made more sense had they been raised against the merits of the case in an effort to show that the applicant’s prospects of success on the hearing of the main application would be seriously diminished if that argument were raised. </w:t>
      </w:r>
    </w:p>
    <w:p w14:paraId="5FFF12B9" w14:textId="77777777" w:rsidR="00510D26" w:rsidRDefault="004B42A4" w:rsidP="00510D26">
      <w:pPr>
        <w:pStyle w:val="ListParagraph"/>
        <w:numPr>
          <w:ilvl w:val="0"/>
          <w:numId w:val="34"/>
        </w:numPr>
        <w:spacing w:after="0" w:line="360" w:lineRule="auto"/>
        <w:jc w:val="both"/>
        <w:rPr>
          <w:rFonts w:ascii="Times New Roman" w:hAnsi="Times New Roman" w:cs="Times New Roman"/>
          <w:sz w:val="24"/>
          <w:szCs w:val="24"/>
        </w:rPr>
      </w:pPr>
      <w:r w:rsidRPr="00510D26">
        <w:rPr>
          <w:rFonts w:ascii="Times New Roman" w:hAnsi="Times New Roman" w:cs="Times New Roman"/>
          <w:sz w:val="24"/>
          <w:szCs w:val="24"/>
        </w:rPr>
        <w:t xml:space="preserve">Yet in this case, counsel took the </w:t>
      </w:r>
      <w:r w:rsidR="00351FC6" w:rsidRPr="00510D26">
        <w:rPr>
          <w:rFonts w:ascii="Times New Roman" w:hAnsi="Times New Roman" w:cs="Times New Roman"/>
          <w:sz w:val="24"/>
          <w:szCs w:val="24"/>
        </w:rPr>
        <w:t>point</w:t>
      </w:r>
      <w:r w:rsidRPr="00510D26">
        <w:rPr>
          <w:rFonts w:ascii="Times New Roman" w:hAnsi="Times New Roman" w:cs="Times New Roman"/>
          <w:sz w:val="24"/>
          <w:szCs w:val="24"/>
        </w:rPr>
        <w:t xml:space="preserve"> to show that </w:t>
      </w:r>
      <w:r w:rsidR="00351FC6" w:rsidRPr="00510D26">
        <w:rPr>
          <w:rFonts w:ascii="Times New Roman" w:hAnsi="Times New Roman" w:cs="Times New Roman"/>
          <w:sz w:val="24"/>
          <w:szCs w:val="24"/>
        </w:rPr>
        <w:t xml:space="preserve">both </w:t>
      </w:r>
      <w:r w:rsidRPr="00510D26">
        <w:rPr>
          <w:rFonts w:ascii="Times New Roman" w:hAnsi="Times New Roman" w:cs="Times New Roman"/>
          <w:sz w:val="24"/>
          <w:szCs w:val="24"/>
        </w:rPr>
        <w:t xml:space="preserve">the applications for condonation and reinstatement are not properly before me because of the </w:t>
      </w:r>
      <w:r w:rsidR="00351FC6" w:rsidRPr="00510D26">
        <w:rPr>
          <w:rFonts w:ascii="Times New Roman" w:hAnsi="Times New Roman" w:cs="Times New Roman"/>
          <w:sz w:val="24"/>
          <w:szCs w:val="24"/>
        </w:rPr>
        <w:t xml:space="preserve">so-called </w:t>
      </w:r>
      <w:r w:rsidRPr="00510D26">
        <w:rPr>
          <w:rFonts w:ascii="Times New Roman" w:hAnsi="Times New Roman" w:cs="Times New Roman"/>
          <w:sz w:val="24"/>
          <w:szCs w:val="24"/>
        </w:rPr>
        <w:t xml:space="preserve">‘irregular’ substitution of the second respondent for Absolom. </w:t>
      </w:r>
      <w:r w:rsidR="00351FC6" w:rsidRPr="00510D26">
        <w:rPr>
          <w:rFonts w:ascii="Times New Roman" w:hAnsi="Times New Roman" w:cs="Times New Roman"/>
          <w:sz w:val="24"/>
          <w:szCs w:val="24"/>
        </w:rPr>
        <w:t>I have already stated that there is nothing preliminary about the argument.  It could only have been preliminary if the impugned substitution had occurred in the instant application. Instead, it happened and was effected in the main application which is sought to be reinstated.</w:t>
      </w:r>
      <w:r w:rsidRPr="00510D26">
        <w:rPr>
          <w:rFonts w:ascii="Times New Roman" w:hAnsi="Times New Roman" w:cs="Times New Roman"/>
          <w:sz w:val="24"/>
          <w:szCs w:val="24"/>
        </w:rPr>
        <w:t xml:space="preserve"> </w:t>
      </w:r>
      <w:r w:rsidR="00351FC6" w:rsidRPr="00510D26">
        <w:rPr>
          <w:rFonts w:ascii="Times New Roman" w:hAnsi="Times New Roman" w:cs="Times New Roman"/>
          <w:sz w:val="24"/>
          <w:szCs w:val="24"/>
        </w:rPr>
        <w:t>T</w:t>
      </w:r>
      <w:r w:rsidRPr="00510D26">
        <w:rPr>
          <w:rFonts w:ascii="Times New Roman" w:hAnsi="Times New Roman" w:cs="Times New Roman"/>
          <w:sz w:val="24"/>
          <w:szCs w:val="24"/>
        </w:rPr>
        <w:t xml:space="preserve">he first respondent </w:t>
      </w:r>
      <w:r w:rsidR="00351FC6" w:rsidRPr="00510D26">
        <w:rPr>
          <w:rFonts w:ascii="Times New Roman" w:hAnsi="Times New Roman" w:cs="Times New Roman"/>
          <w:sz w:val="24"/>
          <w:szCs w:val="24"/>
        </w:rPr>
        <w:t xml:space="preserve">must take that objection then if it </w:t>
      </w:r>
      <w:r w:rsidR="008C2999" w:rsidRPr="00510D26">
        <w:rPr>
          <w:rFonts w:ascii="Times New Roman" w:hAnsi="Times New Roman" w:cs="Times New Roman"/>
          <w:sz w:val="24"/>
          <w:szCs w:val="24"/>
        </w:rPr>
        <w:t xml:space="preserve">is </w:t>
      </w:r>
      <w:r w:rsidR="00351FC6" w:rsidRPr="00510D26">
        <w:rPr>
          <w:rFonts w:ascii="Times New Roman" w:hAnsi="Times New Roman" w:cs="Times New Roman"/>
          <w:sz w:val="24"/>
          <w:szCs w:val="24"/>
        </w:rPr>
        <w:t>desir</w:t>
      </w:r>
      <w:r w:rsidR="008C2999" w:rsidRPr="00510D26">
        <w:rPr>
          <w:rFonts w:ascii="Times New Roman" w:hAnsi="Times New Roman" w:cs="Times New Roman"/>
          <w:sz w:val="24"/>
          <w:szCs w:val="24"/>
        </w:rPr>
        <w:t>ous of</w:t>
      </w:r>
      <w:r w:rsidR="00351FC6" w:rsidRPr="00510D26">
        <w:rPr>
          <w:rFonts w:ascii="Times New Roman" w:hAnsi="Times New Roman" w:cs="Times New Roman"/>
          <w:sz w:val="24"/>
          <w:szCs w:val="24"/>
        </w:rPr>
        <w:t xml:space="preserve"> oppos</w:t>
      </w:r>
      <w:r w:rsidR="008C2999" w:rsidRPr="00510D26">
        <w:rPr>
          <w:rFonts w:ascii="Times New Roman" w:hAnsi="Times New Roman" w:cs="Times New Roman"/>
          <w:sz w:val="24"/>
          <w:szCs w:val="24"/>
        </w:rPr>
        <w:t>ing</w:t>
      </w:r>
      <w:r w:rsidRPr="00510D26">
        <w:rPr>
          <w:rFonts w:ascii="Times New Roman" w:hAnsi="Times New Roman" w:cs="Times New Roman"/>
          <w:sz w:val="24"/>
          <w:szCs w:val="24"/>
        </w:rPr>
        <w:t xml:space="preserve"> that substitution</w:t>
      </w:r>
      <w:r w:rsidR="00351FC6" w:rsidRPr="00510D26">
        <w:rPr>
          <w:rFonts w:ascii="Times New Roman" w:hAnsi="Times New Roman" w:cs="Times New Roman"/>
          <w:sz w:val="24"/>
          <w:szCs w:val="24"/>
        </w:rPr>
        <w:t xml:space="preserve">. My view is therefore that, it is the court which will hear the main application which is best placed to determine the contested issues. </w:t>
      </w:r>
    </w:p>
    <w:p w14:paraId="71201DBC" w14:textId="41E0969E" w:rsidR="00933C59" w:rsidRPr="00510D26" w:rsidRDefault="008C2999" w:rsidP="00510D26">
      <w:pPr>
        <w:pStyle w:val="ListParagraph"/>
        <w:numPr>
          <w:ilvl w:val="0"/>
          <w:numId w:val="34"/>
        </w:numPr>
        <w:spacing w:after="0" w:line="360" w:lineRule="auto"/>
        <w:jc w:val="both"/>
        <w:rPr>
          <w:rFonts w:ascii="Times New Roman" w:hAnsi="Times New Roman" w:cs="Times New Roman"/>
          <w:sz w:val="24"/>
          <w:szCs w:val="24"/>
        </w:rPr>
      </w:pPr>
      <w:r w:rsidRPr="00510D26">
        <w:rPr>
          <w:rFonts w:ascii="Times New Roman" w:hAnsi="Times New Roman" w:cs="Times New Roman"/>
          <w:sz w:val="24"/>
          <w:szCs w:val="24"/>
        </w:rPr>
        <w:t xml:space="preserve">In the circumstances, the preliminary objection has no merit and must be dismissed. </w:t>
      </w:r>
    </w:p>
    <w:p w14:paraId="7821B319" w14:textId="77777777" w:rsidR="00351FC6" w:rsidRPr="00351FC6" w:rsidRDefault="00351FC6" w:rsidP="00351FC6">
      <w:pPr>
        <w:pStyle w:val="ListParagraph"/>
        <w:spacing w:after="0" w:line="360" w:lineRule="auto"/>
        <w:jc w:val="both"/>
        <w:rPr>
          <w:rFonts w:ascii="Times New Roman" w:hAnsi="Times New Roman" w:cs="Times New Roman"/>
          <w:b/>
          <w:sz w:val="24"/>
          <w:szCs w:val="24"/>
        </w:rPr>
      </w:pPr>
      <w:r w:rsidRPr="00351FC6">
        <w:rPr>
          <w:rFonts w:ascii="Times New Roman" w:hAnsi="Times New Roman" w:cs="Times New Roman"/>
          <w:b/>
          <w:sz w:val="24"/>
          <w:szCs w:val="24"/>
        </w:rPr>
        <w:t>The merits</w:t>
      </w:r>
    </w:p>
    <w:p w14:paraId="3278138A" w14:textId="74C9BF86" w:rsidR="00CA662E" w:rsidRDefault="00351FC6" w:rsidP="00CA662E">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indicated earlier that the first respondent</w:t>
      </w:r>
      <w:r w:rsidR="00510D26">
        <w:rPr>
          <w:rFonts w:ascii="Times New Roman" w:hAnsi="Times New Roman" w:cs="Times New Roman"/>
          <w:sz w:val="24"/>
          <w:szCs w:val="24"/>
        </w:rPr>
        <w:t xml:space="preserve">’s opposition of the application on the merits was tepid, if it was there at all. </w:t>
      </w:r>
      <w:r>
        <w:rPr>
          <w:rFonts w:ascii="Times New Roman" w:hAnsi="Times New Roman" w:cs="Times New Roman"/>
          <w:sz w:val="24"/>
          <w:szCs w:val="24"/>
        </w:rPr>
        <w:t xml:space="preserve"> </w:t>
      </w:r>
      <w:r w:rsidR="008C2999">
        <w:rPr>
          <w:rFonts w:ascii="Times New Roman" w:hAnsi="Times New Roman" w:cs="Times New Roman"/>
          <w:sz w:val="24"/>
          <w:szCs w:val="24"/>
        </w:rPr>
        <w:t xml:space="preserve">That notwithstanding, the applicant was still required to demonstrate why I should condone his non-compliance with the law and reinstate his matter. </w:t>
      </w:r>
    </w:p>
    <w:p w14:paraId="7AC568E5" w14:textId="77777777" w:rsidR="00CA662E" w:rsidRDefault="00CA662E" w:rsidP="00CA662E">
      <w:pPr>
        <w:pStyle w:val="ListParagraph"/>
        <w:spacing w:after="0" w:line="360" w:lineRule="auto"/>
        <w:ind w:left="1170"/>
        <w:jc w:val="both"/>
        <w:rPr>
          <w:rFonts w:ascii="Times New Roman" w:hAnsi="Times New Roman" w:cs="Times New Roman"/>
          <w:sz w:val="24"/>
          <w:szCs w:val="24"/>
        </w:rPr>
      </w:pPr>
    </w:p>
    <w:p w14:paraId="61AFCF89" w14:textId="602F5522" w:rsidR="00CA662E" w:rsidRPr="00CA662E" w:rsidRDefault="00CA662E" w:rsidP="00CA662E">
      <w:pPr>
        <w:pStyle w:val="ListParagraph"/>
        <w:spacing w:after="0" w:line="360" w:lineRule="auto"/>
        <w:ind w:left="1170"/>
        <w:jc w:val="both"/>
        <w:rPr>
          <w:rFonts w:ascii="Times New Roman" w:hAnsi="Times New Roman" w:cs="Times New Roman"/>
          <w:b/>
          <w:sz w:val="24"/>
          <w:szCs w:val="24"/>
        </w:rPr>
      </w:pPr>
      <w:r>
        <w:rPr>
          <w:rFonts w:ascii="Times New Roman" w:hAnsi="Times New Roman" w:cs="Times New Roman"/>
          <w:b/>
          <w:sz w:val="24"/>
          <w:szCs w:val="24"/>
        </w:rPr>
        <w:t>T</w:t>
      </w:r>
      <w:r w:rsidRPr="00CA662E">
        <w:rPr>
          <w:rFonts w:ascii="Times New Roman" w:hAnsi="Times New Roman" w:cs="Times New Roman"/>
          <w:b/>
          <w:sz w:val="24"/>
          <w:szCs w:val="24"/>
        </w:rPr>
        <w:t>he law on condonation and reinstatement of matters</w:t>
      </w:r>
    </w:p>
    <w:p w14:paraId="21E10A60" w14:textId="6A4185A0" w:rsidR="0056312F" w:rsidRPr="00CA662E" w:rsidRDefault="00E9762E" w:rsidP="00CA662E">
      <w:pPr>
        <w:pStyle w:val="ListParagraph"/>
        <w:numPr>
          <w:ilvl w:val="0"/>
          <w:numId w:val="34"/>
        </w:numPr>
        <w:spacing w:after="0" w:line="360" w:lineRule="auto"/>
        <w:jc w:val="both"/>
        <w:rPr>
          <w:rFonts w:ascii="Times New Roman" w:hAnsi="Times New Roman" w:cs="Times New Roman"/>
          <w:sz w:val="24"/>
          <w:szCs w:val="24"/>
        </w:rPr>
      </w:pPr>
      <w:r w:rsidRPr="00CA662E">
        <w:rPr>
          <w:rFonts w:ascii="Times New Roman" w:hAnsi="Times New Roman" w:cs="Times New Roman"/>
          <w:sz w:val="24"/>
          <w:szCs w:val="24"/>
        </w:rPr>
        <w:t>On</w:t>
      </w:r>
      <w:r w:rsidR="0056312F" w:rsidRPr="00CA662E">
        <w:rPr>
          <w:rFonts w:ascii="Times New Roman" w:hAnsi="Times New Roman" w:cs="Times New Roman"/>
          <w:sz w:val="24"/>
          <w:szCs w:val="24"/>
        </w:rPr>
        <w:t xml:space="preserve"> condonation, the Supreme Court, in the case of </w:t>
      </w:r>
      <w:r w:rsidR="0056312F" w:rsidRPr="00CA662E">
        <w:rPr>
          <w:rFonts w:ascii="Times New Roman" w:hAnsi="Times New Roman" w:cs="Times New Roman"/>
          <w:i/>
          <w:sz w:val="24"/>
          <w:szCs w:val="24"/>
        </w:rPr>
        <w:t xml:space="preserve">Reserve Bank of Zimbabwe v Mufudzi &amp; Ors </w:t>
      </w:r>
      <w:r w:rsidR="0056312F" w:rsidRPr="00CA662E">
        <w:rPr>
          <w:rFonts w:ascii="Times New Roman" w:hAnsi="Times New Roman" w:cs="Times New Roman"/>
          <w:sz w:val="24"/>
          <w:szCs w:val="24"/>
        </w:rPr>
        <w:t>S</w:t>
      </w:r>
      <w:r w:rsidR="00510D26" w:rsidRPr="00CA662E">
        <w:rPr>
          <w:rFonts w:ascii="Times New Roman" w:hAnsi="Times New Roman" w:cs="Times New Roman"/>
          <w:sz w:val="24"/>
          <w:szCs w:val="24"/>
        </w:rPr>
        <w:t xml:space="preserve"> </w:t>
      </w:r>
      <w:r w:rsidR="00410CA4" w:rsidRPr="00CA662E">
        <w:rPr>
          <w:rFonts w:ascii="Times New Roman" w:hAnsi="Times New Roman" w:cs="Times New Roman"/>
          <w:sz w:val="24"/>
          <w:szCs w:val="24"/>
        </w:rPr>
        <w:t>29</w:t>
      </w:r>
      <w:r w:rsidR="00CA662E" w:rsidRPr="00CA662E">
        <w:rPr>
          <w:rFonts w:ascii="Times New Roman" w:hAnsi="Times New Roman" w:cs="Times New Roman"/>
          <w:sz w:val="24"/>
          <w:szCs w:val="24"/>
        </w:rPr>
        <w:t>-</w:t>
      </w:r>
      <w:r w:rsidR="0056312F" w:rsidRPr="00CA662E">
        <w:rPr>
          <w:rFonts w:ascii="Times New Roman" w:hAnsi="Times New Roman" w:cs="Times New Roman"/>
          <w:sz w:val="24"/>
          <w:szCs w:val="24"/>
        </w:rPr>
        <w:t>1</w:t>
      </w:r>
      <w:r w:rsidR="00410CA4" w:rsidRPr="00CA662E">
        <w:rPr>
          <w:rFonts w:ascii="Times New Roman" w:hAnsi="Times New Roman" w:cs="Times New Roman"/>
          <w:sz w:val="24"/>
          <w:szCs w:val="24"/>
        </w:rPr>
        <w:t>8</w:t>
      </w:r>
      <w:r w:rsidR="0056312F" w:rsidRPr="00CA662E">
        <w:rPr>
          <w:rFonts w:ascii="Times New Roman" w:hAnsi="Times New Roman" w:cs="Times New Roman"/>
          <w:sz w:val="24"/>
          <w:szCs w:val="24"/>
        </w:rPr>
        <w:t xml:space="preserve"> held that:</w:t>
      </w:r>
    </w:p>
    <w:p w14:paraId="5157CA7C" w14:textId="77777777" w:rsidR="0056312F" w:rsidRDefault="0056312F" w:rsidP="0056312F">
      <w:pPr>
        <w:pStyle w:val="ListParagraph"/>
        <w:spacing w:after="0" w:line="240" w:lineRule="auto"/>
        <w:ind w:left="360"/>
        <w:rPr>
          <w:rFonts w:ascii="Times New Roman" w:hAnsi="Times New Roman" w:cs="Times New Roman"/>
          <w:sz w:val="24"/>
          <w:szCs w:val="24"/>
        </w:rPr>
      </w:pPr>
    </w:p>
    <w:p w14:paraId="06F16C9B" w14:textId="7279DB22" w:rsidR="00CA662E" w:rsidRDefault="0056312F" w:rsidP="00CA662E">
      <w:pPr>
        <w:spacing w:after="0" w:line="240" w:lineRule="auto"/>
        <w:ind w:left="1440"/>
        <w:jc w:val="both"/>
        <w:rPr>
          <w:rFonts w:ascii="Times New Roman" w:hAnsi="Times New Roman" w:cs="Times New Roman"/>
          <w:sz w:val="24"/>
          <w:szCs w:val="24"/>
        </w:rPr>
      </w:pPr>
      <w:r w:rsidRPr="0056312F">
        <w:rPr>
          <w:rFonts w:ascii="Times New Roman" w:hAnsi="Times New Roman" w:cs="Times New Roman"/>
          <w:sz w:val="20"/>
          <w:szCs w:val="20"/>
        </w:rPr>
        <w:t xml:space="preserve">“In any event, condonation is an indulgence granted at the discretion of the court… and is not a right obtainable on request.  In an application for condonation, a court considers, among other things, the length of the delay, </w:t>
      </w:r>
      <w:r w:rsidRPr="0056312F">
        <w:rPr>
          <w:rFonts w:ascii="Times New Roman" w:hAnsi="Times New Roman" w:cs="Times New Roman"/>
          <w:b/>
          <w:sz w:val="20"/>
          <w:szCs w:val="20"/>
        </w:rPr>
        <w:t>the reasonableness of the explanation for it</w:t>
      </w:r>
      <w:r w:rsidRPr="0056312F">
        <w:rPr>
          <w:rFonts w:ascii="Times New Roman" w:hAnsi="Times New Roman" w:cs="Times New Roman"/>
          <w:sz w:val="20"/>
          <w:szCs w:val="20"/>
        </w:rPr>
        <w:t xml:space="preserve">, </w:t>
      </w:r>
      <w:r w:rsidRPr="0056312F">
        <w:rPr>
          <w:rFonts w:ascii="Times New Roman" w:hAnsi="Times New Roman" w:cs="Times New Roman"/>
          <w:b/>
          <w:sz w:val="20"/>
          <w:szCs w:val="20"/>
        </w:rPr>
        <w:t>the prospects of success,</w:t>
      </w:r>
      <w:r w:rsidRPr="0056312F">
        <w:rPr>
          <w:rFonts w:ascii="Times New Roman" w:hAnsi="Times New Roman" w:cs="Times New Roman"/>
          <w:sz w:val="20"/>
          <w:szCs w:val="20"/>
        </w:rPr>
        <w:t xml:space="preserve"> and the need for finality in litigation.” </w:t>
      </w:r>
      <w:r w:rsidR="00CA662E">
        <w:rPr>
          <w:rFonts w:ascii="Times New Roman" w:hAnsi="Times New Roman" w:cs="Times New Roman"/>
          <w:sz w:val="20"/>
          <w:szCs w:val="20"/>
        </w:rPr>
        <w:t xml:space="preserve"> </w:t>
      </w:r>
      <w:r w:rsidR="00CA662E" w:rsidRPr="00CA662E">
        <w:rPr>
          <w:rFonts w:ascii="Times New Roman" w:hAnsi="Times New Roman" w:cs="Times New Roman"/>
          <w:sz w:val="24"/>
          <w:szCs w:val="24"/>
        </w:rPr>
        <w:t>(My emphasis)</w:t>
      </w:r>
    </w:p>
    <w:p w14:paraId="47D8A5C1" w14:textId="77777777" w:rsidR="00CA662E" w:rsidRDefault="00CA662E" w:rsidP="00CA662E">
      <w:pPr>
        <w:spacing w:after="0" w:line="240" w:lineRule="auto"/>
        <w:ind w:left="1440"/>
        <w:jc w:val="both"/>
        <w:rPr>
          <w:rFonts w:ascii="Times New Roman" w:hAnsi="Times New Roman" w:cs="Times New Roman"/>
          <w:sz w:val="24"/>
          <w:szCs w:val="24"/>
        </w:rPr>
      </w:pPr>
    </w:p>
    <w:p w14:paraId="7B5662E1" w14:textId="7594D879" w:rsidR="00CA662E" w:rsidRDefault="0056312F" w:rsidP="00CA662E">
      <w:pPr>
        <w:pStyle w:val="ListParagraph"/>
        <w:numPr>
          <w:ilvl w:val="0"/>
          <w:numId w:val="34"/>
        </w:numPr>
        <w:spacing w:after="0" w:line="360" w:lineRule="auto"/>
        <w:jc w:val="both"/>
        <w:rPr>
          <w:rFonts w:ascii="Times New Roman" w:hAnsi="Times New Roman" w:cs="Times New Roman"/>
          <w:sz w:val="24"/>
          <w:szCs w:val="24"/>
        </w:rPr>
      </w:pPr>
      <w:r w:rsidRPr="00CA662E">
        <w:rPr>
          <w:rFonts w:ascii="Times New Roman" w:hAnsi="Times New Roman" w:cs="Times New Roman"/>
          <w:sz w:val="24"/>
          <w:szCs w:val="24"/>
        </w:rPr>
        <w:t xml:space="preserve">In </w:t>
      </w:r>
      <w:r w:rsidRPr="00CA662E">
        <w:rPr>
          <w:rFonts w:ascii="Times New Roman" w:hAnsi="Times New Roman" w:cs="Times New Roman"/>
          <w:i/>
          <w:sz w:val="24"/>
          <w:szCs w:val="24"/>
        </w:rPr>
        <w:t>Treger Plastics (</w:t>
      </w:r>
      <w:r w:rsidR="00410CA4" w:rsidRPr="00CA662E">
        <w:rPr>
          <w:rFonts w:ascii="Times New Roman" w:hAnsi="Times New Roman" w:cs="Times New Roman"/>
          <w:i/>
          <w:sz w:val="24"/>
          <w:szCs w:val="24"/>
        </w:rPr>
        <w:t>Pvt</w:t>
      </w:r>
      <w:r w:rsidRPr="00CA662E">
        <w:rPr>
          <w:rFonts w:ascii="Times New Roman" w:hAnsi="Times New Roman" w:cs="Times New Roman"/>
          <w:i/>
          <w:sz w:val="24"/>
          <w:szCs w:val="24"/>
        </w:rPr>
        <w:t>) L</w:t>
      </w:r>
      <w:r w:rsidR="00410CA4" w:rsidRPr="00CA662E">
        <w:rPr>
          <w:rFonts w:ascii="Times New Roman" w:hAnsi="Times New Roman" w:cs="Times New Roman"/>
          <w:i/>
          <w:sz w:val="24"/>
          <w:szCs w:val="24"/>
        </w:rPr>
        <w:t>t</w:t>
      </w:r>
      <w:r w:rsidRPr="00CA662E">
        <w:rPr>
          <w:rFonts w:ascii="Times New Roman" w:hAnsi="Times New Roman" w:cs="Times New Roman"/>
          <w:i/>
          <w:sz w:val="24"/>
          <w:szCs w:val="24"/>
        </w:rPr>
        <w:t xml:space="preserve">d v Dube </w:t>
      </w:r>
      <w:r w:rsidRPr="00CA662E">
        <w:rPr>
          <w:rFonts w:ascii="Times New Roman" w:hAnsi="Times New Roman" w:cs="Times New Roman"/>
          <w:sz w:val="24"/>
          <w:szCs w:val="24"/>
        </w:rPr>
        <w:t>S</w:t>
      </w:r>
      <w:r w:rsidR="00410CA4" w:rsidRPr="00CA662E">
        <w:rPr>
          <w:rFonts w:ascii="Times New Roman" w:hAnsi="Times New Roman" w:cs="Times New Roman"/>
          <w:sz w:val="24"/>
          <w:szCs w:val="24"/>
        </w:rPr>
        <w:t>-</w:t>
      </w:r>
      <w:r w:rsidRPr="00CA662E">
        <w:rPr>
          <w:rFonts w:ascii="Times New Roman" w:hAnsi="Times New Roman" w:cs="Times New Roman"/>
          <w:sz w:val="24"/>
          <w:szCs w:val="24"/>
        </w:rPr>
        <w:t>8</w:t>
      </w:r>
      <w:r w:rsidR="00410CA4" w:rsidRPr="00CA662E">
        <w:rPr>
          <w:rFonts w:ascii="Times New Roman" w:hAnsi="Times New Roman" w:cs="Times New Roman"/>
          <w:sz w:val="24"/>
          <w:szCs w:val="24"/>
        </w:rPr>
        <w:t>-</w:t>
      </w:r>
      <w:r w:rsidRPr="00CA662E">
        <w:rPr>
          <w:rFonts w:ascii="Times New Roman" w:hAnsi="Times New Roman" w:cs="Times New Roman"/>
          <w:sz w:val="24"/>
          <w:szCs w:val="24"/>
        </w:rPr>
        <w:t>25</w:t>
      </w:r>
      <w:r w:rsidR="00E9762E" w:rsidRPr="00CA662E">
        <w:rPr>
          <w:rFonts w:ascii="Times New Roman" w:hAnsi="Times New Roman" w:cs="Times New Roman"/>
          <w:sz w:val="24"/>
          <w:szCs w:val="24"/>
        </w:rPr>
        <w:t xml:space="preserve">, it was held that some of the considerations a court must turn to in determining an application for condonation are the extent and reasonableness of the delay; and the prospects of success in the main. </w:t>
      </w:r>
      <w:r w:rsidR="003D56BE" w:rsidRPr="00CA662E">
        <w:rPr>
          <w:rFonts w:ascii="Times New Roman" w:hAnsi="Times New Roman" w:cs="Times New Roman"/>
          <w:sz w:val="24"/>
          <w:szCs w:val="24"/>
        </w:rPr>
        <w:lastRenderedPageBreak/>
        <w:t xml:space="preserve">Even more importantly, the applicant referred me to the case of </w:t>
      </w:r>
      <w:r w:rsidR="003D56BE" w:rsidRPr="00CA662E">
        <w:rPr>
          <w:rFonts w:ascii="Times New Roman" w:hAnsi="Times New Roman" w:cs="Times New Roman"/>
          <w:i/>
          <w:sz w:val="24"/>
          <w:szCs w:val="24"/>
        </w:rPr>
        <w:t xml:space="preserve">Chiweza and Anor v Mangwana </w:t>
      </w:r>
      <w:r w:rsidR="00410CA4" w:rsidRPr="00CA662E">
        <w:rPr>
          <w:rFonts w:ascii="Times New Roman" w:hAnsi="Times New Roman" w:cs="Times New Roman"/>
          <w:i/>
          <w:sz w:val="24"/>
          <w:szCs w:val="24"/>
        </w:rPr>
        <w:t>&amp;</w:t>
      </w:r>
      <w:r w:rsidR="003D56BE" w:rsidRPr="00CA662E">
        <w:rPr>
          <w:rFonts w:ascii="Times New Roman" w:hAnsi="Times New Roman" w:cs="Times New Roman"/>
          <w:i/>
          <w:sz w:val="24"/>
          <w:szCs w:val="24"/>
        </w:rPr>
        <w:t xml:space="preserve"> Ors</w:t>
      </w:r>
      <w:r w:rsidR="003D56BE" w:rsidRPr="00CA662E">
        <w:rPr>
          <w:rFonts w:ascii="Times New Roman" w:hAnsi="Times New Roman" w:cs="Times New Roman"/>
          <w:sz w:val="24"/>
          <w:szCs w:val="24"/>
        </w:rPr>
        <w:t xml:space="preserve"> HH</w:t>
      </w:r>
      <w:r w:rsidR="00410CA4" w:rsidRPr="00CA662E">
        <w:rPr>
          <w:rFonts w:ascii="Times New Roman" w:hAnsi="Times New Roman" w:cs="Times New Roman"/>
          <w:sz w:val="24"/>
          <w:szCs w:val="24"/>
        </w:rPr>
        <w:t>-</w:t>
      </w:r>
      <w:r w:rsidR="003D56BE" w:rsidRPr="00CA662E">
        <w:rPr>
          <w:rFonts w:ascii="Times New Roman" w:hAnsi="Times New Roman" w:cs="Times New Roman"/>
          <w:sz w:val="24"/>
          <w:szCs w:val="24"/>
        </w:rPr>
        <w:t>1</w:t>
      </w:r>
      <w:r w:rsidR="00F45662" w:rsidRPr="00CA662E">
        <w:rPr>
          <w:rFonts w:ascii="Times New Roman" w:hAnsi="Times New Roman" w:cs="Times New Roman"/>
          <w:sz w:val="24"/>
          <w:szCs w:val="24"/>
        </w:rPr>
        <w:t>8</w:t>
      </w:r>
      <w:r w:rsidR="003D56BE" w:rsidRPr="00CA662E">
        <w:rPr>
          <w:rFonts w:ascii="Times New Roman" w:hAnsi="Times New Roman" w:cs="Times New Roman"/>
          <w:sz w:val="24"/>
          <w:szCs w:val="24"/>
        </w:rPr>
        <w:t>6</w:t>
      </w:r>
      <w:r w:rsidR="00410CA4" w:rsidRPr="00CA662E">
        <w:rPr>
          <w:rFonts w:ascii="Times New Roman" w:hAnsi="Times New Roman" w:cs="Times New Roman"/>
          <w:sz w:val="24"/>
          <w:szCs w:val="24"/>
        </w:rPr>
        <w:t>-</w:t>
      </w:r>
      <w:r w:rsidR="003D56BE" w:rsidRPr="00CA662E">
        <w:rPr>
          <w:rFonts w:ascii="Times New Roman" w:hAnsi="Times New Roman" w:cs="Times New Roman"/>
          <w:sz w:val="24"/>
          <w:szCs w:val="24"/>
        </w:rPr>
        <w:t xml:space="preserve">17, whose ratio is that a party who has failed to comply with the rules of court has an onus to convince the court that he has a good excuse for the delay and that condonation is not there for the asking. </w:t>
      </w:r>
    </w:p>
    <w:p w14:paraId="21EB657B" w14:textId="77777777" w:rsidR="00CA662E" w:rsidRDefault="00CA662E" w:rsidP="00CA662E">
      <w:pPr>
        <w:pStyle w:val="ListParagraph"/>
        <w:spacing w:after="0" w:line="240" w:lineRule="auto"/>
        <w:ind w:left="1170"/>
        <w:jc w:val="both"/>
        <w:rPr>
          <w:rFonts w:ascii="Times New Roman" w:hAnsi="Times New Roman" w:cs="Times New Roman"/>
          <w:sz w:val="24"/>
          <w:szCs w:val="24"/>
        </w:rPr>
      </w:pPr>
    </w:p>
    <w:p w14:paraId="40699D79" w14:textId="07341EF9" w:rsidR="008C2999" w:rsidRDefault="00E9762E" w:rsidP="00CA662E">
      <w:pPr>
        <w:pStyle w:val="ListParagraph"/>
        <w:numPr>
          <w:ilvl w:val="0"/>
          <w:numId w:val="34"/>
        </w:numPr>
        <w:spacing w:after="0" w:line="240" w:lineRule="auto"/>
        <w:jc w:val="both"/>
        <w:rPr>
          <w:rFonts w:ascii="Times New Roman" w:hAnsi="Times New Roman" w:cs="Times New Roman"/>
          <w:sz w:val="24"/>
          <w:szCs w:val="24"/>
        </w:rPr>
      </w:pPr>
      <w:r w:rsidRPr="00CA662E">
        <w:rPr>
          <w:rFonts w:ascii="Times New Roman" w:hAnsi="Times New Roman" w:cs="Times New Roman"/>
          <w:sz w:val="24"/>
          <w:szCs w:val="24"/>
        </w:rPr>
        <w:t>Regarding reinstatement, i</w:t>
      </w:r>
      <w:r w:rsidR="008C2999" w:rsidRPr="00CA662E">
        <w:rPr>
          <w:rFonts w:ascii="Times New Roman" w:hAnsi="Times New Roman" w:cs="Times New Roman"/>
          <w:sz w:val="24"/>
          <w:szCs w:val="24"/>
        </w:rPr>
        <w:t xml:space="preserve">n the case of </w:t>
      </w:r>
      <w:r w:rsidR="008C2999" w:rsidRPr="00CA662E">
        <w:rPr>
          <w:rFonts w:ascii="Times New Roman" w:hAnsi="Times New Roman" w:cs="Times New Roman"/>
          <w:i/>
          <w:sz w:val="24"/>
          <w:szCs w:val="24"/>
        </w:rPr>
        <w:t xml:space="preserve">Maheya v Independent Africa Church </w:t>
      </w:r>
      <w:r w:rsidR="008C2999" w:rsidRPr="00CA662E">
        <w:rPr>
          <w:rFonts w:ascii="Times New Roman" w:hAnsi="Times New Roman" w:cs="Times New Roman"/>
          <w:sz w:val="24"/>
          <w:szCs w:val="24"/>
        </w:rPr>
        <w:t xml:space="preserve">S-58-07 at p 5, MALABA JA (now CJ) described the requirements for an application for reinstatement as follows: </w:t>
      </w:r>
    </w:p>
    <w:p w14:paraId="3755AA62" w14:textId="77777777" w:rsidR="00CA662E" w:rsidRPr="00CA662E" w:rsidRDefault="00CA662E" w:rsidP="00CA662E">
      <w:pPr>
        <w:spacing w:after="0" w:line="240" w:lineRule="auto"/>
        <w:jc w:val="both"/>
        <w:rPr>
          <w:rFonts w:ascii="Times New Roman" w:hAnsi="Times New Roman" w:cs="Times New Roman"/>
          <w:sz w:val="24"/>
          <w:szCs w:val="24"/>
        </w:rPr>
      </w:pPr>
    </w:p>
    <w:p w14:paraId="2ECB0EB0" w14:textId="77777777" w:rsidR="008C2999" w:rsidRPr="008C2999" w:rsidRDefault="008C2999" w:rsidP="00CA662E">
      <w:pPr>
        <w:pStyle w:val="ListParagraph"/>
        <w:spacing w:after="0" w:line="240" w:lineRule="auto"/>
        <w:ind w:left="2160"/>
        <w:jc w:val="both"/>
        <w:rPr>
          <w:rFonts w:ascii="Times New Roman" w:hAnsi="Times New Roman" w:cs="Times New Roman"/>
          <w:sz w:val="20"/>
          <w:szCs w:val="20"/>
        </w:rPr>
      </w:pPr>
      <w:r w:rsidRPr="008C2999">
        <w:rPr>
          <w:rFonts w:ascii="Times New Roman" w:hAnsi="Times New Roman" w:cs="Times New Roman"/>
          <w:sz w:val="20"/>
          <w:szCs w:val="20"/>
        </w:rPr>
        <w:t>“The question for determination is whether the applicant has shown a cause for the re-instatement of the appeal. In considering applications for condonation of non-compliance with its Rules, the Court has a discretion which it has to exercise judicially in the sense that it has to consider all the facts and apply established principles bearing in mind that it has to do justice. Some of the relevant factors that may be considered and weighed one against the other are: the degree of non-compliance; the explanation therefore; the prospects of success on appeal; the importance of the case; the respondent’s interests in the finality of the judgment; the convenience to the Court and the avoidance of unnecessary delays in the administration of justice”</w:t>
      </w:r>
    </w:p>
    <w:p w14:paraId="3EFF46B6" w14:textId="77777777" w:rsidR="008C2999" w:rsidRPr="008C2999" w:rsidRDefault="008C2999" w:rsidP="00CA662E">
      <w:pPr>
        <w:spacing w:after="0" w:line="360" w:lineRule="auto"/>
        <w:ind w:left="720"/>
        <w:jc w:val="both"/>
        <w:rPr>
          <w:rFonts w:ascii="Times New Roman" w:hAnsi="Times New Roman" w:cs="Times New Roman"/>
          <w:sz w:val="24"/>
          <w:szCs w:val="24"/>
        </w:rPr>
      </w:pPr>
    </w:p>
    <w:p w14:paraId="6248869D" w14:textId="77777777" w:rsidR="00E9762E" w:rsidRDefault="00E9762E" w:rsidP="00CA662E">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As is evident, many of the factors overlap in both applications for condonation and reinstatement.  </w:t>
      </w:r>
    </w:p>
    <w:p w14:paraId="13610E5A" w14:textId="77777777" w:rsidR="00E9762E" w:rsidRPr="00E9762E" w:rsidRDefault="00E9762E" w:rsidP="00E9762E">
      <w:pPr>
        <w:pStyle w:val="ListParagraph"/>
        <w:spacing w:after="0" w:line="360" w:lineRule="auto"/>
        <w:jc w:val="both"/>
        <w:rPr>
          <w:rFonts w:ascii="Times New Roman" w:hAnsi="Times New Roman" w:cs="Times New Roman"/>
          <w:b/>
          <w:sz w:val="24"/>
          <w:szCs w:val="24"/>
        </w:rPr>
      </w:pPr>
      <w:r w:rsidRPr="00E9762E">
        <w:rPr>
          <w:rFonts w:ascii="Times New Roman" w:hAnsi="Times New Roman" w:cs="Times New Roman"/>
          <w:b/>
          <w:sz w:val="24"/>
          <w:szCs w:val="24"/>
        </w:rPr>
        <w:t>Application of the law to the facts</w:t>
      </w:r>
    </w:p>
    <w:p w14:paraId="0D7059F5" w14:textId="315DD176" w:rsidR="00E02375" w:rsidRDefault="00E02375" w:rsidP="00510D26">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paragraph 19 of </w:t>
      </w:r>
      <w:r w:rsidR="00E9762E">
        <w:rPr>
          <w:rFonts w:ascii="Times New Roman" w:hAnsi="Times New Roman" w:cs="Times New Roman"/>
          <w:sz w:val="24"/>
          <w:szCs w:val="24"/>
        </w:rPr>
        <w:t>the applicant’s</w:t>
      </w:r>
      <w:r>
        <w:rPr>
          <w:rFonts w:ascii="Times New Roman" w:hAnsi="Times New Roman" w:cs="Times New Roman"/>
          <w:sz w:val="24"/>
          <w:szCs w:val="24"/>
        </w:rPr>
        <w:t xml:space="preserve"> founding affidavit, </w:t>
      </w:r>
      <w:r w:rsidR="00E9762E">
        <w:rPr>
          <w:rFonts w:ascii="Times New Roman" w:hAnsi="Times New Roman" w:cs="Times New Roman"/>
          <w:sz w:val="24"/>
          <w:szCs w:val="24"/>
        </w:rPr>
        <w:t xml:space="preserve">which was </w:t>
      </w:r>
      <w:r>
        <w:rPr>
          <w:rFonts w:ascii="Times New Roman" w:hAnsi="Times New Roman" w:cs="Times New Roman"/>
          <w:sz w:val="24"/>
          <w:szCs w:val="24"/>
        </w:rPr>
        <w:t xml:space="preserve">deposed to by its legal representative, one Abel </w:t>
      </w:r>
      <w:r w:rsidR="00391CBB">
        <w:rPr>
          <w:rFonts w:ascii="Times New Roman" w:hAnsi="Times New Roman" w:cs="Times New Roman"/>
          <w:sz w:val="24"/>
          <w:szCs w:val="24"/>
        </w:rPr>
        <w:t xml:space="preserve">Tatenda </w:t>
      </w:r>
      <w:r>
        <w:rPr>
          <w:rFonts w:ascii="Times New Roman" w:hAnsi="Times New Roman" w:cs="Times New Roman"/>
          <w:sz w:val="24"/>
          <w:szCs w:val="24"/>
        </w:rPr>
        <w:t>Mtima, that</w:t>
      </w:r>
      <w:r w:rsidR="00E9762E">
        <w:rPr>
          <w:rFonts w:ascii="Times New Roman" w:hAnsi="Times New Roman" w:cs="Times New Roman"/>
          <w:sz w:val="24"/>
          <w:szCs w:val="24"/>
        </w:rPr>
        <w:t xml:space="preserve"> legal practitioner, in his haste to explain the extent and reasonableness of the delay among other matters</w:t>
      </w:r>
      <w:r w:rsidR="00CA662E">
        <w:rPr>
          <w:rFonts w:ascii="Times New Roman" w:hAnsi="Times New Roman" w:cs="Times New Roman"/>
          <w:sz w:val="24"/>
          <w:szCs w:val="24"/>
        </w:rPr>
        <w:t xml:space="preserve">, </w:t>
      </w:r>
      <w:r w:rsidR="00E9762E">
        <w:rPr>
          <w:rFonts w:ascii="Times New Roman" w:hAnsi="Times New Roman" w:cs="Times New Roman"/>
          <w:sz w:val="24"/>
          <w:szCs w:val="24"/>
        </w:rPr>
        <w:t>made</w:t>
      </w:r>
      <w:r>
        <w:rPr>
          <w:rFonts w:ascii="Times New Roman" w:hAnsi="Times New Roman" w:cs="Times New Roman"/>
          <w:sz w:val="24"/>
          <w:szCs w:val="24"/>
        </w:rPr>
        <w:t xml:space="preserve"> shocking disclosures. He stated thus:</w:t>
      </w:r>
    </w:p>
    <w:p w14:paraId="2A37B584" w14:textId="77777777" w:rsidR="00E02375" w:rsidRDefault="00FF2A97" w:rsidP="00C9298A">
      <w:pPr>
        <w:pStyle w:val="ListParagraph"/>
        <w:spacing w:after="0" w:line="240" w:lineRule="auto"/>
        <w:ind w:left="2160"/>
        <w:jc w:val="both"/>
        <w:rPr>
          <w:rFonts w:ascii="Times New Roman" w:hAnsi="Times New Roman" w:cs="Times New Roman"/>
          <w:sz w:val="24"/>
          <w:szCs w:val="24"/>
        </w:rPr>
      </w:pPr>
      <w:r w:rsidRPr="00FF2A97">
        <w:rPr>
          <w:rFonts w:ascii="Times New Roman" w:hAnsi="Times New Roman" w:cs="Times New Roman"/>
          <w:sz w:val="20"/>
          <w:szCs w:val="20"/>
        </w:rPr>
        <w:t xml:space="preserve">“I instructed our receptionist, Mrs Luwizer Takaza, </w:t>
      </w:r>
      <w:r w:rsidRPr="00E9762E">
        <w:rPr>
          <w:rFonts w:ascii="Times New Roman" w:hAnsi="Times New Roman" w:cs="Times New Roman"/>
          <w:b/>
          <w:sz w:val="20"/>
          <w:szCs w:val="20"/>
        </w:rPr>
        <w:t>to draft</w:t>
      </w:r>
      <w:r w:rsidRPr="00FF2A97">
        <w:rPr>
          <w:rFonts w:ascii="Times New Roman" w:hAnsi="Times New Roman" w:cs="Times New Roman"/>
          <w:sz w:val="20"/>
          <w:szCs w:val="20"/>
        </w:rPr>
        <w:t xml:space="preserve"> and </w:t>
      </w:r>
      <w:r w:rsidRPr="00E9762E">
        <w:rPr>
          <w:rFonts w:ascii="Times New Roman" w:hAnsi="Times New Roman" w:cs="Times New Roman"/>
          <w:b/>
          <w:sz w:val="20"/>
          <w:szCs w:val="20"/>
        </w:rPr>
        <w:t>file</w:t>
      </w:r>
      <w:r w:rsidRPr="00FF2A97">
        <w:rPr>
          <w:rFonts w:ascii="Times New Roman" w:hAnsi="Times New Roman" w:cs="Times New Roman"/>
          <w:sz w:val="20"/>
          <w:szCs w:val="20"/>
        </w:rPr>
        <w:t xml:space="preserve"> the notice of set down. She </w:t>
      </w:r>
      <w:r w:rsidRPr="00E9762E">
        <w:rPr>
          <w:rFonts w:ascii="Times New Roman" w:hAnsi="Times New Roman" w:cs="Times New Roman"/>
          <w:b/>
          <w:sz w:val="20"/>
          <w:szCs w:val="20"/>
        </w:rPr>
        <w:t>erroneously drafted</w:t>
      </w:r>
      <w:r w:rsidRPr="00FF2A97">
        <w:rPr>
          <w:rFonts w:ascii="Times New Roman" w:hAnsi="Times New Roman" w:cs="Times New Roman"/>
          <w:sz w:val="20"/>
          <w:szCs w:val="20"/>
        </w:rPr>
        <w:t xml:space="preserve"> the notice of set down as unopposed. I attach hereto supporting affidavit by Mrs Luwizer Takaza and the irregular notice of set down dated 20</w:t>
      </w:r>
      <w:r w:rsidRPr="00FF2A97">
        <w:rPr>
          <w:rFonts w:ascii="Times New Roman" w:hAnsi="Times New Roman" w:cs="Times New Roman"/>
          <w:sz w:val="20"/>
          <w:szCs w:val="20"/>
          <w:vertAlign w:val="superscript"/>
        </w:rPr>
        <w:t>th</w:t>
      </w:r>
      <w:r w:rsidRPr="00FF2A97">
        <w:rPr>
          <w:rFonts w:ascii="Times New Roman" w:hAnsi="Times New Roman" w:cs="Times New Roman"/>
          <w:sz w:val="20"/>
          <w:szCs w:val="20"/>
        </w:rPr>
        <w:t xml:space="preserve"> December 2024 marked as Annexure G</w:t>
      </w:r>
      <w:r w:rsidR="00E9762E">
        <w:rPr>
          <w:rFonts w:ascii="Times New Roman" w:hAnsi="Times New Roman" w:cs="Times New Roman"/>
          <w:sz w:val="20"/>
          <w:szCs w:val="20"/>
        </w:rPr>
        <w:t>.</w:t>
      </w:r>
      <w:r w:rsidRPr="00FF2A97">
        <w:rPr>
          <w:rFonts w:ascii="Times New Roman" w:hAnsi="Times New Roman" w:cs="Times New Roman"/>
          <w:sz w:val="20"/>
          <w:szCs w:val="20"/>
        </w:rPr>
        <w:t>”</w:t>
      </w:r>
      <w:r w:rsidR="00E9762E">
        <w:rPr>
          <w:rFonts w:ascii="Times New Roman" w:hAnsi="Times New Roman" w:cs="Times New Roman"/>
          <w:sz w:val="20"/>
          <w:szCs w:val="20"/>
        </w:rPr>
        <w:t xml:space="preserve"> </w:t>
      </w:r>
      <w:r w:rsidR="00E9762E" w:rsidRPr="00E9762E">
        <w:rPr>
          <w:rFonts w:ascii="Times New Roman" w:hAnsi="Times New Roman" w:cs="Times New Roman"/>
          <w:sz w:val="24"/>
          <w:szCs w:val="24"/>
        </w:rPr>
        <w:t>(the bolding is my emphasis.)</w:t>
      </w:r>
    </w:p>
    <w:p w14:paraId="363B548F" w14:textId="77777777" w:rsidR="007A3627" w:rsidRPr="00E9762E" w:rsidRDefault="007A3627" w:rsidP="00A825B8">
      <w:pPr>
        <w:pStyle w:val="ListParagraph"/>
        <w:spacing w:after="0" w:line="240" w:lineRule="auto"/>
        <w:ind w:left="1440"/>
        <w:jc w:val="both"/>
        <w:rPr>
          <w:rFonts w:ascii="Times New Roman" w:hAnsi="Times New Roman" w:cs="Times New Roman"/>
          <w:sz w:val="24"/>
          <w:szCs w:val="24"/>
        </w:rPr>
      </w:pPr>
    </w:p>
    <w:p w14:paraId="1D27AFFE" w14:textId="2C885857" w:rsidR="007A3627" w:rsidRPr="000955E3" w:rsidRDefault="00E07705"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t xml:space="preserve">While it is accepted that a notice of set down is not a pleading but a legal notice to the other party that a date for the trial of hearing of a matter has been set, it remains a critical document in the litigation of disputes. If a litigant hires out a legal practitioner to represent him/her, the expectation is that such legal practitioner will attend to all issues including notices of set down. As shown by the problems that beset this case, a notice of set down is </w:t>
      </w:r>
      <w:r w:rsidR="00C9298A">
        <w:rPr>
          <w:rFonts w:ascii="Times New Roman" w:hAnsi="Times New Roman" w:cs="Times New Roman"/>
          <w:sz w:val="24"/>
          <w:szCs w:val="24"/>
        </w:rPr>
        <w:t xml:space="preserve">a </w:t>
      </w:r>
      <w:r w:rsidRPr="000955E3">
        <w:rPr>
          <w:rFonts w:ascii="Times New Roman" w:hAnsi="Times New Roman" w:cs="Times New Roman"/>
          <w:sz w:val="24"/>
          <w:szCs w:val="24"/>
        </w:rPr>
        <w:t xml:space="preserve">no less </w:t>
      </w:r>
      <w:r w:rsidR="007A3627" w:rsidRPr="000955E3">
        <w:rPr>
          <w:rFonts w:ascii="Times New Roman" w:hAnsi="Times New Roman" w:cs="Times New Roman"/>
          <w:sz w:val="24"/>
          <w:szCs w:val="24"/>
        </w:rPr>
        <w:t>important</w:t>
      </w:r>
      <w:r w:rsidR="00C9298A">
        <w:rPr>
          <w:rFonts w:ascii="Times New Roman" w:hAnsi="Times New Roman" w:cs="Times New Roman"/>
          <w:sz w:val="24"/>
          <w:szCs w:val="24"/>
        </w:rPr>
        <w:t xml:space="preserve"> part of the litigation process</w:t>
      </w:r>
      <w:r w:rsidR="007A3627" w:rsidRPr="000955E3">
        <w:rPr>
          <w:rFonts w:ascii="Times New Roman" w:hAnsi="Times New Roman" w:cs="Times New Roman"/>
          <w:sz w:val="24"/>
          <w:szCs w:val="24"/>
        </w:rPr>
        <w:t xml:space="preserve">. </w:t>
      </w:r>
      <w:r w:rsidR="00C9298A">
        <w:rPr>
          <w:rFonts w:ascii="Times New Roman" w:hAnsi="Times New Roman" w:cs="Times New Roman"/>
          <w:sz w:val="24"/>
          <w:szCs w:val="24"/>
        </w:rPr>
        <w:t>A legal practitioner can only downplay it at his own expense.</w:t>
      </w:r>
    </w:p>
    <w:p w14:paraId="1697660A" w14:textId="54F2F1D3" w:rsidR="009E04C7" w:rsidRPr="00F45662" w:rsidRDefault="007A3627"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lastRenderedPageBreak/>
        <w:t xml:space="preserve">Counsel for the applicant </w:t>
      </w:r>
      <w:r w:rsidR="00C9298A">
        <w:rPr>
          <w:rFonts w:ascii="Times New Roman" w:hAnsi="Times New Roman" w:cs="Times New Roman"/>
          <w:sz w:val="24"/>
          <w:szCs w:val="24"/>
        </w:rPr>
        <w:t xml:space="preserve">went on to </w:t>
      </w:r>
      <w:r w:rsidRPr="000955E3">
        <w:rPr>
          <w:rFonts w:ascii="Times New Roman" w:hAnsi="Times New Roman" w:cs="Times New Roman"/>
          <w:sz w:val="24"/>
          <w:szCs w:val="24"/>
        </w:rPr>
        <w:t xml:space="preserve">allege that the notice of opposition in this case was irregular because </w:t>
      </w:r>
      <w:r w:rsidR="00FF2A97" w:rsidRPr="000955E3">
        <w:rPr>
          <w:rFonts w:ascii="Times New Roman" w:hAnsi="Times New Roman" w:cs="Times New Roman"/>
          <w:sz w:val="24"/>
          <w:szCs w:val="24"/>
        </w:rPr>
        <w:t xml:space="preserve">it was titled </w:t>
      </w:r>
      <w:r w:rsidR="00FF2A97" w:rsidRPr="000955E3">
        <w:rPr>
          <w:rFonts w:ascii="Times New Roman" w:hAnsi="Times New Roman" w:cs="Times New Roman"/>
          <w:i/>
          <w:sz w:val="24"/>
          <w:szCs w:val="24"/>
        </w:rPr>
        <w:t>unopposed</w:t>
      </w:r>
      <w:r w:rsidR="00FF2A97" w:rsidRPr="000955E3">
        <w:rPr>
          <w:rFonts w:ascii="Times New Roman" w:hAnsi="Times New Roman" w:cs="Times New Roman"/>
          <w:sz w:val="24"/>
          <w:szCs w:val="24"/>
        </w:rPr>
        <w:t xml:space="preserve"> instead of </w:t>
      </w:r>
      <w:r w:rsidR="00FF2A97" w:rsidRPr="000955E3">
        <w:rPr>
          <w:rFonts w:ascii="Times New Roman" w:hAnsi="Times New Roman" w:cs="Times New Roman"/>
          <w:i/>
          <w:sz w:val="24"/>
          <w:szCs w:val="24"/>
        </w:rPr>
        <w:t>opposed</w:t>
      </w:r>
      <w:r w:rsidRPr="000955E3">
        <w:rPr>
          <w:rFonts w:ascii="Times New Roman" w:hAnsi="Times New Roman" w:cs="Times New Roman"/>
          <w:i/>
          <w:sz w:val="24"/>
          <w:szCs w:val="24"/>
        </w:rPr>
        <w:t xml:space="preserve">. </w:t>
      </w:r>
      <w:r w:rsidR="00C9298A">
        <w:rPr>
          <w:rFonts w:ascii="Times New Roman" w:hAnsi="Times New Roman" w:cs="Times New Roman"/>
          <w:sz w:val="24"/>
          <w:szCs w:val="24"/>
        </w:rPr>
        <w:t>But, h</w:t>
      </w:r>
      <w:r w:rsidRPr="000955E3">
        <w:rPr>
          <w:rFonts w:ascii="Times New Roman" w:hAnsi="Times New Roman" w:cs="Times New Roman"/>
          <w:sz w:val="24"/>
          <w:szCs w:val="24"/>
        </w:rPr>
        <w:t>e was just hiding behind his finger. What made the notice egregiously irregular was not that</w:t>
      </w:r>
      <w:r w:rsidR="00FF2A97" w:rsidRPr="000955E3">
        <w:rPr>
          <w:rFonts w:ascii="Times New Roman" w:hAnsi="Times New Roman" w:cs="Times New Roman"/>
          <w:sz w:val="24"/>
          <w:szCs w:val="24"/>
        </w:rPr>
        <w:t xml:space="preserve"> </w:t>
      </w:r>
      <w:r w:rsidR="009E04C7" w:rsidRPr="000955E3">
        <w:rPr>
          <w:rFonts w:ascii="Times New Roman" w:hAnsi="Times New Roman" w:cs="Times New Roman"/>
          <w:sz w:val="24"/>
          <w:szCs w:val="24"/>
        </w:rPr>
        <w:t xml:space="preserve">issue. </w:t>
      </w:r>
      <w:r w:rsidRPr="000955E3">
        <w:rPr>
          <w:rFonts w:ascii="Times New Roman" w:hAnsi="Times New Roman" w:cs="Times New Roman"/>
          <w:sz w:val="24"/>
          <w:szCs w:val="24"/>
        </w:rPr>
        <w:t xml:space="preserve"> Instead,</w:t>
      </w:r>
      <w:r w:rsidR="00FF2A97" w:rsidRPr="000955E3">
        <w:rPr>
          <w:rFonts w:ascii="Times New Roman" w:hAnsi="Times New Roman" w:cs="Times New Roman"/>
          <w:sz w:val="24"/>
          <w:szCs w:val="24"/>
        </w:rPr>
        <w:t xml:space="preserve"> it was </w:t>
      </w:r>
      <w:r w:rsidRPr="000955E3">
        <w:rPr>
          <w:rFonts w:ascii="Times New Roman" w:hAnsi="Times New Roman" w:cs="Times New Roman"/>
          <w:sz w:val="24"/>
          <w:szCs w:val="24"/>
        </w:rPr>
        <w:t xml:space="preserve">the fact that he abdicated his role and left it for an employee who knew nothing about court processes. </w:t>
      </w:r>
      <w:r w:rsidR="00FF2A97" w:rsidRPr="000955E3">
        <w:rPr>
          <w:rFonts w:ascii="Times New Roman" w:hAnsi="Times New Roman" w:cs="Times New Roman"/>
          <w:sz w:val="24"/>
          <w:szCs w:val="24"/>
        </w:rPr>
        <w:t xml:space="preserve">The courts have repeatedly complained of legal documents that are so poorly drafted as to be incomprehensible and have wondered whether </w:t>
      </w:r>
      <w:r w:rsidR="009E04C7" w:rsidRPr="000955E3">
        <w:rPr>
          <w:rFonts w:ascii="Times New Roman" w:hAnsi="Times New Roman" w:cs="Times New Roman"/>
          <w:sz w:val="24"/>
          <w:szCs w:val="24"/>
        </w:rPr>
        <w:t xml:space="preserve">some </w:t>
      </w:r>
      <w:r w:rsidR="00FF2A97" w:rsidRPr="000955E3">
        <w:rPr>
          <w:rFonts w:ascii="Times New Roman" w:hAnsi="Times New Roman" w:cs="Times New Roman"/>
          <w:sz w:val="24"/>
          <w:szCs w:val="24"/>
        </w:rPr>
        <w:t xml:space="preserve">legal </w:t>
      </w:r>
      <w:r w:rsidR="009E04C7" w:rsidRPr="000955E3">
        <w:rPr>
          <w:rFonts w:ascii="Times New Roman" w:hAnsi="Times New Roman" w:cs="Times New Roman"/>
          <w:sz w:val="24"/>
          <w:szCs w:val="24"/>
        </w:rPr>
        <w:t>practitioners put</w:t>
      </w:r>
      <w:r w:rsidR="00FF2A97" w:rsidRPr="000955E3">
        <w:rPr>
          <w:rFonts w:ascii="Times New Roman" w:hAnsi="Times New Roman" w:cs="Times New Roman"/>
          <w:sz w:val="24"/>
          <w:szCs w:val="24"/>
        </w:rPr>
        <w:t xml:space="preserve"> their minds to such documents </w:t>
      </w:r>
      <w:r w:rsidR="009E04C7" w:rsidRPr="000955E3">
        <w:rPr>
          <w:rFonts w:ascii="Times New Roman" w:hAnsi="Times New Roman" w:cs="Times New Roman"/>
          <w:sz w:val="24"/>
          <w:szCs w:val="24"/>
        </w:rPr>
        <w:t xml:space="preserve">at all </w:t>
      </w:r>
      <w:r w:rsidR="00FF2A97" w:rsidRPr="000955E3">
        <w:rPr>
          <w:rFonts w:ascii="Times New Roman" w:hAnsi="Times New Roman" w:cs="Times New Roman"/>
          <w:sz w:val="24"/>
          <w:szCs w:val="24"/>
        </w:rPr>
        <w:t xml:space="preserve">before filing them. </w:t>
      </w:r>
      <w:r w:rsidRPr="00F45662">
        <w:rPr>
          <w:rFonts w:ascii="Times New Roman" w:hAnsi="Times New Roman" w:cs="Times New Roman"/>
          <w:sz w:val="24"/>
          <w:szCs w:val="24"/>
        </w:rPr>
        <w:t xml:space="preserve">See the case of </w:t>
      </w:r>
      <w:r w:rsidRPr="00F45662">
        <w:rPr>
          <w:rFonts w:ascii="Times New Roman" w:hAnsi="Times New Roman" w:cs="Times New Roman"/>
          <w:i/>
        </w:rPr>
        <w:t>Zimbabwe Posts (Pvt) Ltd v Communication &amp; Allied Services Union</w:t>
      </w:r>
      <w:r w:rsidRPr="00F45662">
        <w:rPr>
          <w:rFonts w:ascii="Times New Roman" w:hAnsi="Times New Roman" w:cs="Times New Roman"/>
        </w:rPr>
        <w:t xml:space="preserve"> S</w:t>
      </w:r>
      <w:r w:rsidR="00F45662">
        <w:rPr>
          <w:rFonts w:ascii="Times New Roman" w:hAnsi="Times New Roman" w:cs="Times New Roman"/>
        </w:rPr>
        <w:t>-</w:t>
      </w:r>
      <w:r w:rsidRPr="00F45662">
        <w:rPr>
          <w:rFonts w:ascii="Times New Roman" w:hAnsi="Times New Roman" w:cs="Times New Roman"/>
        </w:rPr>
        <w:t>20</w:t>
      </w:r>
      <w:r w:rsidR="00F45662">
        <w:rPr>
          <w:rFonts w:ascii="Times New Roman" w:hAnsi="Times New Roman" w:cs="Times New Roman"/>
        </w:rPr>
        <w:t>-</w:t>
      </w:r>
      <w:r w:rsidRPr="00F45662">
        <w:rPr>
          <w:rFonts w:ascii="Times New Roman" w:hAnsi="Times New Roman" w:cs="Times New Roman"/>
        </w:rPr>
        <w:t>16</w:t>
      </w:r>
      <w:r w:rsidRPr="00F45662">
        <w:rPr>
          <w:rFonts w:ascii="Times New Roman" w:hAnsi="Times New Roman" w:cs="Times New Roman"/>
          <w:sz w:val="24"/>
          <w:szCs w:val="24"/>
        </w:rPr>
        <w:t xml:space="preserve">; and </w:t>
      </w:r>
      <w:r w:rsidRPr="00F45662">
        <w:rPr>
          <w:rFonts w:ascii="Times New Roman" w:hAnsi="Times New Roman" w:cs="Times New Roman"/>
          <w:i/>
          <w:sz w:val="24"/>
          <w:szCs w:val="24"/>
        </w:rPr>
        <w:t>Ahmed v Do</w:t>
      </w:r>
      <w:r w:rsidR="009E04C7" w:rsidRPr="00F45662">
        <w:rPr>
          <w:rFonts w:ascii="Times New Roman" w:hAnsi="Times New Roman" w:cs="Times New Roman"/>
          <w:i/>
          <w:sz w:val="24"/>
          <w:szCs w:val="24"/>
        </w:rPr>
        <w:t>c</w:t>
      </w:r>
      <w:r w:rsidRPr="00F45662">
        <w:rPr>
          <w:rFonts w:ascii="Times New Roman" w:hAnsi="Times New Roman" w:cs="Times New Roman"/>
          <w:i/>
          <w:sz w:val="24"/>
          <w:szCs w:val="24"/>
        </w:rPr>
        <w:t xml:space="preserve">king Station Safaris Private t/a CC Sales </w:t>
      </w:r>
      <w:r w:rsidR="009E04C7" w:rsidRPr="00F45662">
        <w:rPr>
          <w:rFonts w:ascii="Times New Roman" w:hAnsi="Times New Roman" w:cs="Times New Roman"/>
          <w:sz w:val="24"/>
          <w:szCs w:val="24"/>
        </w:rPr>
        <w:t>S</w:t>
      </w:r>
      <w:r w:rsidR="00F45662">
        <w:rPr>
          <w:rFonts w:ascii="Times New Roman" w:hAnsi="Times New Roman" w:cs="Times New Roman"/>
          <w:sz w:val="24"/>
          <w:szCs w:val="24"/>
        </w:rPr>
        <w:t>-</w:t>
      </w:r>
      <w:r w:rsidR="009E04C7" w:rsidRPr="00F45662">
        <w:rPr>
          <w:rFonts w:ascii="Times New Roman" w:hAnsi="Times New Roman" w:cs="Times New Roman"/>
          <w:sz w:val="24"/>
          <w:szCs w:val="24"/>
        </w:rPr>
        <w:t>70</w:t>
      </w:r>
      <w:r w:rsidR="00F45662">
        <w:rPr>
          <w:rFonts w:ascii="Times New Roman" w:hAnsi="Times New Roman" w:cs="Times New Roman"/>
          <w:sz w:val="24"/>
          <w:szCs w:val="24"/>
        </w:rPr>
        <w:t>-</w:t>
      </w:r>
      <w:r w:rsidR="009E04C7" w:rsidRPr="00F45662">
        <w:rPr>
          <w:rFonts w:ascii="Times New Roman" w:hAnsi="Times New Roman" w:cs="Times New Roman"/>
          <w:sz w:val="24"/>
          <w:szCs w:val="24"/>
        </w:rPr>
        <w:t>18 where BHUNU JA decried the carelessness of counsel with the following remarks:</w:t>
      </w:r>
    </w:p>
    <w:p w14:paraId="49323B0A" w14:textId="77777777" w:rsidR="009E04C7" w:rsidRPr="000955E3" w:rsidRDefault="009E04C7" w:rsidP="009E04C7">
      <w:pPr>
        <w:pStyle w:val="ListParagraph"/>
        <w:spacing w:after="0" w:line="360" w:lineRule="auto"/>
        <w:ind w:left="1440"/>
        <w:jc w:val="both"/>
        <w:rPr>
          <w:rFonts w:ascii="Times New Roman" w:hAnsi="Times New Roman" w:cs="Times New Roman"/>
          <w:sz w:val="20"/>
          <w:szCs w:val="20"/>
        </w:rPr>
      </w:pPr>
      <w:r w:rsidRPr="000955E3">
        <w:rPr>
          <w:rFonts w:ascii="Times New Roman" w:hAnsi="Times New Roman" w:cs="Times New Roman"/>
          <w:sz w:val="20"/>
          <w:szCs w:val="20"/>
        </w:rPr>
        <w:t>“Such tardiness is least expected in court process that is drafted by a legal practitioner. Legal practitioners must be meticulous in drafting pleadings and process. Shoddily drawn processes confuse the court and the other party.”</w:t>
      </w:r>
    </w:p>
    <w:p w14:paraId="23F7D6B7" w14:textId="77777777" w:rsidR="009E04C7" w:rsidRPr="004418A5" w:rsidRDefault="009E04C7" w:rsidP="004418A5">
      <w:pPr>
        <w:spacing w:after="0" w:line="360" w:lineRule="auto"/>
        <w:jc w:val="both"/>
        <w:rPr>
          <w:rFonts w:ascii="Times New Roman" w:hAnsi="Times New Roman" w:cs="Times New Roman"/>
          <w:sz w:val="24"/>
          <w:szCs w:val="24"/>
        </w:rPr>
      </w:pPr>
    </w:p>
    <w:p w14:paraId="75F500B8" w14:textId="113DE060" w:rsidR="009E04C7" w:rsidRPr="000955E3" w:rsidRDefault="00FF2A97"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t xml:space="preserve">The disclosure </w:t>
      </w:r>
      <w:r w:rsidR="00A825B8" w:rsidRPr="000955E3">
        <w:rPr>
          <w:rFonts w:ascii="Times New Roman" w:hAnsi="Times New Roman" w:cs="Times New Roman"/>
          <w:sz w:val="24"/>
          <w:szCs w:val="24"/>
        </w:rPr>
        <w:t>by</w:t>
      </w:r>
      <w:r w:rsidRPr="000955E3">
        <w:rPr>
          <w:rFonts w:ascii="Times New Roman" w:hAnsi="Times New Roman" w:cs="Times New Roman"/>
          <w:sz w:val="24"/>
          <w:szCs w:val="24"/>
        </w:rPr>
        <w:t xml:space="preserve"> counsel in this instance may be the explanation to some of the unacceptable pleadings </w:t>
      </w:r>
      <w:r w:rsidR="009E04C7" w:rsidRPr="000955E3">
        <w:rPr>
          <w:rFonts w:ascii="Times New Roman" w:hAnsi="Times New Roman" w:cs="Times New Roman"/>
          <w:sz w:val="24"/>
          <w:szCs w:val="24"/>
        </w:rPr>
        <w:t xml:space="preserve">and </w:t>
      </w:r>
      <w:r w:rsidR="004418A5">
        <w:rPr>
          <w:rFonts w:ascii="Times New Roman" w:hAnsi="Times New Roman" w:cs="Times New Roman"/>
          <w:sz w:val="24"/>
          <w:szCs w:val="24"/>
        </w:rPr>
        <w:t>processes</w:t>
      </w:r>
      <w:r w:rsidR="009E04C7" w:rsidRPr="000955E3">
        <w:rPr>
          <w:rFonts w:ascii="Times New Roman" w:hAnsi="Times New Roman" w:cs="Times New Roman"/>
          <w:sz w:val="24"/>
          <w:szCs w:val="24"/>
        </w:rPr>
        <w:t xml:space="preserve"> </w:t>
      </w:r>
      <w:r w:rsidRPr="000955E3">
        <w:rPr>
          <w:rFonts w:ascii="Times New Roman" w:hAnsi="Times New Roman" w:cs="Times New Roman"/>
          <w:sz w:val="24"/>
          <w:szCs w:val="24"/>
        </w:rPr>
        <w:t xml:space="preserve">that judges deal with. </w:t>
      </w:r>
      <w:r w:rsidR="00A825B8" w:rsidRPr="000955E3">
        <w:rPr>
          <w:rFonts w:ascii="Times New Roman" w:hAnsi="Times New Roman" w:cs="Times New Roman"/>
          <w:sz w:val="24"/>
          <w:szCs w:val="24"/>
        </w:rPr>
        <w:t>Receptionists</w:t>
      </w:r>
      <w:r w:rsidRPr="000955E3">
        <w:rPr>
          <w:rFonts w:ascii="Times New Roman" w:hAnsi="Times New Roman" w:cs="Times New Roman"/>
          <w:sz w:val="24"/>
          <w:szCs w:val="24"/>
        </w:rPr>
        <w:t xml:space="preserve"> in </w:t>
      </w:r>
      <w:r w:rsidR="00A825B8" w:rsidRPr="000955E3">
        <w:rPr>
          <w:rFonts w:ascii="Times New Roman" w:hAnsi="Times New Roman" w:cs="Times New Roman"/>
          <w:sz w:val="24"/>
          <w:szCs w:val="24"/>
        </w:rPr>
        <w:t>law</w:t>
      </w:r>
      <w:r w:rsidRPr="000955E3">
        <w:rPr>
          <w:rFonts w:ascii="Times New Roman" w:hAnsi="Times New Roman" w:cs="Times New Roman"/>
          <w:sz w:val="24"/>
          <w:szCs w:val="24"/>
        </w:rPr>
        <w:t xml:space="preserve"> firms </w:t>
      </w:r>
      <w:r w:rsidR="004418A5">
        <w:rPr>
          <w:rFonts w:ascii="Times New Roman" w:hAnsi="Times New Roman" w:cs="Times New Roman"/>
          <w:sz w:val="24"/>
          <w:szCs w:val="24"/>
        </w:rPr>
        <w:t xml:space="preserve">may be </w:t>
      </w:r>
      <w:r w:rsidRPr="000955E3">
        <w:rPr>
          <w:rFonts w:ascii="Times New Roman" w:hAnsi="Times New Roman" w:cs="Times New Roman"/>
          <w:sz w:val="24"/>
          <w:szCs w:val="24"/>
        </w:rPr>
        <w:t xml:space="preserve">practicing law through the back door with the full </w:t>
      </w:r>
      <w:r w:rsidR="00A825B8" w:rsidRPr="000955E3">
        <w:rPr>
          <w:rFonts w:ascii="Times New Roman" w:hAnsi="Times New Roman" w:cs="Times New Roman"/>
          <w:sz w:val="24"/>
          <w:szCs w:val="24"/>
        </w:rPr>
        <w:t xml:space="preserve">blessings of their principals. </w:t>
      </w:r>
      <w:r w:rsidR="009E04C7" w:rsidRPr="000955E3">
        <w:rPr>
          <w:rFonts w:ascii="Times New Roman" w:hAnsi="Times New Roman" w:cs="Times New Roman"/>
          <w:sz w:val="24"/>
          <w:szCs w:val="24"/>
        </w:rPr>
        <w:t xml:space="preserve">It would have been better, if the allegation was that the receptionist had done that without authority. </w:t>
      </w:r>
      <w:r w:rsidR="00A825B8" w:rsidRPr="000955E3">
        <w:rPr>
          <w:rFonts w:ascii="Times New Roman" w:hAnsi="Times New Roman" w:cs="Times New Roman"/>
          <w:sz w:val="24"/>
          <w:szCs w:val="24"/>
        </w:rPr>
        <w:t xml:space="preserve"> </w:t>
      </w:r>
      <w:r w:rsidR="009E04C7" w:rsidRPr="000955E3">
        <w:rPr>
          <w:rFonts w:ascii="Times New Roman" w:hAnsi="Times New Roman" w:cs="Times New Roman"/>
          <w:sz w:val="24"/>
          <w:szCs w:val="24"/>
        </w:rPr>
        <w:t>But for a legal practitioner to proudly admit it under oath and seek condonation on that basis can only betray the height and brazenness of the unethical practices.</w:t>
      </w:r>
    </w:p>
    <w:p w14:paraId="532995AB" w14:textId="51B5EF6B" w:rsidR="00A825B8" w:rsidRPr="000955E3" w:rsidRDefault="00A825B8"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t xml:space="preserve">After, the </w:t>
      </w:r>
      <w:r w:rsidR="00A30D9C" w:rsidRPr="000955E3">
        <w:rPr>
          <w:rFonts w:ascii="Times New Roman" w:hAnsi="Times New Roman" w:cs="Times New Roman"/>
          <w:sz w:val="24"/>
          <w:szCs w:val="24"/>
        </w:rPr>
        <w:t xml:space="preserve">above </w:t>
      </w:r>
      <w:r w:rsidR="009E04C7" w:rsidRPr="000955E3">
        <w:rPr>
          <w:rFonts w:ascii="Times New Roman" w:hAnsi="Times New Roman" w:cs="Times New Roman"/>
          <w:sz w:val="24"/>
          <w:szCs w:val="24"/>
        </w:rPr>
        <w:t>confessions</w:t>
      </w:r>
      <w:r w:rsidR="00A30D9C" w:rsidRPr="000955E3">
        <w:rPr>
          <w:rFonts w:ascii="Times New Roman" w:hAnsi="Times New Roman" w:cs="Times New Roman"/>
          <w:sz w:val="24"/>
          <w:szCs w:val="24"/>
        </w:rPr>
        <w:t>, counsel</w:t>
      </w:r>
      <w:r w:rsidR="009E04C7" w:rsidRPr="000955E3">
        <w:rPr>
          <w:rFonts w:ascii="Times New Roman" w:hAnsi="Times New Roman" w:cs="Times New Roman"/>
          <w:sz w:val="24"/>
          <w:szCs w:val="24"/>
        </w:rPr>
        <w:t xml:space="preserve"> suddenly</w:t>
      </w:r>
      <w:r w:rsidR="00A30D9C" w:rsidRPr="000955E3">
        <w:rPr>
          <w:rFonts w:ascii="Times New Roman" w:hAnsi="Times New Roman" w:cs="Times New Roman"/>
          <w:sz w:val="24"/>
          <w:szCs w:val="24"/>
        </w:rPr>
        <w:t xml:space="preserve"> </w:t>
      </w:r>
      <w:r w:rsidR="004418A5">
        <w:rPr>
          <w:rFonts w:ascii="Times New Roman" w:hAnsi="Times New Roman" w:cs="Times New Roman"/>
          <w:sz w:val="24"/>
          <w:szCs w:val="24"/>
        </w:rPr>
        <w:t>ditched</w:t>
      </w:r>
      <w:r w:rsidR="00A30D9C" w:rsidRPr="000955E3">
        <w:rPr>
          <w:rFonts w:ascii="Times New Roman" w:hAnsi="Times New Roman" w:cs="Times New Roman"/>
          <w:sz w:val="24"/>
          <w:szCs w:val="24"/>
        </w:rPr>
        <w:t xml:space="preserve"> that line o</w:t>
      </w:r>
      <w:r w:rsidR="00C82362">
        <w:rPr>
          <w:rFonts w:ascii="Times New Roman" w:hAnsi="Times New Roman" w:cs="Times New Roman"/>
          <w:sz w:val="24"/>
          <w:szCs w:val="24"/>
        </w:rPr>
        <w:t>f</w:t>
      </w:r>
      <w:r w:rsidR="00A30D9C" w:rsidRPr="000955E3">
        <w:rPr>
          <w:rFonts w:ascii="Times New Roman" w:hAnsi="Times New Roman" w:cs="Times New Roman"/>
          <w:sz w:val="24"/>
          <w:szCs w:val="24"/>
        </w:rPr>
        <w:t xml:space="preserve"> argument. I am not sure whether the abandonment was out of a realisation that it was an indictment on his integrity</w:t>
      </w:r>
      <w:r w:rsidR="004418A5">
        <w:rPr>
          <w:rFonts w:ascii="Times New Roman" w:hAnsi="Times New Roman" w:cs="Times New Roman"/>
          <w:sz w:val="24"/>
          <w:szCs w:val="24"/>
        </w:rPr>
        <w:t xml:space="preserve"> and competence</w:t>
      </w:r>
      <w:r w:rsidR="00A30D9C" w:rsidRPr="000955E3">
        <w:rPr>
          <w:rFonts w:ascii="Times New Roman" w:hAnsi="Times New Roman" w:cs="Times New Roman"/>
          <w:sz w:val="24"/>
          <w:szCs w:val="24"/>
        </w:rPr>
        <w:t xml:space="preserve"> or because he thought that the drafting mistake </w:t>
      </w:r>
      <w:r w:rsidR="009E04C7" w:rsidRPr="000955E3">
        <w:rPr>
          <w:rFonts w:ascii="Times New Roman" w:hAnsi="Times New Roman" w:cs="Times New Roman"/>
          <w:sz w:val="24"/>
          <w:szCs w:val="24"/>
        </w:rPr>
        <w:t xml:space="preserve">that </w:t>
      </w:r>
      <w:r w:rsidR="00A30D9C" w:rsidRPr="000955E3">
        <w:rPr>
          <w:rFonts w:ascii="Times New Roman" w:hAnsi="Times New Roman" w:cs="Times New Roman"/>
          <w:sz w:val="24"/>
          <w:szCs w:val="24"/>
        </w:rPr>
        <w:t xml:space="preserve">had been made by his receptionist was an insignificant matter. He did not seek any condonation for that. Rather he started arguing that the mistake, not to file the notice of set down in time was not an illustration of his law firm’s ineptitude. Instead, he </w:t>
      </w:r>
      <w:r w:rsidR="004418A5">
        <w:rPr>
          <w:rFonts w:ascii="Times New Roman" w:hAnsi="Times New Roman" w:cs="Times New Roman"/>
          <w:sz w:val="24"/>
          <w:szCs w:val="24"/>
        </w:rPr>
        <w:t xml:space="preserve">immediately started singing his own praises. He </w:t>
      </w:r>
      <w:r w:rsidR="00A30D9C" w:rsidRPr="000955E3">
        <w:rPr>
          <w:rFonts w:ascii="Times New Roman" w:hAnsi="Times New Roman" w:cs="Times New Roman"/>
          <w:sz w:val="24"/>
          <w:szCs w:val="24"/>
        </w:rPr>
        <w:t xml:space="preserve">said that he quickly ran around when he was notified that the matter had been dismissed demonstrated </w:t>
      </w:r>
      <w:r w:rsidR="00A30D9C" w:rsidRPr="000955E3">
        <w:rPr>
          <w:rFonts w:ascii="Times New Roman" w:hAnsi="Times New Roman" w:cs="Times New Roman"/>
          <w:i/>
          <w:sz w:val="24"/>
          <w:szCs w:val="24"/>
        </w:rPr>
        <w:t>“our utmost diligence and competence in trying to secure and serve our client’s interests… and demonstrates our good faith and commitment to legal process.”</w:t>
      </w:r>
      <w:r w:rsidR="00A30D9C" w:rsidRPr="000955E3">
        <w:rPr>
          <w:rFonts w:ascii="Times New Roman" w:hAnsi="Times New Roman" w:cs="Times New Roman"/>
          <w:sz w:val="24"/>
          <w:szCs w:val="24"/>
        </w:rPr>
        <w:t xml:space="preserve"> </w:t>
      </w:r>
      <w:r w:rsidR="004418A5">
        <w:rPr>
          <w:rFonts w:ascii="Times New Roman" w:hAnsi="Times New Roman" w:cs="Times New Roman"/>
          <w:sz w:val="24"/>
          <w:szCs w:val="24"/>
        </w:rPr>
        <w:t>Yet i</w:t>
      </w:r>
      <w:r w:rsidR="00A30D9C" w:rsidRPr="000955E3">
        <w:rPr>
          <w:rFonts w:ascii="Times New Roman" w:hAnsi="Times New Roman" w:cs="Times New Roman"/>
          <w:sz w:val="24"/>
          <w:szCs w:val="24"/>
        </w:rPr>
        <w:t xml:space="preserve">n reality, counsel’s conduct </w:t>
      </w:r>
      <w:r w:rsidR="00A30D9C" w:rsidRPr="000955E3">
        <w:rPr>
          <w:rFonts w:ascii="Times New Roman" w:hAnsi="Times New Roman" w:cs="Times New Roman"/>
          <w:sz w:val="24"/>
          <w:szCs w:val="24"/>
        </w:rPr>
        <w:lastRenderedPageBreak/>
        <w:t>actually demonstrate</w:t>
      </w:r>
      <w:r w:rsidR="009E04C7" w:rsidRPr="000955E3">
        <w:rPr>
          <w:rFonts w:ascii="Times New Roman" w:hAnsi="Times New Roman" w:cs="Times New Roman"/>
          <w:sz w:val="24"/>
          <w:szCs w:val="24"/>
        </w:rPr>
        <w:t>d</w:t>
      </w:r>
      <w:r w:rsidR="00A30D9C" w:rsidRPr="000955E3">
        <w:rPr>
          <w:rFonts w:ascii="Times New Roman" w:hAnsi="Times New Roman" w:cs="Times New Roman"/>
          <w:sz w:val="24"/>
          <w:szCs w:val="24"/>
        </w:rPr>
        <w:t xml:space="preserve"> everything except </w:t>
      </w:r>
      <w:r w:rsidR="004418A5">
        <w:rPr>
          <w:rFonts w:ascii="Times New Roman" w:hAnsi="Times New Roman" w:cs="Times New Roman"/>
          <w:sz w:val="24"/>
          <w:szCs w:val="24"/>
        </w:rPr>
        <w:t>the attributes</w:t>
      </w:r>
      <w:r w:rsidR="00A30D9C" w:rsidRPr="000955E3">
        <w:rPr>
          <w:rFonts w:ascii="Times New Roman" w:hAnsi="Times New Roman" w:cs="Times New Roman"/>
          <w:sz w:val="24"/>
          <w:szCs w:val="24"/>
        </w:rPr>
        <w:t xml:space="preserve"> he </w:t>
      </w:r>
      <w:r w:rsidR="009E04C7" w:rsidRPr="000955E3">
        <w:rPr>
          <w:rFonts w:ascii="Times New Roman" w:hAnsi="Times New Roman" w:cs="Times New Roman"/>
          <w:sz w:val="24"/>
          <w:szCs w:val="24"/>
        </w:rPr>
        <w:t>imagine</w:t>
      </w:r>
      <w:r w:rsidR="00184627" w:rsidRPr="000955E3">
        <w:rPr>
          <w:rFonts w:ascii="Times New Roman" w:hAnsi="Times New Roman" w:cs="Times New Roman"/>
          <w:sz w:val="24"/>
          <w:szCs w:val="24"/>
        </w:rPr>
        <w:t>s above</w:t>
      </w:r>
      <w:r w:rsidR="00A30D9C" w:rsidRPr="000955E3">
        <w:rPr>
          <w:rFonts w:ascii="Times New Roman" w:hAnsi="Times New Roman" w:cs="Times New Roman"/>
          <w:sz w:val="24"/>
          <w:szCs w:val="24"/>
        </w:rPr>
        <w:t xml:space="preserve">. A legal practitioner who leaves his client’s legal issues to be dealt with by a lay person employed in the capacity of a </w:t>
      </w:r>
      <w:r w:rsidR="007B7131" w:rsidRPr="000955E3">
        <w:rPr>
          <w:rFonts w:ascii="Times New Roman" w:hAnsi="Times New Roman" w:cs="Times New Roman"/>
          <w:sz w:val="24"/>
          <w:szCs w:val="24"/>
        </w:rPr>
        <w:t>receptionist</w:t>
      </w:r>
      <w:r w:rsidR="00A30D9C" w:rsidRPr="000955E3">
        <w:rPr>
          <w:rFonts w:ascii="Times New Roman" w:hAnsi="Times New Roman" w:cs="Times New Roman"/>
          <w:sz w:val="24"/>
          <w:szCs w:val="24"/>
        </w:rPr>
        <w:t xml:space="preserve"> resulting in </w:t>
      </w:r>
      <w:r w:rsidR="00C82362">
        <w:rPr>
          <w:rFonts w:ascii="Times New Roman" w:hAnsi="Times New Roman" w:cs="Times New Roman"/>
          <w:sz w:val="24"/>
          <w:szCs w:val="24"/>
        </w:rPr>
        <w:t xml:space="preserve">the </w:t>
      </w:r>
      <w:r w:rsidR="007B7131" w:rsidRPr="000955E3">
        <w:rPr>
          <w:rFonts w:ascii="Times New Roman" w:hAnsi="Times New Roman" w:cs="Times New Roman"/>
          <w:sz w:val="24"/>
          <w:szCs w:val="24"/>
        </w:rPr>
        <w:t>legal and financial jeopardies</w:t>
      </w:r>
      <w:r w:rsidR="00A30D9C" w:rsidRPr="000955E3">
        <w:rPr>
          <w:rFonts w:ascii="Times New Roman" w:hAnsi="Times New Roman" w:cs="Times New Roman"/>
          <w:sz w:val="24"/>
          <w:szCs w:val="24"/>
        </w:rPr>
        <w:t xml:space="preserve"> </w:t>
      </w:r>
      <w:r w:rsidR="007B7131" w:rsidRPr="000955E3">
        <w:rPr>
          <w:rFonts w:ascii="Times New Roman" w:hAnsi="Times New Roman" w:cs="Times New Roman"/>
          <w:sz w:val="24"/>
          <w:szCs w:val="24"/>
        </w:rPr>
        <w:t>that the applicant in this case must be facing, has very scanty</w:t>
      </w:r>
      <w:r w:rsidR="006B1F15">
        <w:rPr>
          <w:rFonts w:ascii="Times New Roman" w:hAnsi="Times New Roman" w:cs="Times New Roman"/>
          <w:sz w:val="24"/>
          <w:szCs w:val="24"/>
        </w:rPr>
        <w:t>,</w:t>
      </w:r>
      <w:r w:rsidR="007B7131" w:rsidRPr="000955E3">
        <w:rPr>
          <w:rFonts w:ascii="Times New Roman" w:hAnsi="Times New Roman" w:cs="Times New Roman"/>
          <w:sz w:val="24"/>
          <w:szCs w:val="24"/>
        </w:rPr>
        <w:t xml:space="preserve"> if any </w:t>
      </w:r>
      <w:r w:rsidR="00184627" w:rsidRPr="000955E3">
        <w:rPr>
          <w:rFonts w:ascii="Times New Roman" w:hAnsi="Times New Roman" w:cs="Times New Roman"/>
          <w:sz w:val="24"/>
          <w:szCs w:val="24"/>
        </w:rPr>
        <w:t>regard</w:t>
      </w:r>
      <w:r w:rsidR="007B7131" w:rsidRPr="000955E3">
        <w:rPr>
          <w:rFonts w:ascii="Times New Roman" w:hAnsi="Times New Roman" w:cs="Times New Roman"/>
          <w:sz w:val="24"/>
          <w:szCs w:val="24"/>
        </w:rPr>
        <w:t xml:space="preserve"> for that client’s affairs. </w:t>
      </w:r>
      <w:r w:rsidR="00A30D9C" w:rsidRPr="000955E3">
        <w:rPr>
          <w:rFonts w:ascii="Times New Roman" w:hAnsi="Times New Roman" w:cs="Times New Roman"/>
          <w:sz w:val="24"/>
          <w:szCs w:val="24"/>
        </w:rPr>
        <w:t xml:space="preserve"> </w:t>
      </w:r>
    </w:p>
    <w:p w14:paraId="7D5FA0A7" w14:textId="60AF6C7C" w:rsidR="00C82362" w:rsidRDefault="007B7131"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t xml:space="preserve">Despite the </w:t>
      </w:r>
      <w:r w:rsidR="00184627" w:rsidRPr="000955E3">
        <w:rPr>
          <w:rFonts w:ascii="Times New Roman" w:hAnsi="Times New Roman" w:cs="Times New Roman"/>
          <w:sz w:val="24"/>
          <w:szCs w:val="24"/>
        </w:rPr>
        <w:t>unjustifiably intrepid</w:t>
      </w:r>
      <w:r w:rsidRPr="000955E3">
        <w:rPr>
          <w:rFonts w:ascii="Times New Roman" w:hAnsi="Times New Roman" w:cs="Times New Roman"/>
          <w:sz w:val="24"/>
          <w:szCs w:val="24"/>
        </w:rPr>
        <w:t xml:space="preserve"> attempt to divert attention from the real issue, in paragraph 29.11 of the founding affidavit, counsel returned to the c</w:t>
      </w:r>
      <w:r w:rsidR="00C82362">
        <w:rPr>
          <w:rFonts w:ascii="Times New Roman" w:hAnsi="Times New Roman" w:cs="Times New Roman"/>
          <w:sz w:val="24"/>
          <w:szCs w:val="24"/>
        </w:rPr>
        <w:t>ore of the matter</w:t>
      </w:r>
      <w:r w:rsidRPr="000955E3">
        <w:rPr>
          <w:rFonts w:ascii="Times New Roman" w:hAnsi="Times New Roman" w:cs="Times New Roman"/>
          <w:sz w:val="24"/>
          <w:szCs w:val="24"/>
        </w:rPr>
        <w:t xml:space="preserve">. Thereat, he admitted that an irregular notice of set down was filed on 20 December 2024. </w:t>
      </w:r>
      <w:r w:rsidR="00184627" w:rsidRPr="000955E3">
        <w:rPr>
          <w:rFonts w:ascii="Times New Roman" w:hAnsi="Times New Roman" w:cs="Times New Roman"/>
          <w:sz w:val="24"/>
          <w:szCs w:val="24"/>
        </w:rPr>
        <w:t>But for the umpteenth time, he once again</w:t>
      </w:r>
      <w:r w:rsidRPr="000955E3">
        <w:rPr>
          <w:rFonts w:ascii="Times New Roman" w:hAnsi="Times New Roman" w:cs="Times New Roman"/>
          <w:sz w:val="24"/>
          <w:szCs w:val="24"/>
        </w:rPr>
        <w:t xml:space="preserve"> refused to take responsibility for his indiscretions and alleged that the irregular notice of set down was filed within the specified timeframe. But surely, that defective </w:t>
      </w:r>
      <w:r w:rsidR="004418A5">
        <w:rPr>
          <w:rFonts w:ascii="Times New Roman" w:hAnsi="Times New Roman" w:cs="Times New Roman"/>
          <w:sz w:val="24"/>
          <w:szCs w:val="24"/>
        </w:rPr>
        <w:t>process</w:t>
      </w:r>
      <w:r w:rsidRPr="000955E3">
        <w:rPr>
          <w:rFonts w:ascii="Times New Roman" w:hAnsi="Times New Roman" w:cs="Times New Roman"/>
          <w:sz w:val="24"/>
          <w:szCs w:val="24"/>
        </w:rPr>
        <w:t xml:space="preserve"> was filed within the accepted timelines would not </w:t>
      </w:r>
      <w:r w:rsidR="00C82362">
        <w:rPr>
          <w:rFonts w:ascii="Times New Roman" w:hAnsi="Times New Roman" w:cs="Times New Roman"/>
          <w:sz w:val="24"/>
          <w:szCs w:val="24"/>
        </w:rPr>
        <w:t xml:space="preserve">assuage the omissions and </w:t>
      </w:r>
      <w:r w:rsidRPr="000955E3">
        <w:rPr>
          <w:rFonts w:ascii="Times New Roman" w:hAnsi="Times New Roman" w:cs="Times New Roman"/>
          <w:sz w:val="24"/>
          <w:szCs w:val="24"/>
        </w:rPr>
        <w:t xml:space="preserve">make the situation any better. </w:t>
      </w:r>
      <w:r w:rsidR="001C3D08" w:rsidRPr="000955E3">
        <w:rPr>
          <w:rFonts w:ascii="Times New Roman" w:hAnsi="Times New Roman" w:cs="Times New Roman"/>
          <w:sz w:val="24"/>
          <w:szCs w:val="24"/>
        </w:rPr>
        <w:t xml:space="preserve">The same goes for the arguments about the appointment of the executor and that the law firm closed for the festive season. The fact remains that the arguments were and </w:t>
      </w:r>
      <w:r w:rsidR="00184627" w:rsidRPr="000955E3">
        <w:rPr>
          <w:rFonts w:ascii="Times New Roman" w:hAnsi="Times New Roman" w:cs="Times New Roman"/>
          <w:sz w:val="24"/>
          <w:szCs w:val="24"/>
        </w:rPr>
        <w:t>are</w:t>
      </w:r>
      <w:r w:rsidR="001C3D08" w:rsidRPr="000955E3">
        <w:rPr>
          <w:rFonts w:ascii="Times New Roman" w:hAnsi="Times New Roman" w:cs="Times New Roman"/>
          <w:sz w:val="24"/>
          <w:szCs w:val="24"/>
        </w:rPr>
        <w:t xml:space="preserve"> blatantly unreasonable explanations for the delay</w:t>
      </w:r>
      <w:r w:rsidR="00184627" w:rsidRPr="000955E3">
        <w:rPr>
          <w:rFonts w:ascii="Times New Roman" w:hAnsi="Times New Roman" w:cs="Times New Roman"/>
          <w:sz w:val="24"/>
          <w:szCs w:val="24"/>
        </w:rPr>
        <w:t xml:space="preserve"> in filing a proper notice of set down which led to the dismissal of the matter by the registrar</w:t>
      </w:r>
      <w:r w:rsidR="001C3D08" w:rsidRPr="000955E3">
        <w:rPr>
          <w:rFonts w:ascii="Times New Roman" w:hAnsi="Times New Roman" w:cs="Times New Roman"/>
          <w:sz w:val="24"/>
          <w:szCs w:val="24"/>
        </w:rPr>
        <w:t xml:space="preserve">. </w:t>
      </w:r>
      <w:r w:rsidR="00184627" w:rsidRPr="000955E3">
        <w:rPr>
          <w:rFonts w:ascii="Times New Roman" w:hAnsi="Times New Roman" w:cs="Times New Roman"/>
          <w:sz w:val="24"/>
          <w:szCs w:val="24"/>
        </w:rPr>
        <w:t xml:space="preserve">A legal practitioner and his client who throw </w:t>
      </w:r>
      <w:r w:rsidR="00C82362">
        <w:rPr>
          <w:rFonts w:ascii="Times New Roman" w:hAnsi="Times New Roman" w:cs="Times New Roman"/>
          <w:sz w:val="24"/>
          <w:szCs w:val="24"/>
        </w:rPr>
        <w:t xml:space="preserve">down </w:t>
      </w:r>
      <w:r w:rsidR="00184627" w:rsidRPr="000955E3">
        <w:rPr>
          <w:rFonts w:ascii="Times New Roman" w:hAnsi="Times New Roman" w:cs="Times New Roman"/>
          <w:sz w:val="24"/>
          <w:szCs w:val="24"/>
        </w:rPr>
        <w:t>everythin</w:t>
      </w:r>
      <w:r w:rsidR="00C82362">
        <w:rPr>
          <w:rFonts w:ascii="Times New Roman" w:hAnsi="Times New Roman" w:cs="Times New Roman"/>
          <w:sz w:val="24"/>
          <w:szCs w:val="24"/>
        </w:rPr>
        <w:t>g</w:t>
      </w:r>
      <w:r w:rsidR="00184627" w:rsidRPr="000955E3">
        <w:rPr>
          <w:rFonts w:ascii="Times New Roman" w:hAnsi="Times New Roman" w:cs="Times New Roman"/>
          <w:sz w:val="24"/>
          <w:szCs w:val="24"/>
        </w:rPr>
        <w:t xml:space="preserve"> for the sake of having fun, and ignore to file documents at court can only have themselves to blame when things turn out this way. </w:t>
      </w:r>
    </w:p>
    <w:p w14:paraId="58A31736" w14:textId="68159678" w:rsidR="00184627" w:rsidRPr="000955E3" w:rsidRDefault="00C82362" w:rsidP="00510D26">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FE7233">
        <w:rPr>
          <w:rFonts w:ascii="Times New Roman" w:hAnsi="Times New Roman" w:cs="Times New Roman"/>
          <w:sz w:val="24"/>
          <w:szCs w:val="24"/>
        </w:rPr>
        <w:t>it</w:t>
      </w:r>
      <w:r>
        <w:rPr>
          <w:rFonts w:ascii="Times New Roman" w:hAnsi="Times New Roman" w:cs="Times New Roman"/>
          <w:sz w:val="24"/>
          <w:szCs w:val="24"/>
        </w:rPr>
        <w:t xml:space="preserve"> missed the timelines within which to file the notice of set down for the reasons I have </w:t>
      </w:r>
      <w:r w:rsidR="00895472">
        <w:rPr>
          <w:rFonts w:ascii="Times New Roman" w:hAnsi="Times New Roman" w:cs="Times New Roman"/>
          <w:sz w:val="24"/>
          <w:szCs w:val="24"/>
        </w:rPr>
        <w:t>highlighted</w:t>
      </w:r>
      <w:r>
        <w:rPr>
          <w:rFonts w:ascii="Times New Roman" w:hAnsi="Times New Roman" w:cs="Times New Roman"/>
          <w:sz w:val="24"/>
          <w:szCs w:val="24"/>
        </w:rPr>
        <w:t xml:space="preserve">, the </w:t>
      </w:r>
      <w:r w:rsidR="00FE7233">
        <w:rPr>
          <w:rFonts w:ascii="Times New Roman" w:hAnsi="Times New Roman" w:cs="Times New Roman"/>
          <w:sz w:val="24"/>
          <w:szCs w:val="24"/>
        </w:rPr>
        <w:t>applicant had opportunity to seek reinstatement within the times prescribed</w:t>
      </w:r>
      <w:r w:rsidR="00895472">
        <w:rPr>
          <w:rFonts w:ascii="Times New Roman" w:hAnsi="Times New Roman" w:cs="Times New Roman"/>
          <w:sz w:val="24"/>
          <w:szCs w:val="24"/>
        </w:rPr>
        <w:t xml:space="preserve">. In keeping with its counsel’s tardiness, that deadline was once again missed leading to the requirement for it to seek condonation for late filing </w:t>
      </w:r>
      <w:r w:rsidR="004418A5">
        <w:rPr>
          <w:rFonts w:ascii="Times New Roman" w:hAnsi="Times New Roman" w:cs="Times New Roman"/>
          <w:sz w:val="24"/>
          <w:szCs w:val="24"/>
        </w:rPr>
        <w:t xml:space="preserve">of </w:t>
      </w:r>
      <w:r w:rsidR="00895472">
        <w:rPr>
          <w:rFonts w:ascii="Times New Roman" w:hAnsi="Times New Roman" w:cs="Times New Roman"/>
          <w:sz w:val="24"/>
          <w:szCs w:val="24"/>
        </w:rPr>
        <w:t xml:space="preserve">the application for reinstatement. </w:t>
      </w:r>
      <w:r w:rsidR="00FE7233">
        <w:rPr>
          <w:rFonts w:ascii="Times New Roman" w:hAnsi="Times New Roman" w:cs="Times New Roman"/>
          <w:sz w:val="24"/>
          <w:szCs w:val="24"/>
        </w:rPr>
        <w:t xml:space="preserve"> </w:t>
      </w:r>
      <w:r w:rsidR="00895472">
        <w:rPr>
          <w:rFonts w:ascii="Times New Roman" w:hAnsi="Times New Roman" w:cs="Times New Roman"/>
          <w:sz w:val="24"/>
          <w:szCs w:val="24"/>
        </w:rPr>
        <w:t xml:space="preserve">There was therefore not just one mistake but a litany of them. </w:t>
      </w:r>
      <w:r w:rsidR="00184627" w:rsidRPr="000955E3">
        <w:rPr>
          <w:rFonts w:ascii="Times New Roman" w:hAnsi="Times New Roman" w:cs="Times New Roman"/>
          <w:sz w:val="24"/>
          <w:szCs w:val="24"/>
        </w:rPr>
        <w:t xml:space="preserve">In the end, the problems were clearly of the applicant or at least his counsel’s deliberate making. The applicant made his bed of thorns. He must lie on it. </w:t>
      </w:r>
    </w:p>
    <w:p w14:paraId="03BE45DE" w14:textId="0F5343CD" w:rsidR="00184627" w:rsidRPr="000955E3" w:rsidRDefault="00184627"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t xml:space="preserve">In the end the </w:t>
      </w:r>
      <w:r w:rsidR="0016718D">
        <w:rPr>
          <w:rFonts w:ascii="Times New Roman" w:hAnsi="Times New Roman" w:cs="Times New Roman"/>
          <w:sz w:val="24"/>
          <w:szCs w:val="24"/>
        </w:rPr>
        <w:t>period</w:t>
      </w:r>
      <w:r w:rsidRPr="000955E3">
        <w:rPr>
          <w:rFonts w:ascii="Times New Roman" w:hAnsi="Times New Roman" w:cs="Times New Roman"/>
          <w:sz w:val="24"/>
          <w:szCs w:val="24"/>
        </w:rPr>
        <w:t xml:space="preserve"> </w:t>
      </w:r>
      <w:r w:rsidR="006B1F15">
        <w:rPr>
          <w:rFonts w:ascii="Times New Roman" w:hAnsi="Times New Roman" w:cs="Times New Roman"/>
          <w:sz w:val="24"/>
          <w:szCs w:val="24"/>
        </w:rPr>
        <w:t>of</w:t>
      </w:r>
      <w:r w:rsidRPr="000955E3">
        <w:rPr>
          <w:rFonts w:ascii="Times New Roman" w:hAnsi="Times New Roman" w:cs="Times New Roman"/>
          <w:sz w:val="24"/>
          <w:szCs w:val="24"/>
        </w:rPr>
        <w:t xml:space="preserve"> the delay</w:t>
      </w:r>
      <w:r w:rsidR="0016718D">
        <w:rPr>
          <w:rFonts w:ascii="Times New Roman" w:hAnsi="Times New Roman" w:cs="Times New Roman"/>
          <w:sz w:val="24"/>
          <w:szCs w:val="24"/>
        </w:rPr>
        <w:t>, running into over a couple of months,</w:t>
      </w:r>
      <w:r w:rsidRPr="000955E3">
        <w:rPr>
          <w:rFonts w:ascii="Times New Roman" w:hAnsi="Times New Roman" w:cs="Times New Roman"/>
          <w:sz w:val="24"/>
          <w:szCs w:val="24"/>
        </w:rPr>
        <w:t xml:space="preserve"> may not have been</w:t>
      </w:r>
      <w:r w:rsidR="0016718D">
        <w:rPr>
          <w:rFonts w:ascii="Times New Roman" w:hAnsi="Times New Roman" w:cs="Times New Roman"/>
          <w:sz w:val="24"/>
          <w:szCs w:val="24"/>
        </w:rPr>
        <w:t xml:space="preserve"> outrageously</w:t>
      </w:r>
      <w:r w:rsidRPr="000955E3">
        <w:rPr>
          <w:rFonts w:ascii="Times New Roman" w:hAnsi="Times New Roman" w:cs="Times New Roman"/>
          <w:sz w:val="24"/>
          <w:szCs w:val="24"/>
        </w:rPr>
        <w:t xml:space="preserve"> inordinate but the </w:t>
      </w:r>
      <w:r w:rsidR="0016718D">
        <w:rPr>
          <w:rFonts w:ascii="Times New Roman" w:hAnsi="Times New Roman" w:cs="Times New Roman"/>
          <w:sz w:val="24"/>
          <w:szCs w:val="24"/>
        </w:rPr>
        <w:t xml:space="preserve">supposed </w:t>
      </w:r>
      <w:r w:rsidRPr="000955E3">
        <w:rPr>
          <w:rFonts w:ascii="Times New Roman" w:hAnsi="Times New Roman" w:cs="Times New Roman"/>
          <w:sz w:val="24"/>
          <w:szCs w:val="24"/>
        </w:rPr>
        <w:t xml:space="preserve">justification </w:t>
      </w:r>
      <w:r w:rsidR="0016718D">
        <w:rPr>
          <w:rFonts w:ascii="Times New Roman" w:hAnsi="Times New Roman" w:cs="Times New Roman"/>
          <w:sz w:val="24"/>
          <w:szCs w:val="24"/>
        </w:rPr>
        <w:t>for</w:t>
      </w:r>
      <w:r w:rsidRPr="000955E3">
        <w:rPr>
          <w:rFonts w:ascii="Times New Roman" w:hAnsi="Times New Roman" w:cs="Times New Roman"/>
          <w:sz w:val="24"/>
          <w:szCs w:val="24"/>
        </w:rPr>
        <w:t xml:space="preserve"> what caused it  </w:t>
      </w:r>
      <w:r w:rsidR="0016718D">
        <w:rPr>
          <w:rFonts w:ascii="Times New Roman" w:hAnsi="Times New Roman" w:cs="Times New Roman"/>
          <w:sz w:val="24"/>
          <w:szCs w:val="24"/>
        </w:rPr>
        <w:t xml:space="preserve">would remain one of the most preposterous and ludicrous </w:t>
      </w:r>
      <w:r w:rsidRPr="000955E3">
        <w:rPr>
          <w:rFonts w:ascii="Times New Roman" w:hAnsi="Times New Roman" w:cs="Times New Roman"/>
          <w:sz w:val="24"/>
          <w:szCs w:val="24"/>
        </w:rPr>
        <w:t>one</w:t>
      </w:r>
      <w:r w:rsidR="0016718D">
        <w:rPr>
          <w:rFonts w:ascii="Times New Roman" w:hAnsi="Times New Roman" w:cs="Times New Roman"/>
          <w:sz w:val="24"/>
          <w:szCs w:val="24"/>
        </w:rPr>
        <w:t>s</w:t>
      </w:r>
      <w:r w:rsidRPr="000955E3">
        <w:rPr>
          <w:rFonts w:ascii="Times New Roman" w:hAnsi="Times New Roman" w:cs="Times New Roman"/>
          <w:sz w:val="24"/>
          <w:szCs w:val="24"/>
        </w:rPr>
        <w:t xml:space="preserve"> </w:t>
      </w:r>
      <w:r w:rsidR="00611693" w:rsidRPr="000955E3">
        <w:rPr>
          <w:rFonts w:ascii="Times New Roman" w:hAnsi="Times New Roman" w:cs="Times New Roman"/>
          <w:sz w:val="24"/>
          <w:szCs w:val="24"/>
        </w:rPr>
        <w:t xml:space="preserve">that </w:t>
      </w:r>
      <w:r w:rsidRPr="000955E3">
        <w:rPr>
          <w:rFonts w:ascii="Times New Roman" w:hAnsi="Times New Roman" w:cs="Times New Roman"/>
          <w:sz w:val="24"/>
          <w:szCs w:val="24"/>
        </w:rPr>
        <w:t xml:space="preserve">any court </w:t>
      </w:r>
      <w:r w:rsidR="00611693" w:rsidRPr="000955E3">
        <w:rPr>
          <w:rFonts w:ascii="Times New Roman" w:hAnsi="Times New Roman" w:cs="Times New Roman"/>
          <w:sz w:val="24"/>
          <w:szCs w:val="24"/>
        </w:rPr>
        <w:t>is likely to</w:t>
      </w:r>
      <w:r w:rsidRPr="000955E3">
        <w:rPr>
          <w:rFonts w:ascii="Times New Roman" w:hAnsi="Times New Roman" w:cs="Times New Roman"/>
          <w:sz w:val="24"/>
          <w:szCs w:val="24"/>
        </w:rPr>
        <w:t xml:space="preserve"> ever hear of.  </w:t>
      </w:r>
      <w:r w:rsidR="00611693" w:rsidRPr="000955E3">
        <w:rPr>
          <w:rFonts w:ascii="Times New Roman" w:hAnsi="Times New Roman" w:cs="Times New Roman"/>
          <w:sz w:val="24"/>
          <w:szCs w:val="24"/>
        </w:rPr>
        <w:t xml:space="preserve">It depicts a complete renunciation of a legal practitioner’s </w:t>
      </w:r>
      <w:r w:rsidR="00611693" w:rsidRPr="000955E3">
        <w:rPr>
          <w:rFonts w:ascii="Times New Roman" w:hAnsi="Times New Roman" w:cs="Times New Roman"/>
          <w:sz w:val="24"/>
          <w:szCs w:val="24"/>
        </w:rPr>
        <w:lastRenderedPageBreak/>
        <w:t>responsibilities. It may be the reason that he</w:t>
      </w:r>
      <w:r w:rsidR="00895472">
        <w:rPr>
          <w:rFonts w:ascii="Times New Roman" w:hAnsi="Times New Roman" w:cs="Times New Roman"/>
          <w:sz w:val="24"/>
          <w:szCs w:val="24"/>
        </w:rPr>
        <w:t>,</w:t>
      </w:r>
      <w:r w:rsidR="00611693" w:rsidRPr="000955E3">
        <w:rPr>
          <w:rFonts w:ascii="Times New Roman" w:hAnsi="Times New Roman" w:cs="Times New Roman"/>
          <w:sz w:val="24"/>
          <w:szCs w:val="24"/>
        </w:rPr>
        <w:t xml:space="preserve"> instead of the applicant’s functionaries</w:t>
      </w:r>
      <w:r w:rsidR="00895472">
        <w:rPr>
          <w:rFonts w:ascii="Times New Roman" w:hAnsi="Times New Roman" w:cs="Times New Roman"/>
          <w:sz w:val="24"/>
          <w:szCs w:val="24"/>
        </w:rPr>
        <w:t>,</w:t>
      </w:r>
      <w:r w:rsidR="00611693" w:rsidRPr="000955E3">
        <w:rPr>
          <w:rFonts w:ascii="Times New Roman" w:hAnsi="Times New Roman" w:cs="Times New Roman"/>
          <w:sz w:val="24"/>
          <w:szCs w:val="24"/>
        </w:rPr>
        <w:t xml:space="preserve"> had to depose to the founding affidavit. </w:t>
      </w:r>
    </w:p>
    <w:p w14:paraId="358B018F" w14:textId="1425A159" w:rsidR="007B7131" w:rsidRPr="000955E3" w:rsidRDefault="00611693"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t xml:space="preserve">In addition, the applicant’s prospects of success are diminished if the argument made in motivating the preliminary objection is considered. I do not need to replicate it here because I exhausted that discussion earlier save to emphasize </w:t>
      </w:r>
      <w:r w:rsidR="00185AD5" w:rsidRPr="000955E3">
        <w:rPr>
          <w:rFonts w:ascii="Times New Roman" w:hAnsi="Times New Roman" w:cs="Times New Roman"/>
          <w:sz w:val="24"/>
          <w:szCs w:val="24"/>
        </w:rPr>
        <w:t xml:space="preserve">that </w:t>
      </w:r>
      <w:r w:rsidR="001C3D08" w:rsidRPr="000955E3">
        <w:rPr>
          <w:rFonts w:ascii="Times New Roman" w:hAnsi="Times New Roman" w:cs="Times New Roman"/>
          <w:sz w:val="24"/>
          <w:szCs w:val="24"/>
        </w:rPr>
        <w:t xml:space="preserve">Absolom died in 2021. The </w:t>
      </w:r>
      <w:r w:rsidRPr="000955E3">
        <w:rPr>
          <w:rFonts w:ascii="Times New Roman" w:hAnsi="Times New Roman" w:cs="Times New Roman"/>
          <w:sz w:val="24"/>
          <w:szCs w:val="24"/>
        </w:rPr>
        <w:t xml:space="preserve">main </w:t>
      </w:r>
      <w:r w:rsidR="001C3D08" w:rsidRPr="000955E3">
        <w:rPr>
          <w:rFonts w:ascii="Times New Roman" w:hAnsi="Times New Roman" w:cs="Times New Roman"/>
          <w:sz w:val="24"/>
          <w:szCs w:val="24"/>
        </w:rPr>
        <w:t>application was only filed in April 2023. There is argument that the applicant was informed of that death but was obstinate and pursued a dead litigant. That later complicated issues</w:t>
      </w:r>
      <w:r w:rsidRPr="000955E3">
        <w:rPr>
          <w:rFonts w:ascii="Times New Roman" w:hAnsi="Times New Roman" w:cs="Times New Roman"/>
          <w:sz w:val="24"/>
          <w:szCs w:val="24"/>
        </w:rPr>
        <w:t xml:space="preserve"> for the </w:t>
      </w:r>
      <w:r w:rsidR="00185AD5" w:rsidRPr="000955E3">
        <w:rPr>
          <w:rFonts w:ascii="Times New Roman" w:hAnsi="Times New Roman" w:cs="Times New Roman"/>
          <w:sz w:val="24"/>
          <w:szCs w:val="24"/>
        </w:rPr>
        <w:t>applicant as</w:t>
      </w:r>
      <w:r w:rsidR="001C3D08" w:rsidRPr="000955E3">
        <w:rPr>
          <w:rFonts w:ascii="Times New Roman" w:hAnsi="Times New Roman" w:cs="Times New Roman"/>
          <w:sz w:val="24"/>
          <w:szCs w:val="24"/>
        </w:rPr>
        <w:t xml:space="preserve"> it sought the impugned substitution of Absolom </w:t>
      </w:r>
      <w:r w:rsidR="0016718D">
        <w:rPr>
          <w:rFonts w:ascii="Times New Roman" w:hAnsi="Times New Roman" w:cs="Times New Roman"/>
          <w:sz w:val="24"/>
          <w:szCs w:val="24"/>
        </w:rPr>
        <w:t>with</w:t>
      </w:r>
      <w:r w:rsidR="001C3D08" w:rsidRPr="000955E3">
        <w:rPr>
          <w:rFonts w:ascii="Times New Roman" w:hAnsi="Times New Roman" w:cs="Times New Roman"/>
          <w:sz w:val="24"/>
          <w:szCs w:val="24"/>
        </w:rPr>
        <w:t xml:space="preserve"> his executrix dative. </w:t>
      </w:r>
      <w:r w:rsidR="00185AD5" w:rsidRPr="000955E3">
        <w:rPr>
          <w:rFonts w:ascii="Times New Roman" w:hAnsi="Times New Roman" w:cs="Times New Roman"/>
          <w:i/>
          <w:sz w:val="24"/>
          <w:szCs w:val="24"/>
        </w:rPr>
        <w:t>Prima facie</w:t>
      </w:r>
      <w:r w:rsidR="00185AD5" w:rsidRPr="000955E3">
        <w:rPr>
          <w:rFonts w:ascii="Times New Roman" w:hAnsi="Times New Roman" w:cs="Times New Roman"/>
          <w:sz w:val="24"/>
          <w:szCs w:val="24"/>
        </w:rPr>
        <w:t xml:space="preserve">, it again shows the disregard for the rules which the applicant and its counsel appear to labour from if their submissions in this case are anything to go by. </w:t>
      </w:r>
      <w:r w:rsidR="00B81F1E" w:rsidRPr="000955E3">
        <w:rPr>
          <w:rFonts w:ascii="Times New Roman" w:hAnsi="Times New Roman" w:cs="Times New Roman"/>
          <w:sz w:val="24"/>
          <w:szCs w:val="24"/>
        </w:rPr>
        <w:t xml:space="preserve">In </w:t>
      </w:r>
      <w:r w:rsidR="00B81F1E" w:rsidRPr="000955E3">
        <w:rPr>
          <w:rFonts w:ascii="Times New Roman" w:hAnsi="Times New Roman" w:cs="Times New Roman"/>
          <w:i/>
          <w:sz w:val="24"/>
          <w:szCs w:val="24"/>
        </w:rPr>
        <w:t>Chijaka v Taguta</w:t>
      </w:r>
      <w:r w:rsidR="00B81F1E" w:rsidRPr="000955E3">
        <w:rPr>
          <w:rFonts w:ascii="Times New Roman" w:hAnsi="Times New Roman" w:cs="Times New Roman"/>
          <w:sz w:val="24"/>
          <w:szCs w:val="24"/>
        </w:rPr>
        <w:t xml:space="preserve"> HH</w:t>
      </w:r>
      <w:r w:rsidR="006B1F15">
        <w:rPr>
          <w:rFonts w:ascii="Times New Roman" w:hAnsi="Times New Roman" w:cs="Times New Roman"/>
          <w:sz w:val="24"/>
          <w:szCs w:val="24"/>
        </w:rPr>
        <w:t>-</w:t>
      </w:r>
      <w:r w:rsidR="00B81F1E" w:rsidRPr="000955E3">
        <w:rPr>
          <w:rFonts w:ascii="Times New Roman" w:hAnsi="Times New Roman" w:cs="Times New Roman"/>
          <w:sz w:val="24"/>
          <w:szCs w:val="24"/>
        </w:rPr>
        <w:t>308</w:t>
      </w:r>
      <w:r w:rsidR="006B1F15">
        <w:rPr>
          <w:rFonts w:ascii="Times New Roman" w:hAnsi="Times New Roman" w:cs="Times New Roman"/>
          <w:sz w:val="24"/>
          <w:szCs w:val="24"/>
        </w:rPr>
        <w:t>-</w:t>
      </w:r>
      <w:r w:rsidR="00B81F1E" w:rsidRPr="000955E3">
        <w:rPr>
          <w:rFonts w:ascii="Times New Roman" w:hAnsi="Times New Roman" w:cs="Times New Roman"/>
          <w:sz w:val="24"/>
          <w:szCs w:val="24"/>
        </w:rPr>
        <w:t xml:space="preserve">15, at p.3 of the cyclostyled </w:t>
      </w:r>
      <w:r w:rsidR="0030604F" w:rsidRPr="000955E3">
        <w:rPr>
          <w:rFonts w:ascii="Times New Roman" w:hAnsi="Times New Roman" w:cs="Times New Roman"/>
          <w:sz w:val="24"/>
          <w:szCs w:val="24"/>
        </w:rPr>
        <w:t>decision</w:t>
      </w:r>
      <w:r w:rsidR="00B81F1E" w:rsidRPr="000955E3">
        <w:rPr>
          <w:rFonts w:ascii="Times New Roman" w:hAnsi="Times New Roman" w:cs="Times New Roman"/>
          <w:sz w:val="24"/>
          <w:szCs w:val="24"/>
        </w:rPr>
        <w:t xml:space="preserve">, </w:t>
      </w:r>
      <w:r w:rsidR="0016718D" w:rsidRPr="000955E3">
        <w:rPr>
          <w:rFonts w:ascii="Times New Roman" w:hAnsi="Times New Roman" w:cs="Times New Roman"/>
          <w:sz w:val="24"/>
          <w:szCs w:val="24"/>
        </w:rPr>
        <w:t xml:space="preserve">this court </w:t>
      </w:r>
      <w:r w:rsidR="00B81F1E" w:rsidRPr="000955E3">
        <w:rPr>
          <w:rFonts w:ascii="Times New Roman" w:hAnsi="Times New Roman" w:cs="Times New Roman"/>
          <w:sz w:val="24"/>
          <w:szCs w:val="24"/>
        </w:rPr>
        <w:t>held that</w:t>
      </w:r>
      <w:r w:rsidR="0030604F" w:rsidRPr="000955E3">
        <w:rPr>
          <w:rFonts w:ascii="Times New Roman" w:hAnsi="Times New Roman" w:cs="Times New Roman"/>
          <w:sz w:val="24"/>
          <w:szCs w:val="24"/>
        </w:rPr>
        <w:t>:</w:t>
      </w:r>
    </w:p>
    <w:p w14:paraId="30C78F5C" w14:textId="77777777" w:rsidR="0030604F" w:rsidRPr="000955E3" w:rsidRDefault="0030604F" w:rsidP="0016718D">
      <w:pPr>
        <w:pStyle w:val="ListParagraph"/>
        <w:spacing w:after="0" w:line="240" w:lineRule="auto"/>
        <w:ind w:left="2160"/>
        <w:jc w:val="both"/>
        <w:rPr>
          <w:rFonts w:ascii="Times New Roman" w:hAnsi="Times New Roman" w:cs="Times New Roman"/>
          <w:sz w:val="20"/>
          <w:szCs w:val="20"/>
        </w:rPr>
      </w:pPr>
      <w:r w:rsidRPr="000955E3">
        <w:rPr>
          <w:rFonts w:ascii="Times New Roman" w:hAnsi="Times New Roman" w:cs="Times New Roman"/>
          <w:sz w:val="20"/>
          <w:szCs w:val="20"/>
        </w:rPr>
        <w:t xml:space="preserve">“A deceased estate can be briefly described as an aggregate of assets and liability of the deceased. The totality of the rights, obligations and powers of dealing therewith vests in the executor, so that he alone can deal with them. Only the executor can sue and be sued for and on behalf of a deceased estate. The appellant was in the court </w:t>
      </w:r>
      <w:r w:rsidRPr="000955E3">
        <w:rPr>
          <w:rFonts w:ascii="Times New Roman" w:hAnsi="Times New Roman" w:cs="Times New Roman"/>
          <w:i/>
          <w:sz w:val="20"/>
          <w:szCs w:val="20"/>
        </w:rPr>
        <w:t>a quo</w:t>
      </w:r>
      <w:r w:rsidRPr="000955E3">
        <w:rPr>
          <w:rFonts w:ascii="Times New Roman" w:hAnsi="Times New Roman" w:cs="Times New Roman"/>
          <w:sz w:val="20"/>
          <w:szCs w:val="20"/>
        </w:rPr>
        <w:t xml:space="preserve"> sued in her personal capacity wherein contractual liability for an agreement she was not part to was an issue. Strictly speaking there was no respondent before the court </w:t>
      </w:r>
      <w:r w:rsidRPr="000955E3">
        <w:rPr>
          <w:rFonts w:ascii="Times New Roman" w:hAnsi="Times New Roman" w:cs="Times New Roman"/>
          <w:i/>
          <w:sz w:val="20"/>
          <w:szCs w:val="20"/>
        </w:rPr>
        <w:t>a quo</w:t>
      </w:r>
      <w:r w:rsidRPr="000955E3">
        <w:rPr>
          <w:rFonts w:ascii="Times New Roman" w:hAnsi="Times New Roman" w:cs="Times New Roman"/>
          <w:sz w:val="20"/>
          <w:szCs w:val="20"/>
        </w:rPr>
        <w:t>, there was legally no party being sued, thus rendering, the proceedings a nullity.”</w:t>
      </w:r>
    </w:p>
    <w:p w14:paraId="72D3900A" w14:textId="77777777" w:rsidR="0030604F" w:rsidRPr="000955E3" w:rsidRDefault="0030604F" w:rsidP="0030604F">
      <w:pPr>
        <w:pStyle w:val="ListParagraph"/>
        <w:spacing w:after="0" w:line="360" w:lineRule="auto"/>
        <w:jc w:val="both"/>
        <w:rPr>
          <w:rFonts w:ascii="Times New Roman" w:hAnsi="Times New Roman" w:cs="Times New Roman"/>
          <w:sz w:val="24"/>
          <w:szCs w:val="24"/>
        </w:rPr>
      </w:pPr>
    </w:p>
    <w:p w14:paraId="3949C4BF" w14:textId="290898D2" w:rsidR="000955E3" w:rsidRPr="000955E3" w:rsidRDefault="0030604F" w:rsidP="00510D26">
      <w:pPr>
        <w:pStyle w:val="ListParagraph"/>
        <w:numPr>
          <w:ilvl w:val="0"/>
          <w:numId w:val="34"/>
        </w:numPr>
        <w:spacing w:after="0" w:line="360" w:lineRule="auto"/>
        <w:jc w:val="both"/>
        <w:rPr>
          <w:rFonts w:ascii="Times New Roman" w:hAnsi="Times New Roman" w:cs="Times New Roman"/>
          <w:sz w:val="24"/>
          <w:szCs w:val="24"/>
        </w:rPr>
      </w:pPr>
      <w:r w:rsidRPr="000955E3">
        <w:rPr>
          <w:rFonts w:ascii="Times New Roman" w:hAnsi="Times New Roman" w:cs="Times New Roman"/>
          <w:sz w:val="24"/>
          <w:szCs w:val="24"/>
        </w:rPr>
        <w:t xml:space="preserve">In </w:t>
      </w:r>
      <w:r w:rsidRPr="000955E3">
        <w:rPr>
          <w:rFonts w:ascii="Times New Roman" w:hAnsi="Times New Roman" w:cs="Times New Roman"/>
          <w:i/>
          <w:sz w:val="24"/>
          <w:szCs w:val="24"/>
        </w:rPr>
        <w:t>Doves Funeral Assurance (</w:t>
      </w:r>
      <w:r w:rsidR="006B1F15">
        <w:rPr>
          <w:rFonts w:ascii="Times New Roman" w:hAnsi="Times New Roman" w:cs="Times New Roman"/>
          <w:i/>
          <w:sz w:val="24"/>
          <w:szCs w:val="24"/>
        </w:rPr>
        <w:t>Pvt</w:t>
      </w:r>
      <w:r w:rsidRPr="000955E3">
        <w:rPr>
          <w:rFonts w:ascii="Times New Roman" w:hAnsi="Times New Roman" w:cs="Times New Roman"/>
          <w:i/>
          <w:sz w:val="24"/>
          <w:szCs w:val="24"/>
        </w:rPr>
        <w:t>) L</w:t>
      </w:r>
      <w:r w:rsidR="006B1F15">
        <w:rPr>
          <w:rFonts w:ascii="Times New Roman" w:hAnsi="Times New Roman" w:cs="Times New Roman"/>
          <w:i/>
          <w:sz w:val="24"/>
          <w:szCs w:val="24"/>
        </w:rPr>
        <w:t>t</w:t>
      </w:r>
      <w:r w:rsidRPr="000955E3">
        <w:rPr>
          <w:rFonts w:ascii="Times New Roman" w:hAnsi="Times New Roman" w:cs="Times New Roman"/>
          <w:i/>
          <w:sz w:val="24"/>
          <w:szCs w:val="24"/>
        </w:rPr>
        <w:t>d v Harare Motorway (</w:t>
      </w:r>
      <w:r w:rsidR="006B1F15">
        <w:rPr>
          <w:rFonts w:ascii="Times New Roman" w:hAnsi="Times New Roman" w:cs="Times New Roman"/>
          <w:i/>
          <w:sz w:val="24"/>
          <w:szCs w:val="24"/>
        </w:rPr>
        <w:t>Pvt</w:t>
      </w:r>
      <w:r w:rsidRPr="000955E3">
        <w:rPr>
          <w:rFonts w:ascii="Times New Roman" w:hAnsi="Times New Roman" w:cs="Times New Roman"/>
          <w:i/>
          <w:sz w:val="24"/>
          <w:szCs w:val="24"/>
        </w:rPr>
        <w:t xml:space="preserve">) </w:t>
      </w:r>
      <w:r w:rsidR="006B1F15">
        <w:rPr>
          <w:rFonts w:ascii="Times New Roman" w:hAnsi="Times New Roman" w:cs="Times New Roman"/>
          <w:i/>
          <w:sz w:val="24"/>
          <w:szCs w:val="24"/>
        </w:rPr>
        <w:t>Ltd</w:t>
      </w:r>
      <w:r w:rsidRPr="000955E3">
        <w:rPr>
          <w:rFonts w:ascii="Times New Roman" w:hAnsi="Times New Roman" w:cs="Times New Roman"/>
          <w:i/>
          <w:sz w:val="24"/>
          <w:szCs w:val="24"/>
        </w:rPr>
        <w:t xml:space="preserve"> and </w:t>
      </w:r>
      <w:r w:rsidR="006B1F15">
        <w:rPr>
          <w:rFonts w:ascii="Times New Roman" w:hAnsi="Times New Roman" w:cs="Times New Roman"/>
          <w:i/>
          <w:sz w:val="24"/>
          <w:szCs w:val="24"/>
        </w:rPr>
        <w:t>Ors</w:t>
      </w:r>
      <w:r w:rsidRPr="000955E3">
        <w:rPr>
          <w:rFonts w:ascii="Times New Roman" w:hAnsi="Times New Roman" w:cs="Times New Roman"/>
          <w:sz w:val="24"/>
          <w:szCs w:val="24"/>
        </w:rPr>
        <w:t xml:space="preserve"> S</w:t>
      </w:r>
      <w:r w:rsidR="006B1F15">
        <w:rPr>
          <w:rFonts w:ascii="Times New Roman" w:hAnsi="Times New Roman" w:cs="Times New Roman"/>
          <w:sz w:val="24"/>
          <w:szCs w:val="24"/>
        </w:rPr>
        <w:t>-</w:t>
      </w:r>
      <w:r w:rsidRPr="000955E3">
        <w:rPr>
          <w:rFonts w:ascii="Times New Roman" w:hAnsi="Times New Roman" w:cs="Times New Roman"/>
          <w:sz w:val="24"/>
          <w:szCs w:val="24"/>
        </w:rPr>
        <w:t>64</w:t>
      </w:r>
      <w:r w:rsidR="006B1F15">
        <w:rPr>
          <w:rFonts w:ascii="Times New Roman" w:hAnsi="Times New Roman" w:cs="Times New Roman"/>
          <w:sz w:val="24"/>
          <w:szCs w:val="24"/>
        </w:rPr>
        <w:t>-</w:t>
      </w:r>
      <w:r w:rsidRPr="000955E3">
        <w:rPr>
          <w:rFonts w:ascii="Times New Roman" w:hAnsi="Times New Roman" w:cs="Times New Roman"/>
          <w:sz w:val="24"/>
          <w:szCs w:val="24"/>
        </w:rPr>
        <w:t xml:space="preserve">23, the Supreme Court cited with approval the remarks made in the case </w:t>
      </w:r>
      <w:r w:rsidR="000955E3" w:rsidRPr="000955E3">
        <w:rPr>
          <w:rFonts w:ascii="Times New Roman" w:hAnsi="Times New Roman" w:cs="Times New Roman"/>
          <w:i/>
          <w:sz w:val="24"/>
          <w:szCs w:val="24"/>
        </w:rPr>
        <w:t>of Essop</w:t>
      </w:r>
      <w:r w:rsidRPr="000955E3">
        <w:rPr>
          <w:rFonts w:ascii="Times New Roman" w:hAnsi="Times New Roman" w:cs="Times New Roman"/>
          <w:i/>
          <w:sz w:val="24"/>
          <w:szCs w:val="24"/>
        </w:rPr>
        <w:t xml:space="preserve"> v S</w:t>
      </w:r>
      <w:r w:rsidRPr="000955E3">
        <w:rPr>
          <w:rFonts w:ascii="Times New Roman" w:hAnsi="Times New Roman" w:cs="Times New Roman"/>
          <w:sz w:val="24"/>
          <w:szCs w:val="24"/>
        </w:rPr>
        <w:t xml:space="preserve">, [2016] ZASCA 114, </w:t>
      </w:r>
      <w:r w:rsidR="0016718D" w:rsidRPr="000955E3">
        <w:rPr>
          <w:rFonts w:ascii="Times New Roman" w:hAnsi="Times New Roman" w:cs="Times New Roman"/>
          <w:sz w:val="24"/>
          <w:szCs w:val="24"/>
        </w:rPr>
        <w:t>that: -</w:t>
      </w:r>
    </w:p>
    <w:p w14:paraId="5E0DA9A1" w14:textId="77777777" w:rsidR="0030604F" w:rsidRPr="000955E3" w:rsidRDefault="0030604F" w:rsidP="0016718D">
      <w:pPr>
        <w:pStyle w:val="ListParagraph"/>
        <w:spacing w:after="0" w:line="240" w:lineRule="auto"/>
        <w:ind w:left="2160"/>
        <w:jc w:val="both"/>
        <w:rPr>
          <w:rFonts w:ascii="Times New Roman" w:hAnsi="Times New Roman" w:cs="Times New Roman"/>
          <w:sz w:val="20"/>
          <w:szCs w:val="20"/>
        </w:rPr>
      </w:pPr>
      <w:r w:rsidRPr="000955E3">
        <w:rPr>
          <w:rFonts w:ascii="Times New Roman" w:hAnsi="Times New Roman" w:cs="Times New Roman"/>
          <w:sz w:val="20"/>
          <w:szCs w:val="20"/>
        </w:rPr>
        <w:t xml:space="preserve"> “What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w:t>
      </w:r>
    </w:p>
    <w:p w14:paraId="4D3161F3" w14:textId="77777777" w:rsidR="0022579B" w:rsidRPr="000955E3" w:rsidRDefault="0022579B" w:rsidP="0016718D">
      <w:pPr>
        <w:pStyle w:val="ListParagraph"/>
        <w:spacing w:after="0" w:line="360" w:lineRule="auto"/>
        <w:ind w:left="1440"/>
        <w:jc w:val="both"/>
        <w:rPr>
          <w:rFonts w:ascii="Times New Roman" w:hAnsi="Times New Roman" w:cs="Times New Roman"/>
          <w:sz w:val="24"/>
          <w:szCs w:val="24"/>
        </w:rPr>
      </w:pPr>
    </w:p>
    <w:p w14:paraId="7A8786A8" w14:textId="3B577B4E" w:rsidR="000955E3" w:rsidRPr="00321D1C" w:rsidRDefault="000955E3" w:rsidP="00510D26">
      <w:pPr>
        <w:pStyle w:val="ListParagraph"/>
        <w:numPr>
          <w:ilvl w:val="0"/>
          <w:numId w:val="3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 xml:space="preserve">The authorities which apply to the reinstatement of appeals apply with equal force in applications for reinstatement of any other matter. I made </w:t>
      </w:r>
      <w:r w:rsidR="00895472" w:rsidRPr="00321D1C">
        <w:rPr>
          <w:rFonts w:ascii="Times New Roman" w:hAnsi="Times New Roman" w:cs="Times New Roman"/>
          <w:sz w:val="24"/>
          <w:szCs w:val="24"/>
        </w:rPr>
        <w:t>criticisms</w:t>
      </w:r>
      <w:r w:rsidRPr="00321D1C">
        <w:rPr>
          <w:rFonts w:ascii="Times New Roman" w:hAnsi="Times New Roman" w:cs="Times New Roman"/>
          <w:sz w:val="24"/>
          <w:szCs w:val="24"/>
        </w:rPr>
        <w:t xml:space="preserve"> of the applicant’s case from the information given in the </w:t>
      </w:r>
      <w:r w:rsidR="00895472" w:rsidRPr="00321D1C">
        <w:rPr>
          <w:rFonts w:ascii="Times New Roman" w:hAnsi="Times New Roman" w:cs="Times New Roman"/>
          <w:sz w:val="24"/>
          <w:szCs w:val="24"/>
        </w:rPr>
        <w:t>affidavits</w:t>
      </w:r>
      <w:r w:rsidRPr="00321D1C">
        <w:rPr>
          <w:rFonts w:ascii="Times New Roman" w:hAnsi="Times New Roman" w:cs="Times New Roman"/>
          <w:sz w:val="24"/>
          <w:szCs w:val="24"/>
        </w:rPr>
        <w:t xml:space="preserve"> and the annexures. In the end however</w:t>
      </w:r>
      <w:r w:rsidR="006857C2">
        <w:rPr>
          <w:rFonts w:ascii="Times New Roman" w:hAnsi="Times New Roman" w:cs="Times New Roman"/>
          <w:sz w:val="24"/>
          <w:szCs w:val="24"/>
        </w:rPr>
        <w:t>,</w:t>
      </w:r>
      <w:r w:rsidRPr="00321D1C">
        <w:rPr>
          <w:rFonts w:ascii="Times New Roman" w:hAnsi="Times New Roman" w:cs="Times New Roman"/>
          <w:sz w:val="24"/>
          <w:szCs w:val="24"/>
        </w:rPr>
        <w:t xml:space="preserve"> the applicant completely hamstrung itself from demonstrating that it has any prospects of success by failing to attach the record</w:t>
      </w:r>
      <w:r w:rsidR="006045D6" w:rsidRPr="00321D1C">
        <w:rPr>
          <w:rFonts w:ascii="Times New Roman" w:hAnsi="Times New Roman" w:cs="Times New Roman"/>
          <w:sz w:val="24"/>
          <w:szCs w:val="24"/>
        </w:rPr>
        <w:t xml:space="preserve"> dealing with</w:t>
      </w:r>
      <w:r w:rsidRPr="00321D1C">
        <w:rPr>
          <w:rFonts w:ascii="Times New Roman" w:hAnsi="Times New Roman" w:cs="Times New Roman"/>
          <w:sz w:val="24"/>
          <w:szCs w:val="24"/>
        </w:rPr>
        <w:t xml:space="preserve"> the main </w:t>
      </w:r>
      <w:r w:rsidRPr="00321D1C">
        <w:rPr>
          <w:rFonts w:ascii="Times New Roman" w:hAnsi="Times New Roman" w:cs="Times New Roman"/>
          <w:sz w:val="24"/>
          <w:szCs w:val="24"/>
        </w:rPr>
        <w:lastRenderedPageBreak/>
        <w:t xml:space="preserve">application.  </w:t>
      </w:r>
      <w:r w:rsidR="006045D6" w:rsidRPr="00321D1C">
        <w:rPr>
          <w:rFonts w:ascii="Times New Roman" w:hAnsi="Times New Roman" w:cs="Times New Roman"/>
          <w:sz w:val="24"/>
          <w:szCs w:val="24"/>
        </w:rPr>
        <w:t>All it did was to simply refer me to it. As was stated in</w:t>
      </w:r>
      <w:r w:rsidR="006045D6" w:rsidRPr="00321D1C">
        <w:rPr>
          <w:rFonts w:ascii="Times New Roman" w:hAnsi="Times New Roman" w:cs="Times New Roman"/>
          <w:i/>
          <w:sz w:val="24"/>
          <w:szCs w:val="24"/>
        </w:rPr>
        <w:t xml:space="preserve"> Doves Funeral Assurance (</w:t>
      </w:r>
      <w:r w:rsidR="006857C2">
        <w:rPr>
          <w:rFonts w:ascii="Times New Roman" w:hAnsi="Times New Roman" w:cs="Times New Roman"/>
          <w:i/>
          <w:sz w:val="24"/>
          <w:szCs w:val="24"/>
        </w:rPr>
        <w:t>Pvt) Ltd</w:t>
      </w:r>
      <w:r w:rsidR="006045D6" w:rsidRPr="00321D1C">
        <w:rPr>
          <w:rFonts w:ascii="Times New Roman" w:hAnsi="Times New Roman" w:cs="Times New Roman"/>
          <w:i/>
          <w:sz w:val="24"/>
          <w:szCs w:val="24"/>
        </w:rPr>
        <w:t xml:space="preserve"> </w:t>
      </w:r>
      <w:r w:rsidR="006045D6" w:rsidRPr="00321D1C">
        <w:rPr>
          <w:rFonts w:ascii="Times New Roman" w:hAnsi="Times New Roman" w:cs="Times New Roman"/>
          <w:sz w:val="24"/>
          <w:szCs w:val="24"/>
        </w:rPr>
        <w:t xml:space="preserve">(supra), the above </w:t>
      </w:r>
      <w:r w:rsidR="00895472" w:rsidRPr="00321D1C">
        <w:rPr>
          <w:rFonts w:ascii="Times New Roman" w:hAnsi="Times New Roman" w:cs="Times New Roman"/>
          <w:sz w:val="24"/>
          <w:szCs w:val="24"/>
        </w:rPr>
        <w:t>statement does</w:t>
      </w:r>
      <w:r w:rsidR="006045D6" w:rsidRPr="00321D1C">
        <w:rPr>
          <w:rFonts w:ascii="Times New Roman" w:hAnsi="Times New Roman" w:cs="Times New Roman"/>
          <w:sz w:val="24"/>
          <w:szCs w:val="24"/>
        </w:rPr>
        <w:t xml:space="preserve"> not constitute </w:t>
      </w:r>
      <w:r w:rsidR="00895472" w:rsidRPr="00321D1C">
        <w:rPr>
          <w:rFonts w:ascii="Times New Roman" w:hAnsi="Times New Roman" w:cs="Times New Roman"/>
          <w:sz w:val="24"/>
          <w:szCs w:val="24"/>
        </w:rPr>
        <w:t>an “</w:t>
      </w:r>
      <w:r w:rsidR="006045D6" w:rsidRPr="00321D1C">
        <w:rPr>
          <w:rFonts w:ascii="Times New Roman" w:hAnsi="Times New Roman" w:cs="Times New Roman"/>
          <w:sz w:val="24"/>
          <w:szCs w:val="24"/>
        </w:rPr>
        <w:t>invitation by the applicant in the founding affidavit for me to have reference to that file. Secondly, there is no such obligation [to plough through the record], on a judge dealing with such an application. [Instead, such prospects of success] should be immediately ascertainable from the applicant’s founding affidavit.”</w:t>
      </w:r>
      <w:r w:rsidR="00912E60" w:rsidRPr="00321D1C">
        <w:rPr>
          <w:rFonts w:ascii="Times New Roman" w:hAnsi="Times New Roman" w:cs="Times New Roman"/>
          <w:sz w:val="24"/>
          <w:szCs w:val="24"/>
        </w:rPr>
        <w:t xml:space="preserve"> The applicant’s affidavit was bereft of any such averments.  </w:t>
      </w:r>
    </w:p>
    <w:p w14:paraId="3C45E400" w14:textId="77777777" w:rsidR="001229E0" w:rsidRPr="00321D1C" w:rsidRDefault="00895472" w:rsidP="00510D26">
      <w:pPr>
        <w:pStyle w:val="ListParagraph"/>
        <w:numPr>
          <w:ilvl w:val="0"/>
          <w:numId w:val="3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Further, the first respondent in its opposing affidavit</w:t>
      </w:r>
      <w:r w:rsidR="00030592" w:rsidRPr="00321D1C">
        <w:rPr>
          <w:rFonts w:ascii="Times New Roman" w:hAnsi="Times New Roman" w:cs="Times New Roman"/>
          <w:sz w:val="24"/>
          <w:szCs w:val="24"/>
        </w:rPr>
        <w:t xml:space="preserve">, also said in the main application, it questioned the legality of the service of the application in Zimbabwe, on the fourth respondent, a clearly </w:t>
      </w:r>
      <w:r w:rsidR="00030592" w:rsidRPr="00321D1C">
        <w:rPr>
          <w:rFonts w:ascii="Times New Roman" w:hAnsi="Times New Roman" w:cs="Times New Roman"/>
          <w:i/>
          <w:sz w:val="24"/>
          <w:szCs w:val="24"/>
        </w:rPr>
        <w:t>peregrinus</w:t>
      </w:r>
      <w:r w:rsidR="00030592" w:rsidRPr="00321D1C">
        <w:rPr>
          <w:rFonts w:ascii="Times New Roman" w:hAnsi="Times New Roman" w:cs="Times New Roman"/>
          <w:sz w:val="24"/>
          <w:szCs w:val="24"/>
        </w:rPr>
        <w:t xml:space="preserve"> company.  </w:t>
      </w:r>
      <w:r w:rsidR="001229E0" w:rsidRPr="00321D1C">
        <w:rPr>
          <w:rFonts w:ascii="Times New Roman" w:hAnsi="Times New Roman" w:cs="Times New Roman"/>
          <w:sz w:val="24"/>
          <w:szCs w:val="24"/>
        </w:rPr>
        <w:t xml:space="preserve">It still insists that such service was defective. </w:t>
      </w:r>
      <w:r w:rsidR="00030592" w:rsidRPr="00321D1C">
        <w:rPr>
          <w:rFonts w:ascii="Times New Roman" w:hAnsi="Times New Roman" w:cs="Times New Roman"/>
          <w:sz w:val="24"/>
          <w:szCs w:val="24"/>
        </w:rPr>
        <w:t>I</w:t>
      </w:r>
      <w:r w:rsidR="001229E0" w:rsidRPr="00321D1C">
        <w:rPr>
          <w:rFonts w:ascii="Times New Roman" w:hAnsi="Times New Roman" w:cs="Times New Roman"/>
          <w:sz w:val="24"/>
          <w:szCs w:val="24"/>
        </w:rPr>
        <w:t>n the application, the fourth respondent</w:t>
      </w:r>
      <w:r w:rsidR="00030592" w:rsidRPr="00321D1C">
        <w:rPr>
          <w:rFonts w:ascii="Times New Roman" w:hAnsi="Times New Roman" w:cs="Times New Roman"/>
          <w:sz w:val="24"/>
          <w:szCs w:val="24"/>
        </w:rPr>
        <w:t xml:space="preserve"> was cited in the application</w:t>
      </w:r>
      <w:r w:rsidR="001229E0" w:rsidRPr="00321D1C">
        <w:rPr>
          <w:rFonts w:ascii="Times New Roman" w:hAnsi="Times New Roman" w:cs="Times New Roman"/>
          <w:sz w:val="24"/>
          <w:szCs w:val="24"/>
        </w:rPr>
        <w:t xml:space="preserve"> as: -</w:t>
      </w:r>
    </w:p>
    <w:p w14:paraId="6048AF56" w14:textId="77777777" w:rsidR="00895472" w:rsidRPr="00321D1C" w:rsidRDefault="001229E0" w:rsidP="001229E0">
      <w:pPr>
        <w:pStyle w:val="ListParagraph"/>
        <w:spacing w:after="0" w:line="240" w:lineRule="auto"/>
        <w:ind w:left="1440"/>
        <w:jc w:val="both"/>
        <w:rPr>
          <w:rFonts w:ascii="Times New Roman" w:hAnsi="Times New Roman" w:cs="Times New Roman"/>
          <w:sz w:val="20"/>
          <w:szCs w:val="20"/>
        </w:rPr>
      </w:pPr>
      <w:r w:rsidRPr="00321D1C">
        <w:rPr>
          <w:rFonts w:ascii="Times New Roman" w:hAnsi="Times New Roman" w:cs="Times New Roman"/>
          <w:sz w:val="24"/>
          <w:szCs w:val="24"/>
        </w:rPr>
        <w:t xml:space="preserve"> </w:t>
      </w:r>
      <w:r w:rsidRPr="00321D1C">
        <w:rPr>
          <w:rFonts w:ascii="Times New Roman" w:hAnsi="Times New Roman" w:cs="Times New Roman"/>
          <w:sz w:val="20"/>
          <w:szCs w:val="20"/>
        </w:rPr>
        <w:t>“a foreign company duly incorporated as such in terms of the laws of Hong-Kong, Special Administrative Region of the People’s Republic of China and carrying on business of global minereal commodity trading with the company’s registered address being 20</w:t>
      </w:r>
      <w:r w:rsidRPr="00321D1C">
        <w:rPr>
          <w:rFonts w:ascii="Times New Roman" w:hAnsi="Times New Roman" w:cs="Times New Roman"/>
          <w:sz w:val="20"/>
          <w:szCs w:val="20"/>
          <w:vertAlign w:val="superscript"/>
        </w:rPr>
        <w:t>th</w:t>
      </w:r>
      <w:r w:rsidRPr="00321D1C">
        <w:rPr>
          <w:rFonts w:ascii="Times New Roman" w:hAnsi="Times New Roman" w:cs="Times New Roman"/>
          <w:sz w:val="20"/>
          <w:szCs w:val="20"/>
        </w:rPr>
        <w:t xml:space="preserve"> Floor, Beautiful group Tower, 77 Connaught Road, Central Hong-Kong, Special Administrative Region of – the People’s Republic of China.”</w:t>
      </w:r>
      <w:r w:rsidR="00895472" w:rsidRPr="00321D1C">
        <w:rPr>
          <w:rFonts w:ascii="Times New Roman" w:hAnsi="Times New Roman" w:cs="Times New Roman"/>
          <w:sz w:val="20"/>
          <w:szCs w:val="20"/>
        </w:rPr>
        <w:t xml:space="preserve"> </w:t>
      </w:r>
    </w:p>
    <w:p w14:paraId="5F7B6030" w14:textId="77777777" w:rsidR="0021653B" w:rsidRPr="00321D1C" w:rsidRDefault="001229E0" w:rsidP="00912E60">
      <w:pPr>
        <w:pStyle w:val="ListParagraph"/>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 xml:space="preserve"> Arguments such as the above may be unassailable. They further demonstrate how </w:t>
      </w:r>
      <w:r w:rsidR="00912E60" w:rsidRPr="00321D1C">
        <w:rPr>
          <w:rFonts w:ascii="Times New Roman" w:hAnsi="Times New Roman" w:cs="Times New Roman"/>
          <w:sz w:val="24"/>
          <w:szCs w:val="24"/>
        </w:rPr>
        <w:t>tenuous the</w:t>
      </w:r>
      <w:r w:rsidRPr="00321D1C">
        <w:rPr>
          <w:rFonts w:ascii="Times New Roman" w:hAnsi="Times New Roman" w:cs="Times New Roman"/>
          <w:sz w:val="24"/>
          <w:szCs w:val="24"/>
        </w:rPr>
        <w:t xml:space="preserve"> applicant</w:t>
      </w:r>
      <w:r w:rsidR="00912E60" w:rsidRPr="00321D1C">
        <w:rPr>
          <w:rFonts w:ascii="Times New Roman" w:hAnsi="Times New Roman" w:cs="Times New Roman"/>
          <w:sz w:val="24"/>
          <w:szCs w:val="24"/>
        </w:rPr>
        <w:t xml:space="preserve">’s prospects of success in the main case are. </w:t>
      </w:r>
    </w:p>
    <w:p w14:paraId="29CA7B2D" w14:textId="0484E686" w:rsidR="006857C2" w:rsidRPr="006857C2" w:rsidRDefault="0021653B" w:rsidP="00510D26">
      <w:pPr>
        <w:pStyle w:val="ListParagraph"/>
        <w:numPr>
          <w:ilvl w:val="0"/>
          <w:numId w:val="3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The applicant’s obstinacy and intransigency would have been understandable if it didn’t have any other recourse. Yet it did and still does. The route of withdrawing the application and refiling it was all along open to it.</w:t>
      </w:r>
      <w:r w:rsidR="00B716F6" w:rsidRPr="00321D1C">
        <w:rPr>
          <w:rFonts w:ascii="Times New Roman" w:hAnsi="Times New Roman" w:cs="Times New Roman"/>
          <w:sz w:val="24"/>
          <w:szCs w:val="24"/>
        </w:rPr>
        <w:t xml:space="preserve"> See the case of </w:t>
      </w:r>
      <w:r w:rsidR="00B716F6" w:rsidRPr="00321D1C">
        <w:rPr>
          <w:rFonts w:ascii="Times New Roman" w:hAnsi="Times New Roman" w:cs="Times New Roman"/>
          <w:i/>
          <w:sz w:val="24"/>
          <w:szCs w:val="24"/>
        </w:rPr>
        <w:t>Makunura v Zvarevashe</w:t>
      </w:r>
      <w:r w:rsidR="00B716F6" w:rsidRPr="00321D1C">
        <w:rPr>
          <w:rFonts w:ascii="Times New Roman" w:hAnsi="Times New Roman" w:cs="Times New Roman"/>
          <w:sz w:val="24"/>
          <w:szCs w:val="24"/>
        </w:rPr>
        <w:t xml:space="preserve"> HH</w:t>
      </w:r>
      <w:r w:rsidR="006857C2">
        <w:rPr>
          <w:rFonts w:ascii="Times New Roman" w:hAnsi="Times New Roman" w:cs="Times New Roman"/>
          <w:sz w:val="24"/>
          <w:szCs w:val="24"/>
        </w:rPr>
        <w:t>-</w:t>
      </w:r>
      <w:r w:rsidR="00B716F6" w:rsidRPr="00321D1C">
        <w:rPr>
          <w:rFonts w:ascii="Times New Roman" w:hAnsi="Times New Roman" w:cs="Times New Roman"/>
          <w:sz w:val="24"/>
          <w:szCs w:val="24"/>
        </w:rPr>
        <w:t>277</w:t>
      </w:r>
      <w:r w:rsidR="006857C2">
        <w:rPr>
          <w:rFonts w:ascii="Times New Roman" w:hAnsi="Times New Roman" w:cs="Times New Roman"/>
          <w:sz w:val="24"/>
          <w:szCs w:val="24"/>
        </w:rPr>
        <w:t>-</w:t>
      </w:r>
      <w:r w:rsidR="00B716F6" w:rsidRPr="00321D1C">
        <w:rPr>
          <w:rFonts w:ascii="Times New Roman" w:hAnsi="Times New Roman" w:cs="Times New Roman"/>
          <w:sz w:val="24"/>
          <w:szCs w:val="24"/>
        </w:rPr>
        <w:t xml:space="preserve">23. </w:t>
      </w:r>
      <w:r w:rsidRPr="00321D1C">
        <w:rPr>
          <w:rFonts w:ascii="Times New Roman" w:hAnsi="Times New Roman" w:cs="Times New Roman"/>
          <w:sz w:val="24"/>
          <w:szCs w:val="24"/>
        </w:rPr>
        <w:t xml:space="preserve">  </w:t>
      </w:r>
    </w:p>
    <w:p w14:paraId="1D93DCDB" w14:textId="77777777" w:rsidR="00240BB9" w:rsidRPr="00321D1C" w:rsidRDefault="00240BB9" w:rsidP="00B7231F">
      <w:pPr>
        <w:spacing w:after="0" w:line="360" w:lineRule="auto"/>
        <w:ind w:left="720"/>
        <w:jc w:val="both"/>
        <w:rPr>
          <w:rFonts w:ascii="Times New Roman" w:hAnsi="Times New Roman" w:cs="Times New Roman"/>
          <w:b/>
          <w:sz w:val="24"/>
          <w:szCs w:val="24"/>
        </w:rPr>
      </w:pPr>
      <w:r w:rsidRPr="00321D1C">
        <w:rPr>
          <w:rFonts w:ascii="Times New Roman" w:hAnsi="Times New Roman" w:cs="Times New Roman"/>
          <w:b/>
          <w:sz w:val="24"/>
          <w:szCs w:val="24"/>
        </w:rPr>
        <w:t xml:space="preserve">Disposition </w:t>
      </w:r>
    </w:p>
    <w:p w14:paraId="4C8C8F9B" w14:textId="70FBE04C" w:rsidR="0021653B" w:rsidRPr="00321D1C" w:rsidRDefault="00912E60" w:rsidP="00510D26">
      <w:pPr>
        <w:pStyle w:val="ListParagraph"/>
        <w:numPr>
          <w:ilvl w:val="0"/>
          <w:numId w:val="3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 xml:space="preserve">All said and done, and taking the considerations </w:t>
      </w:r>
      <w:r w:rsidR="004032E9">
        <w:rPr>
          <w:rFonts w:ascii="Times New Roman" w:hAnsi="Times New Roman" w:cs="Times New Roman"/>
          <w:sz w:val="24"/>
          <w:szCs w:val="24"/>
        </w:rPr>
        <w:t xml:space="preserve">I discussed above in their totality, all seem to </w:t>
      </w:r>
      <w:r w:rsidRPr="00321D1C">
        <w:rPr>
          <w:rFonts w:ascii="Times New Roman" w:hAnsi="Times New Roman" w:cs="Times New Roman"/>
          <w:sz w:val="24"/>
          <w:szCs w:val="24"/>
        </w:rPr>
        <w:t xml:space="preserve">militate against the grant of both the applications for condonation and reinstatement. </w:t>
      </w:r>
      <w:r w:rsidR="0021653B" w:rsidRPr="00321D1C">
        <w:rPr>
          <w:rFonts w:ascii="Times New Roman" w:hAnsi="Times New Roman" w:cs="Times New Roman"/>
          <w:sz w:val="24"/>
          <w:szCs w:val="24"/>
        </w:rPr>
        <w:t xml:space="preserve">I am </w:t>
      </w:r>
      <w:r w:rsidR="00B716F6" w:rsidRPr="00321D1C">
        <w:rPr>
          <w:rFonts w:ascii="Times New Roman" w:hAnsi="Times New Roman" w:cs="Times New Roman"/>
          <w:sz w:val="24"/>
          <w:szCs w:val="24"/>
        </w:rPr>
        <w:t xml:space="preserve">therefore </w:t>
      </w:r>
      <w:r w:rsidR="0021653B" w:rsidRPr="00321D1C">
        <w:rPr>
          <w:rFonts w:ascii="Times New Roman" w:hAnsi="Times New Roman" w:cs="Times New Roman"/>
          <w:sz w:val="24"/>
          <w:szCs w:val="24"/>
        </w:rPr>
        <w:t xml:space="preserve">constrained to reach the conclusion that both have no merit. </w:t>
      </w:r>
    </w:p>
    <w:p w14:paraId="476E032D" w14:textId="77777777" w:rsidR="0021653B" w:rsidRPr="00321D1C" w:rsidRDefault="0021653B" w:rsidP="00B7231F">
      <w:pPr>
        <w:spacing w:after="0" w:line="360" w:lineRule="auto"/>
        <w:ind w:left="720"/>
        <w:jc w:val="both"/>
        <w:rPr>
          <w:rFonts w:ascii="Times New Roman" w:hAnsi="Times New Roman" w:cs="Times New Roman"/>
          <w:b/>
          <w:sz w:val="24"/>
          <w:szCs w:val="24"/>
        </w:rPr>
      </w:pPr>
      <w:r w:rsidRPr="00321D1C">
        <w:rPr>
          <w:rFonts w:ascii="Times New Roman" w:hAnsi="Times New Roman" w:cs="Times New Roman"/>
          <w:b/>
          <w:sz w:val="24"/>
          <w:szCs w:val="24"/>
        </w:rPr>
        <w:t>Costs</w:t>
      </w:r>
    </w:p>
    <w:p w14:paraId="627CB554" w14:textId="6AA76B36" w:rsidR="0021653B" w:rsidRPr="00321D1C" w:rsidRDefault="0021653B" w:rsidP="00510D26">
      <w:pPr>
        <w:pStyle w:val="ListParagraph"/>
        <w:numPr>
          <w:ilvl w:val="0"/>
          <w:numId w:val="3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 xml:space="preserve">In relation to costs, the rule is that ordinarily, </w:t>
      </w:r>
      <w:r w:rsidR="004032E9">
        <w:rPr>
          <w:rFonts w:ascii="Times New Roman" w:hAnsi="Times New Roman" w:cs="Times New Roman"/>
          <w:sz w:val="24"/>
          <w:szCs w:val="24"/>
        </w:rPr>
        <w:t>costs</w:t>
      </w:r>
      <w:r w:rsidRPr="00321D1C">
        <w:rPr>
          <w:rFonts w:ascii="Times New Roman" w:hAnsi="Times New Roman" w:cs="Times New Roman"/>
          <w:sz w:val="24"/>
          <w:szCs w:val="24"/>
        </w:rPr>
        <w:t xml:space="preserve"> follow the cause. </w:t>
      </w:r>
      <w:r w:rsidR="00B716F6" w:rsidRPr="00321D1C">
        <w:rPr>
          <w:rFonts w:ascii="Times New Roman" w:hAnsi="Times New Roman" w:cs="Times New Roman"/>
          <w:sz w:val="24"/>
          <w:szCs w:val="24"/>
        </w:rPr>
        <w:t>I agree that the applicant</w:t>
      </w:r>
      <w:r w:rsidRPr="00321D1C">
        <w:rPr>
          <w:rFonts w:ascii="Times New Roman" w:hAnsi="Times New Roman" w:cs="Times New Roman"/>
          <w:sz w:val="24"/>
          <w:szCs w:val="24"/>
        </w:rPr>
        <w:t xml:space="preserve"> flagrantly pursu</w:t>
      </w:r>
      <w:r w:rsidR="00B716F6" w:rsidRPr="00321D1C">
        <w:rPr>
          <w:rFonts w:ascii="Times New Roman" w:hAnsi="Times New Roman" w:cs="Times New Roman"/>
          <w:sz w:val="24"/>
          <w:szCs w:val="24"/>
        </w:rPr>
        <w:t>ed</w:t>
      </w:r>
      <w:r w:rsidRPr="00321D1C">
        <w:rPr>
          <w:rFonts w:ascii="Times New Roman" w:hAnsi="Times New Roman" w:cs="Times New Roman"/>
          <w:sz w:val="24"/>
          <w:szCs w:val="24"/>
        </w:rPr>
        <w:t xml:space="preserve"> lost causes in the face of admoni</w:t>
      </w:r>
      <w:r w:rsidR="004032E9">
        <w:rPr>
          <w:rFonts w:ascii="Times New Roman" w:hAnsi="Times New Roman" w:cs="Times New Roman"/>
          <w:sz w:val="24"/>
          <w:szCs w:val="24"/>
        </w:rPr>
        <w:t>shments</w:t>
      </w:r>
      <w:r w:rsidRPr="00321D1C">
        <w:rPr>
          <w:rFonts w:ascii="Times New Roman" w:hAnsi="Times New Roman" w:cs="Times New Roman"/>
          <w:sz w:val="24"/>
          <w:szCs w:val="24"/>
        </w:rPr>
        <w:t xml:space="preserve"> to the contrary</w:t>
      </w:r>
      <w:r w:rsidR="00B716F6" w:rsidRPr="00321D1C">
        <w:rPr>
          <w:rFonts w:ascii="Times New Roman" w:hAnsi="Times New Roman" w:cs="Times New Roman"/>
          <w:sz w:val="24"/>
          <w:szCs w:val="24"/>
        </w:rPr>
        <w:t xml:space="preserve">. Despite claiming such in the papers, </w:t>
      </w:r>
      <w:r w:rsidRPr="00321D1C">
        <w:rPr>
          <w:rFonts w:ascii="Times New Roman" w:hAnsi="Times New Roman" w:cs="Times New Roman"/>
          <w:sz w:val="24"/>
          <w:szCs w:val="24"/>
        </w:rPr>
        <w:t xml:space="preserve">I </w:t>
      </w:r>
      <w:r w:rsidR="00B716F6" w:rsidRPr="00321D1C">
        <w:rPr>
          <w:rFonts w:ascii="Times New Roman" w:hAnsi="Times New Roman" w:cs="Times New Roman"/>
          <w:sz w:val="24"/>
          <w:szCs w:val="24"/>
        </w:rPr>
        <w:t xml:space="preserve">however </w:t>
      </w:r>
      <w:r w:rsidRPr="00321D1C">
        <w:rPr>
          <w:rFonts w:ascii="Times New Roman" w:hAnsi="Times New Roman" w:cs="Times New Roman"/>
          <w:sz w:val="24"/>
          <w:szCs w:val="24"/>
        </w:rPr>
        <w:t xml:space="preserve">didn’t hear the first </w:t>
      </w:r>
      <w:r w:rsidRPr="00321D1C">
        <w:rPr>
          <w:rFonts w:ascii="Times New Roman" w:hAnsi="Times New Roman" w:cs="Times New Roman"/>
          <w:sz w:val="24"/>
          <w:szCs w:val="24"/>
        </w:rPr>
        <w:lastRenderedPageBreak/>
        <w:t xml:space="preserve">respondent </w:t>
      </w:r>
      <w:r w:rsidR="00B716F6" w:rsidRPr="00321D1C">
        <w:rPr>
          <w:rFonts w:ascii="Times New Roman" w:hAnsi="Times New Roman" w:cs="Times New Roman"/>
          <w:sz w:val="24"/>
          <w:szCs w:val="24"/>
        </w:rPr>
        <w:t xml:space="preserve">seriously </w:t>
      </w:r>
      <w:r w:rsidRPr="00321D1C">
        <w:rPr>
          <w:rFonts w:ascii="Times New Roman" w:hAnsi="Times New Roman" w:cs="Times New Roman"/>
          <w:sz w:val="24"/>
          <w:szCs w:val="24"/>
        </w:rPr>
        <w:t xml:space="preserve">motivating me to order the payment of costs on a punitive scale. I therefore have no reason to depart from the ordinary position.  </w:t>
      </w:r>
    </w:p>
    <w:p w14:paraId="65454B81" w14:textId="77777777" w:rsidR="00240BB9" w:rsidRPr="00321D1C" w:rsidRDefault="00240BB9" w:rsidP="00510D26">
      <w:pPr>
        <w:pStyle w:val="ListParagraph"/>
        <w:numPr>
          <w:ilvl w:val="0"/>
          <w:numId w:val="3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 xml:space="preserve">Accordingly, </w:t>
      </w:r>
      <w:r w:rsidR="0021653B" w:rsidRPr="00321D1C">
        <w:rPr>
          <w:rFonts w:ascii="Times New Roman" w:hAnsi="Times New Roman" w:cs="Times New Roman"/>
          <w:sz w:val="24"/>
          <w:szCs w:val="24"/>
        </w:rPr>
        <w:t>I direct as follows:</w:t>
      </w:r>
    </w:p>
    <w:p w14:paraId="2E6E7499" w14:textId="18DA824F" w:rsidR="0021653B" w:rsidRPr="00321D1C" w:rsidRDefault="0021653B" w:rsidP="0021653B">
      <w:pPr>
        <w:pStyle w:val="ListParagraph"/>
        <w:numPr>
          <w:ilvl w:val="0"/>
          <w:numId w:val="2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 xml:space="preserve">Both the applications for condonation </w:t>
      </w:r>
      <w:r w:rsidR="00B716F6" w:rsidRPr="00321D1C">
        <w:rPr>
          <w:rFonts w:ascii="Times New Roman" w:hAnsi="Times New Roman" w:cs="Times New Roman"/>
          <w:sz w:val="24"/>
          <w:szCs w:val="24"/>
        </w:rPr>
        <w:t>for late setting down of case No. HCCAPP 140</w:t>
      </w:r>
      <w:r w:rsidR="006857C2">
        <w:rPr>
          <w:rFonts w:ascii="Times New Roman" w:hAnsi="Times New Roman" w:cs="Times New Roman"/>
          <w:sz w:val="24"/>
          <w:szCs w:val="24"/>
        </w:rPr>
        <w:t>-</w:t>
      </w:r>
      <w:r w:rsidR="00B716F6" w:rsidRPr="00321D1C">
        <w:rPr>
          <w:rFonts w:ascii="Times New Roman" w:hAnsi="Times New Roman" w:cs="Times New Roman"/>
          <w:sz w:val="24"/>
          <w:szCs w:val="24"/>
        </w:rPr>
        <w:t xml:space="preserve">23 </w:t>
      </w:r>
      <w:r w:rsidR="00321D1C" w:rsidRPr="00321D1C">
        <w:rPr>
          <w:rFonts w:ascii="Times New Roman" w:hAnsi="Times New Roman" w:cs="Times New Roman"/>
          <w:sz w:val="24"/>
          <w:szCs w:val="24"/>
        </w:rPr>
        <w:t>and for</w:t>
      </w:r>
      <w:r w:rsidR="00B716F6" w:rsidRPr="00321D1C">
        <w:rPr>
          <w:rFonts w:ascii="Times New Roman" w:hAnsi="Times New Roman" w:cs="Times New Roman"/>
          <w:sz w:val="24"/>
          <w:szCs w:val="24"/>
        </w:rPr>
        <w:t xml:space="preserve"> its reinstatement be and are hereby dismissed in their entirety. </w:t>
      </w:r>
    </w:p>
    <w:p w14:paraId="5E7BD82A" w14:textId="77777777" w:rsidR="00321D1C" w:rsidRPr="00321D1C" w:rsidRDefault="00321D1C" w:rsidP="0021653B">
      <w:pPr>
        <w:pStyle w:val="ListParagraph"/>
        <w:numPr>
          <w:ilvl w:val="0"/>
          <w:numId w:val="24"/>
        </w:numPr>
        <w:spacing w:after="0" w:line="360" w:lineRule="auto"/>
        <w:jc w:val="both"/>
        <w:rPr>
          <w:rFonts w:ascii="Times New Roman" w:hAnsi="Times New Roman" w:cs="Times New Roman"/>
          <w:sz w:val="24"/>
          <w:szCs w:val="24"/>
        </w:rPr>
      </w:pPr>
      <w:r w:rsidRPr="00321D1C">
        <w:rPr>
          <w:rFonts w:ascii="Times New Roman" w:hAnsi="Times New Roman" w:cs="Times New Roman"/>
          <w:sz w:val="24"/>
          <w:szCs w:val="24"/>
        </w:rPr>
        <w:t>The applicant shall pay the first respondent’s costs of suit</w:t>
      </w:r>
    </w:p>
    <w:p w14:paraId="5020A124" w14:textId="77777777" w:rsidR="00D3061D" w:rsidRPr="00321D1C" w:rsidRDefault="00D3061D" w:rsidP="00321D1C">
      <w:pPr>
        <w:spacing w:after="0" w:line="360" w:lineRule="auto"/>
        <w:jc w:val="both"/>
        <w:rPr>
          <w:rFonts w:ascii="Times New Roman" w:hAnsi="Times New Roman" w:cs="Times New Roman"/>
          <w:b/>
          <w:i/>
          <w:sz w:val="24"/>
          <w:szCs w:val="24"/>
        </w:rPr>
      </w:pPr>
    </w:p>
    <w:p w14:paraId="0ED2D2C6" w14:textId="77777777" w:rsidR="00D3061D" w:rsidRPr="00321D1C" w:rsidRDefault="00D3061D" w:rsidP="00D3061D">
      <w:pPr>
        <w:spacing w:after="0" w:line="360" w:lineRule="auto"/>
        <w:jc w:val="both"/>
        <w:rPr>
          <w:rFonts w:ascii="Times New Roman" w:hAnsi="Times New Roman" w:cs="Times New Roman"/>
          <w:b/>
          <w:i/>
          <w:sz w:val="24"/>
          <w:szCs w:val="24"/>
        </w:rPr>
      </w:pPr>
    </w:p>
    <w:p w14:paraId="48ECB099" w14:textId="77777777" w:rsidR="00AF5CD8" w:rsidRPr="00321D1C" w:rsidRDefault="00D3061D" w:rsidP="00321D1C">
      <w:pPr>
        <w:spacing w:after="0" w:line="360" w:lineRule="auto"/>
        <w:jc w:val="both"/>
        <w:rPr>
          <w:rFonts w:ascii="Times New Roman" w:hAnsi="Times New Roman" w:cs="Times New Roman"/>
          <w:b/>
          <w:sz w:val="24"/>
          <w:szCs w:val="24"/>
        </w:rPr>
      </w:pPr>
      <w:r w:rsidRPr="00321D1C">
        <w:rPr>
          <w:rFonts w:ascii="Times New Roman" w:hAnsi="Times New Roman" w:cs="Times New Roman"/>
          <w:b/>
          <w:i/>
          <w:sz w:val="24"/>
          <w:szCs w:val="24"/>
        </w:rPr>
        <w:tab/>
      </w:r>
      <w:r w:rsidRPr="00321D1C">
        <w:rPr>
          <w:rFonts w:ascii="Times New Roman" w:hAnsi="Times New Roman" w:cs="Times New Roman"/>
          <w:b/>
          <w:sz w:val="24"/>
          <w:szCs w:val="24"/>
        </w:rPr>
        <w:t>MUTEVEDZI J………………………………</w:t>
      </w:r>
    </w:p>
    <w:p w14:paraId="3B3FC00A" w14:textId="77777777" w:rsidR="00AF5CD8" w:rsidRPr="00321D1C" w:rsidRDefault="00AF5CD8" w:rsidP="00B7231F">
      <w:pPr>
        <w:spacing w:after="0" w:line="360" w:lineRule="auto"/>
        <w:ind w:left="720"/>
        <w:jc w:val="both"/>
        <w:rPr>
          <w:rFonts w:ascii="Times New Roman" w:hAnsi="Times New Roman" w:cs="Times New Roman"/>
          <w:sz w:val="24"/>
          <w:szCs w:val="24"/>
        </w:rPr>
      </w:pPr>
    </w:p>
    <w:p w14:paraId="17B70D09" w14:textId="4F8F9E43" w:rsidR="00AF5CD8" w:rsidRPr="00321D1C" w:rsidRDefault="00AF5CD8" w:rsidP="00B7231F">
      <w:pPr>
        <w:spacing w:after="0" w:line="360" w:lineRule="auto"/>
        <w:ind w:left="720"/>
        <w:jc w:val="both"/>
        <w:rPr>
          <w:rFonts w:ascii="Times New Roman" w:hAnsi="Times New Roman" w:cs="Times New Roman"/>
          <w:sz w:val="24"/>
          <w:szCs w:val="24"/>
        </w:rPr>
      </w:pPr>
      <w:r w:rsidRPr="00321D1C">
        <w:rPr>
          <w:rFonts w:ascii="Times New Roman" w:hAnsi="Times New Roman" w:cs="Times New Roman"/>
          <w:i/>
          <w:sz w:val="24"/>
          <w:szCs w:val="24"/>
        </w:rPr>
        <w:t xml:space="preserve">Jiti Law Chambers, </w:t>
      </w:r>
      <w:r w:rsidR="004032E9">
        <w:rPr>
          <w:rFonts w:ascii="Times New Roman" w:hAnsi="Times New Roman" w:cs="Times New Roman"/>
          <w:sz w:val="24"/>
          <w:szCs w:val="24"/>
        </w:rPr>
        <w:t>a</w:t>
      </w:r>
      <w:r w:rsidRPr="00321D1C">
        <w:rPr>
          <w:rFonts w:ascii="Times New Roman" w:hAnsi="Times New Roman" w:cs="Times New Roman"/>
          <w:sz w:val="24"/>
          <w:szCs w:val="24"/>
        </w:rPr>
        <w:t>pplicant’s legal practitioners</w:t>
      </w:r>
    </w:p>
    <w:p w14:paraId="647BDE18" w14:textId="15548AEF" w:rsidR="00D3061D" w:rsidRPr="00321D1C" w:rsidRDefault="00D3061D" w:rsidP="00B7231F">
      <w:pPr>
        <w:spacing w:after="0" w:line="360" w:lineRule="auto"/>
        <w:ind w:left="720"/>
        <w:jc w:val="both"/>
        <w:rPr>
          <w:rFonts w:ascii="Times New Roman" w:hAnsi="Times New Roman" w:cs="Times New Roman"/>
          <w:sz w:val="24"/>
          <w:szCs w:val="24"/>
        </w:rPr>
      </w:pPr>
      <w:r w:rsidRPr="00321D1C">
        <w:rPr>
          <w:rFonts w:ascii="Times New Roman" w:hAnsi="Times New Roman" w:cs="Times New Roman"/>
          <w:i/>
          <w:sz w:val="24"/>
          <w:szCs w:val="24"/>
        </w:rPr>
        <w:t>Mase</w:t>
      </w:r>
      <w:r w:rsidR="00321D1C" w:rsidRPr="00321D1C">
        <w:rPr>
          <w:rFonts w:ascii="Times New Roman" w:hAnsi="Times New Roman" w:cs="Times New Roman"/>
          <w:i/>
          <w:sz w:val="24"/>
          <w:szCs w:val="24"/>
        </w:rPr>
        <w:t>k</w:t>
      </w:r>
      <w:r w:rsidRPr="00321D1C">
        <w:rPr>
          <w:rFonts w:ascii="Times New Roman" w:hAnsi="Times New Roman" w:cs="Times New Roman"/>
          <w:i/>
          <w:sz w:val="24"/>
          <w:szCs w:val="24"/>
        </w:rPr>
        <w:t>o Law Chambers</w:t>
      </w:r>
      <w:r w:rsidRPr="004032E9">
        <w:rPr>
          <w:rFonts w:ascii="Times New Roman" w:hAnsi="Times New Roman" w:cs="Times New Roman"/>
          <w:sz w:val="24"/>
          <w:szCs w:val="24"/>
        </w:rPr>
        <w:t xml:space="preserve">, </w:t>
      </w:r>
      <w:r w:rsidR="004032E9" w:rsidRPr="004032E9">
        <w:rPr>
          <w:rFonts w:ascii="Times New Roman" w:hAnsi="Times New Roman" w:cs="Times New Roman"/>
          <w:sz w:val="24"/>
          <w:szCs w:val="24"/>
        </w:rPr>
        <w:t>first</w:t>
      </w:r>
      <w:r w:rsidRPr="00321D1C">
        <w:rPr>
          <w:rFonts w:ascii="Times New Roman" w:hAnsi="Times New Roman" w:cs="Times New Roman"/>
          <w:sz w:val="24"/>
          <w:szCs w:val="24"/>
        </w:rPr>
        <w:t xml:space="preserve"> </w:t>
      </w:r>
      <w:r w:rsidR="004032E9">
        <w:rPr>
          <w:rFonts w:ascii="Times New Roman" w:hAnsi="Times New Roman" w:cs="Times New Roman"/>
          <w:sz w:val="24"/>
          <w:szCs w:val="24"/>
        </w:rPr>
        <w:t>r</w:t>
      </w:r>
      <w:r w:rsidRPr="00321D1C">
        <w:rPr>
          <w:rFonts w:ascii="Times New Roman" w:hAnsi="Times New Roman" w:cs="Times New Roman"/>
          <w:sz w:val="24"/>
          <w:szCs w:val="24"/>
        </w:rPr>
        <w:t>espondent’s legal practitioners</w:t>
      </w:r>
    </w:p>
    <w:p w14:paraId="7F043806" w14:textId="77777777" w:rsidR="00AF5CD8" w:rsidRPr="00321D1C" w:rsidRDefault="00AF5CD8" w:rsidP="00B7231F">
      <w:pPr>
        <w:spacing w:after="0" w:line="360" w:lineRule="auto"/>
        <w:ind w:left="720"/>
        <w:jc w:val="both"/>
        <w:rPr>
          <w:rFonts w:ascii="Times New Roman" w:hAnsi="Times New Roman" w:cs="Times New Roman"/>
          <w:sz w:val="24"/>
          <w:szCs w:val="24"/>
        </w:rPr>
      </w:pPr>
    </w:p>
    <w:p w14:paraId="5FE6414D" w14:textId="77777777" w:rsidR="002862AC" w:rsidRPr="00321D1C" w:rsidRDefault="00240BB9" w:rsidP="00321D1C">
      <w:pPr>
        <w:spacing w:after="0" w:line="360" w:lineRule="auto"/>
        <w:ind w:left="720"/>
        <w:jc w:val="both"/>
        <w:rPr>
          <w:rFonts w:ascii="Times New Roman" w:hAnsi="Times New Roman" w:cs="Times New Roman"/>
          <w:sz w:val="24"/>
          <w:szCs w:val="24"/>
        </w:rPr>
      </w:pPr>
      <w:r w:rsidRPr="00321D1C">
        <w:rPr>
          <w:rFonts w:ascii="Times New Roman" w:hAnsi="Times New Roman" w:cs="Times New Roman"/>
          <w:sz w:val="24"/>
          <w:szCs w:val="24"/>
        </w:rPr>
        <w:tab/>
      </w:r>
    </w:p>
    <w:sectPr w:rsidR="002862AC" w:rsidRPr="00321D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1A83D" w14:textId="77777777" w:rsidR="00417F64" w:rsidRDefault="00417F64" w:rsidP="002862AC">
      <w:pPr>
        <w:spacing w:after="0" w:line="240" w:lineRule="auto"/>
      </w:pPr>
      <w:r>
        <w:separator/>
      </w:r>
    </w:p>
  </w:endnote>
  <w:endnote w:type="continuationSeparator" w:id="0">
    <w:p w14:paraId="7F8D6109" w14:textId="77777777" w:rsidR="00417F64" w:rsidRDefault="00417F64" w:rsidP="0028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E55F0" w14:textId="77777777" w:rsidR="00417F64" w:rsidRDefault="00417F64" w:rsidP="002862AC">
      <w:pPr>
        <w:spacing w:after="0" w:line="240" w:lineRule="auto"/>
      </w:pPr>
      <w:r>
        <w:separator/>
      </w:r>
    </w:p>
  </w:footnote>
  <w:footnote w:type="continuationSeparator" w:id="0">
    <w:p w14:paraId="534FC062" w14:textId="77777777" w:rsidR="00417F64" w:rsidRDefault="00417F64" w:rsidP="00286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858942"/>
      <w:docPartObj>
        <w:docPartGallery w:val="Page Numbers (Top of Page)"/>
        <w:docPartUnique/>
      </w:docPartObj>
    </w:sdtPr>
    <w:sdtEndPr>
      <w:rPr>
        <w:rFonts w:ascii="Times New Roman" w:hAnsi="Times New Roman" w:cs="Times New Roman"/>
        <w:noProof/>
        <w:sz w:val="24"/>
        <w:szCs w:val="24"/>
      </w:rPr>
    </w:sdtEndPr>
    <w:sdtContent>
      <w:p w14:paraId="064A791E" w14:textId="77777777" w:rsidR="0021653B" w:rsidRDefault="0021653B">
        <w:pPr>
          <w:pStyle w:val="Header"/>
          <w:jc w:val="right"/>
          <w:rPr>
            <w:rFonts w:ascii="Times New Roman" w:hAnsi="Times New Roman" w:cs="Times New Roman"/>
            <w:noProof/>
            <w:sz w:val="24"/>
            <w:szCs w:val="24"/>
          </w:rPr>
        </w:pPr>
        <w:r w:rsidRPr="002862AC">
          <w:rPr>
            <w:rFonts w:ascii="Times New Roman" w:hAnsi="Times New Roman" w:cs="Times New Roman"/>
            <w:sz w:val="24"/>
            <w:szCs w:val="24"/>
          </w:rPr>
          <w:fldChar w:fldCharType="begin"/>
        </w:r>
        <w:r w:rsidRPr="002862AC">
          <w:rPr>
            <w:rFonts w:ascii="Times New Roman" w:hAnsi="Times New Roman" w:cs="Times New Roman"/>
            <w:sz w:val="24"/>
            <w:szCs w:val="24"/>
          </w:rPr>
          <w:instrText xml:space="preserve"> PAGE   \* MERGEFORMAT </w:instrText>
        </w:r>
        <w:r w:rsidRPr="002862AC">
          <w:rPr>
            <w:rFonts w:ascii="Times New Roman" w:hAnsi="Times New Roman" w:cs="Times New Roman"/>
            <w:sz w:val="24"/>
            <w:szCs w:val="24"/>
          </w:rPr>
          <w:fldChar w:fldCharType="separate"/>
        </w:r>
        <w:r w:rsidR="001C69F9">
          <w:rPr>
            <w:rFonts w:ascii="Times New Roman" w:hAnsi="Times New Roman" w:cs="Times New Roman"/>
            <w:noProof/>
            <w:sz w:val="24"/>
            <w:szCs w:val="24"/>
          </w:rPr>
          <w:t>1</w:t>
        </w:r>
        <w:r w:rsidRPr="002862AC">
          <w:rPr>
            <w:rFonts w:ascii="Times New Roman" w:hAnsi="Times New Roman" w:cs="Times New Roman"/>
            <w:noProof/>
            <w:sz w:val="24"/>
            <w:szCs w:val="24"/>
          </w:rPr>
          <w:fldChar w:fldCharType="end"/>
        </w:r>
      </w:p>
      <w:p w14:paraId="22627500" w14:textId="4513F9BA" w:rsidR="002C2786" w:rsidRPr="002862AC" w:rsidRDefault="002C2786">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169/25</w:t>
        </w:r>
      </w:p>
      <w:p w14:paraId="7215231A" w14:textId="77777777" w:rsidR="0021653B" w:rsidRPr="002862AC" w:rsidRDefault="0021653B">
        <w:pPr>
          <w:pStyle w:val="Header"/>
          <w:jc w:val="right"/>
          <w:rPr>
            <w:rFonts w:ascii="Times New Roman" w:hAnsi="Times New Roman" w:cs="Times New Roman"/>
            <w:sz w:val="24"/>
            <w:szCs w:val="24"/>
          </w:rPr>
        </w:pPr>
        <w:r w:rsidRPr="002862AC">
          <w:rPr>
            <w:rFonts w:ascii="Times New Roman" w:hAnsi="Times New Roman" w:cs="Times New Roman"/>
            <w:sz w:val="24"/>
            <w:szCs w:val="24"/>
          </w:rPr>
          <w:t>HCBC119/25</w:t>
        </w:r>
      </w:p>
    </w:sdtContent>
  </w:sdt>
  <w:p w14:paraId="2FF086EB" w14:textId="77777777" w:rsidR="0021653B" w:rsidRPr="002862AC" w:rsidRDefault="0021653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EC2"/>
    <w:multiLevelType w:val="hybridMultilevel"/>
    <w:tmpl w:val="47F2624C"/>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F40D31"/>
    <w:multiLevelType w:val="hybridMultilevel"/>
    <w:tmpl w:val="0204CF38"/>
    <w:lvl w:ilvl="0" w:tplc="1BAE5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7258A9"/>
    <w:multiLevelType w:val="hybridMultilevel"/>
    <w:tmpl w:val="2CC4ACE0"/>
    <w:lvl w:ilvl="0" w:tplc="3AB20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66C4D"/>
    <w:multiLevelType w:val="hybridMultilevel"/>
    <w:tmpl w:val="A9C69C6E"/>
    <w:lvl w:ilvl="0" w:tplc="6D3ADA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2E0297"/>
    <w:multiLevelType w:val="hybridMultilevel"/>
    <w:tmpl w:val="29E6E7AA"/>
    <w:lvl w:ilvl="0" w:tplc="851AAC50">
      <w:start w:val="13"/>
      <w:numFmt w:val="decimal"/>
      <w:lvlText w:val="[%1]"/>
      <w:lvlJc w:val="left"/>
      <w:pPr>
        <w:ind w:left="117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27D6AD3"/>
    <w:multiLevelType w:val="hybridMultilevel"/>
    <w:tmpl w:val="F174AC1C"/>
    <w:lvl w:ilvl="0" w:tplc="50449DFA">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77314"/>
    <w:multiLevelType w:val="hybridMultilevel"/>
    <w:tmpl w:val="23A82ED0"/>
    <w:lvl w:ilvl="0" w:tplc="3AB208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12F034DD"/>
    <w:multiLevelType w:val="hybridMultilevel"/>
    <w:tmpl w:val="9A8218E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6E1D52"/>
    <w:multiLevelType w:val="hybridMultilevel"/>
    <w:tmpl w:val="FD86838C"/>
    <w:lvl w:ilvl="0" w:tplc="86CE0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D26E41"/>
    <w:multiLevelType w:val="hybridMultilevel"/>
    <w:tmpl w:val="2B6C1E3C"/>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237B585B"/>
    <w:multiLevelType w:val="hybridMultilevel"/>
    <w:tmpl w:val="AD0E5CC8"/>
    <w:lvl w:ilvl="0" w:tplc="3AB208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244C35F8"/>
    <w:multiLevelType w:val="hybridMultilevel"/>
    <w:tmpl w:val="6A5A84B2"/>
    <w:lvl w:ilvl="0" w:tplc="3AB20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8243C1"/>
    <w:multiLevelType w:val="hybridMultilevel"/>
    <w:tmpl w:val="FD987B92"/>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0E02E6"/>
    <w:multiLevelType w:val="hybridMultilevel"/>
    <w:tmpl w:val="8F927916"/>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2FDB2284"/>
    <w:multiLevelType w:val="hybridMultilevel"/>
    <w:tmpl w:val="25C2FACC"/>
    <w:lvl w:ilvl="0" w:tplc="F23C78D0">
      <w:start w:val="7"/>
      <w:numFmt w:val="decimal"/>
      <w:lvlText w:val="[%1]"/>
      <w:lvlJc w:val="left"/>
      <w:pPr>
        <w:ind w:left="117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33502F2D"/>
    <w:multiLevelType w:val="hybridMultilevel"/>
    <w:tmpl w:val="2FAE81F2"/>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7457EB"/>
    <w:multiLevelType w:val="hybridMultilevel"/>
    <w:tmpl w:val="BA6096AA"/>
    <w:lvl w:ilvl="0" w:tplc="73C4BD0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6139E2"/>
    <w:multiLevelType w:val="hybridMultilevel"/>
    <w:tmpl w:val="39AAB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C287A49"/>
    <w:multiLevelType w:val="hybridMultilevel"/>
    <w:tmpl w:val="400203F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E35150"/>
    <w:multiLevelType w:val="hybridMultilevel"/>
    <w:tmpl w:val="3B0EFA04"/>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066B5A"/>
    <w:multiLevelType w:val="hybridMultilevel"/>
    <w:tmpl w:val="6444E3BA"/>
    <w:lvl w:ilvl="0" w:tplc="FF62DE1C">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433059F9"/>
    <w:multiLevelType w:val="hybridMultilevel"/>
    <w:tmpl w:val="F7204E58"/>
    <w:lvl w:ilvl="0" w:tplc="3AB20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4F68F1"/>
    <w:multiLevelType w:val="hybridMultilevel"/>
    <w:tmpl w:val="604E16B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C822AB"/>
    <w:multiLevelType w:val="hybridMultilevel"/>
    <w:tmpl w:val="A51E20F8"/>
    <w:lvl w:ilvl="0" w:tplc="0BD65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635F5C"/>
    <w:multiLevelType w:val="hybridMultilevel"/>
    <w:tmpl w:val="242652D0"/>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872426"/>
    <w:multiLevelType w:val="hybridMultilevel"/>
    <w:tmpl w:val="1ABE3D3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DA2F52"/>
    <w:multiLevelType w:val="hybridMultilevel"/>
    <w:tmpl w:val="3E129958"/>
    <w:lvl w:ilvl="0" w:tplc="3AB2082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583236EC"/>
    <w:multiLevelType w:val="hybridMultilevel"/>
    <w:tmpl w:val="1C2ACD5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C91692"/>
    <w:multiLevelType w:val="hybridMultilevel"/>
    <w:tmpl w:val="FD1CD81A"/>
    <w:lvl w:ilvl="0" w:tplc="630E7B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FDC461F"/>
    <w:multiLevelType w:val="hybridMultilevel"/>
    <w:tmpl w:val="9F82E6A0"/>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DB2541"/>
    <w:multiLevelType w:val="hybridMultilevel"/>
    <w:tmpl w:val="CB027EC4"/>
    <w:lvl w:ilvl="0" w:tplc="DC2AC8B8">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D4E53"/>
    <w:multiLevelType w:val="hybridMultilevel"/>
    <w:tmpl w:val="F45027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05D06"/>
    <w:multiLevelType w:val="hybridMultilevel"/>
    <w:tmpl w:val="D376CD1E"/>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752DD"/>
    <w:multiLevelType w:val="hybridMultilevel"/>
    <w:tmpl w:val="6498A932"/>
    <w:lvl w:ilvl="0" w:tplc="3AB20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F0D57DE"/>
    <w:multiLevelType w:val="hybridMultilevel"/>
    <w:tmpl w:val="5EE26890"/>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2"/>
  </w:num>
  <w:num w:numId="4">
    <w:abstractNumId w:val="3"/>
  </w:num>
  <w:num w:numId="5">
    <w:abstractNumId w:val="24"/>
  </w:num>
  <w:num w:numId="6">
    <w:abstractNumId w:val="29"/>
  </w:num>
  <w:num w:numId="7">
    <w:abstractNumId w:val="17"/>
  </w:num>
  <w:num w:numId="8">
    <w:abstractNumId w:val="1"/>
  </w:num>
  <w:num w:numId="9">
    <w:abstractNumId w:val="27"/>
  </w:num>
  <w:num w:numId="10">
    <w:abstractNumId w:val="23"/>
  </w:num>
  <w:num w:numId="11">
    <w:abstractNumId w:val="35"/>
  </w:num>
  <w:num w:numId="12">
    <w:abstractNumId w:val="10"/>
  </w:num>
  <w:num w:numId="13">
    <w:abstractNumId w:val="28"/>
  </w:num>
  <w:num w:numId="14">
    <w:abstractNumId w:val="30"/>
  </w:num>
  <w:num w:numId="15">
    <w:abstractNumId w:val="11"/>
  </w:num>
  <w:num w:numId="16">
    <w:abstractNumId w:val="16"/>
  </w:num>
  <w:num w:numId="17">
    <w:abstractNumId w:val="9"/>
  </w:num>
  <w:num w:numId="18">
    <w:abstractNumId w:val="0"/>
  </w:num>
  <w:num w:numId="19">
    <w:abstractNumId w:val="25"/>
  </w:num>
  <w:num w:numId="20">
    <w:abstractNumId w:val="20"/>
  </w:num>
  <w:num w:numId="21">
    <w:abstractNumId w:val="19"/>
  </w:num>
  <w:num w:numId="22">
    <w:abstractNumId w:val="34"/>
  </w:num>
  <w:num w:numId="23">
    <w:abstractNumId w:val="13"/>
  </w:num>
  <w:num w:numId="24">
    <w:abstractNumId w:val="8"/>
  </w:num>
  <w:num w:numId="25">
    <w:abstractNumId w:val="6"/>
  </w:num>
  <w:num w:numId="26">
    <w:abstractNumId w:val="22"/>
  </w:num>
  <w:num w:numId="27">
    <w:abstractNumId w:val="26"/>
  </w:num>
  <w:num w:numId="28">
    <w:abstractNumId w:val="21"/>
  </w:num>
  <w:num w:numId="29">
    <w:abstractNumId w:val="2"/>
  </w:num>
  <w:num w:numId="30">
    <w:abstractNumId w:val="7"/>
  </w:num>
  <w:num w:numId="31">
    <w:abstractNumId w:val="14"/>
  </w:num>
  <w:num w:numId="32">
    <w:abstractNumId w:val="31"/>
  </w:num>
  <w:num w:numId="33">
    <w:abstractNumId w:val="33"/>
  </w:num>
  <w:num w:numId="34">
    <w:abstractNumId w:val="15"/>
  </w:num>
  <w:num w:numId="35">
    <w:abstractNumId w:val="1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AC"/>
    <w:rsid w:val="00000C6D"/>
    <w:rsid w:val="00015644"/>
    <w:rsid w:val="00015AE6"/>
    <w:rsid w:val="000265D5"/>
    <w:rsid w:val="00030592"/>
    <w:rsid w:val="00063364"/>
    <w:rsid w:val="00072B09"/>
    <w:rsid w:val="000955E3"/>
    <w:rsid w:val="000D10B6"/>
    <w:rsid w:val="000E073C"/>
    <w:rsid w:val="000E243B"/>
    <w:rsid w:val="000E4BFB"/>
    <w:rsid w:val="00115207"/>
    <w:rsid w:val="001229E0"/>
    <w:rsid w:val="00123380"/>
    <w:rsid w:val="00151E97"/>
    <w:rsid w:val="0016718D"/>
    <w:rsid w:val="00184627"/>
    <w:rsid w:val="00185AD5"/>
    <w:rsid w:val="00195584"/>
    <w:rsid w:val="001A6022"/>
    <w:rsid w:val="001A75F3"/>
    <w:rsid w:val="001B7F65"/>
    <w:rsid w:val="001C3D08"/>
    <w:rsid w:val="001C69F9"/>
    <w:rsid w:val="00200C30"/>
    <w:rsid w:val="002015AC"/>
    <w:rsid w:val="0021653B"/>
    <w:rsid w:val="0022579B"/>
    <w:rsid w:val="00240BB9"/>
    <w:rsid w:val="00243C3B"/>
    <w:rsid w:val="00244B00"/>
    <w:rsid w:val="002731C8"/>
    <w:rsid w:val="002862AC"/>
    <w:rsid w:val="002C2786"/>
    <w:rsid w:val="002E5D1B"/>
    <w:rsid w:val="002F146D"/>
    <w:rsid w:val="0030604F"/>
    <w:rsid w:val="00306580"/>
    <w:rsid w:val="00313C11"/>
    <w:rsid w:val="00321D1C"/>
    <w:rsid w:val="0033201D"/>
    <w:rsid w:val="00351FC6"/>
    <w:rsid w:val="00363AA7"/>
    <w:rsid w:val="00381277"/>
    <w:rsid w:val="00391CBB"/>
    <w:rsid w:val="003C2886"/>
    <w:rsid w:val="003C329C"/>
    <w:rsid w:val="003D56BE"/>
    <w:rsid w:val="003D634F"/>
    <w:rsid w:val="004032E9"/>
    <w:rsid w:val="00410CA4"/>
    <w:rsid w:val="004132DB"/>
    <w:rsid w:val="00417F64"/>
    <w:rsid w:val="0042589B"/>
    <w:rsid w:val="00431002"/>
    <w:rsid w:val="004356A2"/>
    <w:rsid w:val="004418A5"/>
    <w:rsid w:val="004829E3"/>
    <w:rsid w:val="004B34A6"/>
    <w:rsid w:val="004B42A4"/>
    <w:rsid w:val="004F1BB3"/>
    <w:rsid w:val="00510D26"/>
    <w:rsid w:val="005337DD"/>
    <w:rsid w:val="00534203"/>
    <w:rsid w:val="0054392D"/>
    <w:rsid w:val="0055580A"/>
    <w:rsid w:val="0056312F"/>
    <w:rsid w:val="00575750"/>
    <w:rsid w:val="005D3BC1"/>
    <w:rsid w:val="006045D6"/>
    <w:rsid w:val="00607A33"/>
    <w:rsid w:val="00611693"/>
    <w:rsid w:val="00624DA9"/>
    <w:rsid w:val="00625ADE"/>
    <w:rsid w:val="006632D1"/>
    <w:rsid w:val="00683AAF"/>
    <w:rsid w:val="006857C2"/>
    <w:rsid w:val="006B1F15"/>
    <w:rsid w:val="006C71C6"/>
    <w:rsid w:val="006D7227"/>
    <w:rsid w:val="006F549E"/>
    <w:rsid w:val="00745756"/>
    <w:rsid w:val="007A17E0"/>
    <w:rsid w:val="007A3627"/>
    <w:rsid w:val="007B7131"/>
    <w:rsid w:val="0080405C"/>
    <w:rsid w:val="00842FE8"/>
    <w:rsid w:val="00845BCB"/>
    <w:rsid w:val="00845E19"/>
    <w:rsid w:val="008621CF"/>
    <w:rsid w:val="00884041"/>
    <w:rsid w:val="00891E89"/>
    <w:rsid w:val="00895472"/>
    <w:rsid w:val="008C2999"/>
    <w:rsid w:val="008D5A29"/>
    <w:rsid w:val="008E4747"/>
    <w:rsid w:val="00912E60"/>
    <w:rsid w:val="00915AC5"/>
    <w:rsid w:val="00933C59"/>
    <w:rsid w:val="00961B1C"/>
    <w:rsid w:val="009675D6"/>
    <w:rsid w:val="00971013"/>
    <w:rsid w:val="009A2873"/>
    <w:rsid w:val="009B7445"/>
    <w:rsid w:val="009C6A45"/>
    <w:rsid w:val="009E04C7"/>
    <w:rsid w:val="00A30D9C"/>
    <w:rsid w:val="00A31604"/>
    <w:rsid w:val="00A57E25"/>
    <w:rsid w:val="00A825B8"/>
    <w:rsid w:val="00AF5CD8"/>
    <w:rsid w:val="00AF5F56"/>
    <w:rsid w:val="00B640BB"/>
    <w:rsid w:val="00B716F6"/>
    <w:rsid w:val="00B7231F"/>
    <w:rsid w:val="00B81F1E"/>
    <w:rsid w:val="00B84175"/>
    <w:rsid w:val="00B85C6C"/>
    <w:rsid w:val="00BE09FE"/>
    <w:rsid w:val="00C2253C"/>
    <w:rsid w:val="00C40A3E"/>
    <w:rsid w:val="00C75E85"/>
    <w:rsid w:val="00C82362"/>
    <w:rsid w:val="00C9298A"/>
    <w:rsid w:val="00C976F8"/>
    <w:rsid w:val="00CA2D76"/>
    <w:rsid w:val="00CA662E"/>
    <w:rsid w:val="00CB3092"/>
    <w:rsid w:val="00CD58AA"/>
    <w:rsid w:val="00CF1490"/>
    <w:rsid w:val="00D101CD"/>
    <w:rsid w:val="00D12C6E"/>
    <w:rsid w:val="00D3061D"/>
    <w:rsid w:val="00D611C7"/>
    <w:rsid w:val="00DB6514"/>
    <w:rsid w:val="00E02375"/>
    <w:rsid w:val="00E05554"/>
    <w:rsid w:val="00E07705"/>
    <w:rsid w:val="00E34370"/>
    <w:rsid w:val="00E9762E"/>
    <w:rsid w:val="00EB6999"/>
    <w:rsid w:val="00EB7E7B"/>
    <w:rsid w:val="00EF4176"/>
    <w:rsid w:val="00F45662"/>
    <w:rsid w:val="00F553A0"/>
    <w:rsid w:val="00F57BBB"/>
    <w:rsid w:val="00F73A67"/>
    <w:rsid w:val="00F779DB"/>
    <w:rsid w:val="00F94CDD"/>
    <w:rsid w:val="00FC4587"/>
    <w:rsid w:val="00FD2FD6"/>
    <w:rsid w:val="00FE7233"/>
    <w:rsid w:val="00FF2A97"/>
    <w:rsid w:val="00FF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536B"/>
  <w15:chartTrackingRefBased/>
  <w15:docId w15:val="{C75B3A28-2CAB-43C6-A400-32AA612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2A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2AC"/>
    <w:rPr>
      <w:lang w:val="en-ZW"/>
    </w:rPr>
  </w:style>
  <w:style w:type="paragraph" w:styleId="Footer">
    <w:name w:val="footer"/>
    <w:basedOn w:val="Normal"/>
    <w:link w:val="FooterChar"/>
    <w:uiPriority w:val="99"/>
    <w:unhideWhenUsed/>
    <w:rsid w:val="00286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2AC"/>
    <w:rPr>
      <w:lang w:val="en-ZW"/>
    </w:rPr>
  </w:style>
  <w:style w:type="paragraph" w:styleId="ListParagraph">
    <w:name w:val="List Paragraph"/>
    <w:basedOn w:val="Normal"/>
    <w:uiPriority w:val="34"/>
    <w:qFormat/>
    <w:rsid w:val="00534203"/>
    <w:pPr>
      <w:spacing w:after="160" w:line="256" w:lineRule="auto"/>
      <w:ind w:left="720"/>
      <w:contextualSpacing/>
    </w:pPr>
    <w:rPr>
      <w:lang w:val="en-US"/>
    </w:rPr>
  </w:style>
  <w:style w:type="character" w:customStyle="1" w:styleId="uv3um">
    <w:name w:val="uv3um"/>
    <w:basedOn w:val="DefaultParagraphFont"/>
    <w:rsid w:val="00E0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16271">
      <w:bodyDiv w:val="1"/>
      <w:marLeft w:val="0"/>
      <w:marRight w:val="0"/>
      <w:marTop w:val="0"/>
      <w:marBottom w:val="0"/>
      <w:divBdr>
        <w:top w:val="none" w:sz="0" w:space="0" w:color="auto"/>
        <w:left w:val="none" w:sz="0" w:space="0" w:color="auto"/>
        <w:bottom w:val="none" w:sz="0" w:space="0" w:color="auto"/>
        <w:right w:val="none" w:sz="0" w:space="0" w:color="auto"/>
      </w:divBdr>
    </w:div>
    <w:div w:id="1086419884">
      <w:bodyDiv w:val="1"/>
      <w:marLeft w:val="0"/>
      <w:marRight w:val="0"/>
      <w:marTop w:val="0"/>
      <w:marBottom w:val="0"/>
      <w:divBdr>
        <w:top w:val="none" w:sz="0" w:space="0" w:color="auto"/>
        <w:left w:val="none" w:sz="0" w:space="0" w:color="auto"/>
        <w:bottom w:val="none" w:sz="0" w:space="0" w:color="auto"/>
        <w:right w:val="none" w:sz="0" w:space="0" w:color="auto"/>
      </w:divBdr>
    </w:div>
    <w:div w:id="13918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Millicent</cp:lastModifiedBy>
  <cp:revision>2</cp:revision>
  <dcterms:created xsi:type="dcterms:W3CDTF">2025-10-17T15:15:00Z</dcterms:created>
  <dcterms:modified xsi:type="dcterms:W3CDTF">2025-10-17T15:15:00Z</dcterms:modified>
</cp:coreProperties>
</file>