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577" w:rsidRDefault="00190577" w:rsidP="00714A44">
      <w:pPr>
        <w:jc w:val="both"/>
      </w:pPr>
      <w:bookmarkStart w:id="0" w:name="_GoBack"/>
      <w:bookmarkEnd w:id="0"/>
    </w:p>
    <w:p w:rsidR="00190577" w:rsidRDefault="00190577" w:rsidP="00714A44">
      <w:pPr>
        <w:jc w:val="both"/>
      </w:pPr>
    </w:p>
    <w:p w:rsidR="004E31B3" w:rsidRPr="009657A1" w:rsidRDefault="00182123" w:rsidP="00714A44">
      <w:pPr>
        <w:jc w:val="both"/>
      </w:pPr>
      <w:r w:rsidRPr="009657A1">
        <w:t>BRUCE NDORO</w:t>
      </w:r>
    </w:p>
    <w:p w:rsidR="00B03188" w:rsidRPr="009657A1" w:rsidRDefault="00714A44" w:rsidP="00714A44">
      <w:pPr>
        <w:jc w:val="both"/>
      </w:pPr>
      <w:r w:rsidRPr="009657A1">
        <w:t>and</w:t>
      </w:r>
    </w:p>
    <w:p w:rsidR="00B03188" w:rsidRPr="009657A1" w:rsidRDefault="00182123" w:rsidP="00714A44">
      <w:pPr>
        <w:jc w:val="both"/>
      </w:pPr>
      <w:r w:rsidRPr="009657A1">
        <w:t>FUNGAYI NDORO</w:t>
      </w:r>
    </w:p>
    <w:p w:rsidR="004E31B3" w:rsidRPr="009657A1" w:rsidRDefault="00714A44" w:rsidP="00714A44">
      <w:pPr>
        <w:jc w:val="both"/>
      </w:pPr>
      <w:r w:rsidRPr="009657A1">
        <w:t>versus</w:t>
      </w:r>
    </w:p>
    <w:p w:rsidR="005443A5" w:rsidRPr="009657A1" w:rsidRDefault="00182123" w:rsidP="00714A44">
      <w:pPr>
        <w:jc w:val="both"/>
      </w:pPr>
      <w:r w:rsidRPr="009657A1">
        <w:t>CONJUGAL ENTERPRISES (PRIVATE) LIMITED</w:t>
      </w:r>
    </w:p>
    <w:p w:rsidR="00182123" w:rsidRPr="009657A1" w:rsidRDefault="00714A44" w:rsidP="00714A44">
      <w:pPr>
        <w:jc w:val="both"/>
      </w:pPr>
      <w:r w:rsidRPr="009657A1">
        <w:t>and</w:t>
      </w:r>
    </w:p>
    <w:p w:rsidR="00182123" w:rsidRPr="009657A1" w:rsidRDefault="00182123" w:rsidP="00714A44">
      <w:pPr>
        <w:jc w:val="both"/>
      </w:pPr>
      <w:r w:rsidRPr="009657A1">
        <w:t>JOHANNES CONRAD MAKONYE</w:t>
      </w:r>
    </w:p>
    <w:p w:rsidR="00020A73" w:rsidRDefault="00020A73" w:rsidP="00714A44">
      <w:pPr>
        <w:jc w:val="both"/>
      </w:pPr>
    </w:p>
    <w:p w:rsidR="00020A73" w:rsidRDefault="00020A73" w:rsidP="00714A44">
      <w:pPr>
        <w:jc w:val="both"/>
      </w:pPr>
    </w:p>
    <w:p w:rsidR="004E31B3" w:rsidRPr="009657A1" w:rsidRDefault="004E31B3" w:rsidP="00714A44">
      <w:pPr>
        <w:jc w:val="both"/>
      </w:pPr>
      <w:r w:rsidRPr="009657A1">
        <w:t>HIGH COURT OF ZIMBABWE</w:t>
      </w:r>
    </w:p>
    <w:p w:rsidR="004E31B3" w:rsidRPr="009657A1" w:rsidRDefault="004E31B3" w:rsidP="00714A44">
      <w:pPr>
        <w:jc w:val="both"/>
      </w:pPr>
      <w:r w:rsidRPr="009657A1">
        <w:t>DEME J</w:t>
      </w:r>
    </w:p>
    <w:p w:rsidR="004E31B3" w:rsidRPr="009657A1" w:rsidRDefault="004E31B3" w:rsidP="00714A44">
      <w:pPr>
        <w:jc w:val="both"/>
      </w:pPr>
      <w:r w:rsidRPr="009657A1">
        <w:t xml:space="preserve">HARARE, </w:t>
      </w:r>
      <w:r w:rsidR="00EC21E6" w:rsidRPr="009657A1">
        <w:t>15 September</w:t>
      </w:r>
      <w:r w:rsidR="00161ACA">
        <w:t xml:space="preserve"> &amp; 16 November </w:t>
      </w:r>
      <w:r w:rsidR="00DA44A8" w:rsidRPr="009657A1">
        <w:t>2022</w:t>
      </w:r>
    </w:p>
    <w:p w:rsidR="004E31B3" w:rsidRPr="009657A1" w:rsidRDefault="004E31B3" w:rsidP="009657A1">
      <w:pPr>
        <w:spacing w:line="360" w:lineRule="auto"/>
        <w:jc w:val="both"/>
      </w:pPr>
    </w:p>
    <w:p w:rsidR="004E31B3" w:rsidRPr="009657A1" w:rsidRDefault="005443A5" w:rsidP="009657A1">
      <w:pPr>
        <w:spacing w:line="360" w:lineRule="auto"/>
        <w:jc w:val="both"/>
        <w:rPr>
          <w:b/>
        </w:rPr>
      </w:pPr>
      <w:r w:rsidRPr="009657A1">
        <w:rPr>
          <w:b/>
        </w:rPr>
        <w:t xml:space="preserve">Opposed Application </w:t>
      </w:r>
    </w:p>
    <w:p w:rsidR="00714A44" w:rsidRDefault="00714A44" w:rsidP="00714A44">
      <w:pPr>
        <w:jc w:val="both"/>
        <w:rPr>
          <w:i/>
        </w:rPr>
      </w:pPr>
    </w:p>
    <w:p w:rsidR="00EA7C4C" w:rsidRPr="009657A1" w:rsidRDefault="00714A44" w:rsidP="00714A44">
      <w:pPr>
        <w:jc w:val="both"/>
      </w:pPr>
      <w:r w:rsidRPr="00654D77">
        <w:t>Ms</w:t>
      </w:r>
      <w:r>
        <w:rPr>
          <w:i/>
        </w:rPr>
        <w:t xml:space="preserve"> R S</w:t>
      </w:r>
      <w:r w:rsidR="002E6053" w:rsidRPr="009657A1">
        <w:rPr>
          <w:i/>
        </w:rPr>
        <w:t xml:space="preserve"> Ruwona, </w:t>
      </w:r>
      <w:r w:rsidR="00F52B9F" w:rsidRPr="00714A44">
        <w:t>for the 1</w:t>
      </w:r>
      <w:r w:rsidR="00F52B9F" w:rsidRPr="00714A44">
        <w:rPr>
          <w:vertAlign w:val="superscript"/>
        </w:rPr>
        <w:t>st</w:t>
      </w:r>
      <w:r w:rsidR="00F52B9F" w:rsidRPr="00714A44">
        <w:t xml:space="preserve"> and 2</w:t>
      </w:r>
      <w:r w:rsidR="00F52B9F" w:rsidRPr="00714A44">
        <w:rPr>
          <w:vertAlign w:val="superscript"/>
        </w:rPr>
        <w:t>nd</w:t>
      </w:r>
      <w:r w:rsidR="00F52B9F" w:rsidRPr="00714A44">
        <w:t xml:space="preserve"> </w:t>
      </w:r>
      <w:r>
        <w:t>a</w:t>
      </w:r>
      <w:r w:rsidR="00F52B9F" w:rsidRPr="00714A44">
        <w:t>pplicants</w:t>
      </w:r>
    </w:p>
    <w:p w:rsidR="004E31B3" w:rsidRPr="009657A1" w:rsidRDefault="00714A44" w:rsidP="00714A44">
      <w:pPr>
        <w:jc w:val="both"/>
      </w:pPr>
      <w:r w:rsidRPr="00654D77">
        <w:t>Mr</w:t>
      </w:r>
      <w:r>
        <w:rPr>
          <w:i/>
        </w:rPr>
        <w:t xml:space="preserve"> S T</w:t>
      </w:r>
      <w:r w:rsidR="002E6053" w:rsidRPr="009657A1">
        <w:rPr>
          <w:i/>
        </w:rPr>
        <w:t xml:space="preserve"> Mutema</w:t>
      </w:r>
      <w:r w:rsidR="004E31B3" w:rsidRPr="009657A1">
        <w:t xml:space="preserve">, for the </w:t>
      </w:r>
      <w:r w:rsidR="002E6053" w:rsidRPr="009657A1">
        <w:t>1</w:t>
      </w:r>
      <w:r w:rsidR="002E6053" w:rsidRPr="009657A1">
        <w:rPr>
          <w:vertAlign w:val="superscript"/>
        </w:rPr>
        <w:t>st</w:t>
      </w:r>
      <w:r w:rsidR="002E6053" w:rsidRPr="009657A1">
        <w:t xml:space="preserve"> and 2</w:t>
      </w:r>
      <w:r w:rsidR="002E6053" w:rsidRPr="009657A1">
        <w:rPr>
          <w:vertAlign w:val="superscript"/>
        </w:rPr>
        <w:t>nd</w:t>
      </w:r>
      <w:r w:rsidR="002E6053" w:rsidRPr="009657A1">
        <w:t xml:space="preserve"> </w:t>
      </w:r>
      <w:r>
        <w:t>r</w:t>
      </w:r>
      <w:r w:rsidR="002E6053" w:rsidRPr="009657A1">
        <w:t>esponden</w:t>
      </w:r>
      <w:r w:rsidR="00EC21E6">
        <w:t>t</w:t>
      </w:r>
      <w:r w:rsidR="002E6053" w:rsidRPr="009657A1">
        <w:t>s</w:t>
      </w:r>
    </w:p>
    <w:p w:rsidR="009829BC" w:rsidRPr="009657A1" w:rsidRDefault="009829BC" w:rsidP="009657A1">
      <w:pPr>
        <w:spacing w:line="360" w:lineRule="auto"/>
        <w:jc w:val="both"/>
      </w:pPr>
    </w:p>
    <w:p w:rsidR="0021508F" w:rsidRPr="009657A1" w:rsidRDefault="004E31B3" w:rsidP="009657A1">
      <w:pPr>
        <w:spacing w:line="360" w:lineRule="auto"/>
        <w:jc w:val="both"/>
      </w:pPr>
      <w:r w:rsidRPr="009657A1">
        <w:tab/>
      </w:r>
      <w:r w:rsidRPr="00714A44">
        <w:rPr>
          <w:b/>
        </w:rPr>
        <w:t>DEME J:</w:t>
      </w:r>
      <w:r w:rsidR="00F706E2" w:rsidRPr="009657A1">
        <w:t xml:space="preserve">  </w:t>
      </w:r>
      <w:r w:rsidR="00AE0643" w:rsidRPr="009657A1">
        <w:t xml:space="preserve"> The </w:t>
      </w:r>
      <w:r w:rsidR="00714A44">
        <w:t>a</w:t>
      </w:r>
      <w:r w:rsidR="00AE0643" w:rsidRPr="009657A1">
        <w:t xml:space="preserve">pplicants approached this court seeking </w:t>
      </w:r>
      <w:r w:rsidR="00E357E3" w:rsidRPr="009657A1">
        <w:t xml:space="preserve">a declaratory </w:t>
      </w:r>
      <w:r w:rsidR="00E924AF">
        <w:t xml:space="preserve">order </w:t>
      </w:r>
      <w:r w:rsidR="00E357E3" w:rsidRPr="009657A1">
        <w:t xml:space="preserve">to the effect that the </w:t>
      </w:r>
      <w:r w:rsidR="00EC21E6" w:rsidRPr="009657A1">
        <w:t>cancellation of</w:t>
      </w:r>
      <w:r w:rsidR="00E357E3" w:rsidRPr="009657A1">
        <w:t xml:space="preserve"> agreement of sale set in motion by the </w:t>
      </w:r>
      <w:r w:rsidR="00714A44">
        <w:t>first</w:t>
      </w:r>
      <w:r w:rsidR="00E357E3" w:rsidRPr="009657A1">
        <w:t xml:space="preserve"> </w:t>
      </w:r>
      <w:r w:rsidR="00714A44">
        <w:t>r</w:t>
      </w:r>
      <w:r w:rsidR="00E357E3" w:rsidRPr="009657A1">
        <w:t xml:space="preserve">espondent be declared to be of no force or effect. Alternatively, the </w:t>
      </w:r>
      <w:r w:rsidR="00714A44">
        <w:t>a</w:t>
      </w:r>
      <w:r w:rsidR="00E357E3" w:rsidRPr="009657A1">
        <w:t xml:space="preserve">pplicants prayed for the confirmation of the cancellation of the agreement of sale coupled with the prayer </w:t>
      </w:r>
      <w:r w:rsidR="00214E46">
        <w:t xml:space="preserve">for </w:t>
      </w:r>
      <w:r w:rsidR="00E357E3" w:rsidRPr="009657A1">
        <w:t xml:space="preserve">reimbursement of the total instalments paid as part of the purchase price. More precisely </w:t>
      </w:r>
      <w:r w:rsidR="00AE0643" w:rsidRPr="009657A1">
        <w:t xml:space="preserve">the </w:t>
      </w:r>
      <w:r w:rsidR="00020A73">
        <w:t>a</w:t>
      </w:r>
      <w:r w:rsidR="00E357E3" w:rsidRPr="009657A1">
        <w:t xml:space="preserve">pplicants prayed for the </w:t>
      </w:r>
      <w:r w:rsidR="00AE0643" w:rsidRPr="009657A1">
        <w:t>relief expressed in the following way:</w:t>
      </w:r>
    </w:p>
    <w:p w:rsidR="00AE0643" w:rsidRPr="009657A1" w:rsidRDefault="00AE0643" w:rsidP="009657A1">
      <w:pPr>
        <w:spacing w:line="360" w:lineRule="auto"/>
        <w:jc w:val="both"/>
      </w:pPr>
    </w:p>
    <w:p w:rsidR="00AE0643" w:rsidRPr="00020A73" w:rsidRDefault="002C2065" w:rsidP="00020A73">
      <w:pPr>
        <w:ind w:firstLine="720"/>
        <w:jc w:val="both"/>
        <w:rPr>
          <w:sz w:val="22"/>
          <w:szCs w:val="22"/>
        </w:rPr>
      </w:pPr>
      <w:r w:rsidRPr="009657A1">
        <w:t>“</w:t>
      </w:r>
      <w:r w:rsidR="00426322" w:rsidRPr="00020A73">
        <w:rPr>
          <w:sz w:val="22"/>
          <w:szCs w:val="22"/>
        </w:rPr>
        <w:t>It is declared that:</w:t>
      </w:r>
    </w:p>
    <w:p w:rsidR="00426322" w:rsidRPr="00020A73" w:rsidRDefault="0010657F" w:rsidP="009657A1">
      <w:pPr>
        <w:pStyle w:val="ListParagraph"/>
        <w:numPr>
          <w:ilvl w:val="0"/>
          <w:numId w:val="5"/>
        </w:numPr>
        <w:jc w:val="both"/>
        <w:rPr>
          <w:sz w:val="22"/>
          <w:szCs w:val="22"/>
        </w:rPr>
      </w:pPr>
      <w:r w:rsidRPr="00020A73">
        <w:rPr>
          <w:sz w:val="22"/>
          <w:szCs w:val="22"/>
        </w:rPr>
        <w:t xml:space="preserve"> The cancellation of the agreement of sale entered between the </w:t>
      </w:r>
      <w:r w:rsidR="00020A73" w:rsidRPr="00020A73">
        <w:rPr>
          <w:sz w:val="22"/>
          <w:szCs w:val="22"/>
        </w:rPr>
        <w:t>a</w:t>
      </w:r>
      <w:r w:rsidRPr="00020A73">
        <w:rPr>
          <w:sz w:val="22"/>
          <w:szCs w:val="22"/>
        </w:rPr>
        <w:t xml:space="preserve">pplicants and the </w:t>
      </w:r>
      <w:r w:rsidR="00020A73" w:rsidRPr="00020A73">
        <w:rPr>
          <w:sz w:val="22"/>
          <w:szCs w:val="22"/>
        </w:rPr>
        <w:t>first</w:t>
      </w:r>
      <w:r w:rsidR="00DC08CE" w:rsidRPr="00020A73">
        <w:rPr>
          <w:sz w:val="22"/>
          <w:szCs w:val="22"/>
        </w:rPr>
        <w:t xml:space="preserve"> </w:t>
      </w:r>
      <w:r w:rsidR="00020A73" w:rsidRPr="00020A73">
        <w:rPr>
          <w:sz w:val="22"/>
          <w:szCs w:val="22"/>
        </w:rPr>
        <w:t>r</w:t>
      </w:r>
      <w:r w:rsidR="00DC08CE" w:rsidRPr="00020A73">
        <w:rPr>
          <w:sz w:val="22"/>
          <w:szCs w:val="22"/>
        </w:rPr>
        <w:t>espondent</w:t>
      </w:r>
      <w:r w:rsidRPr="00020A73">
        <w:rPr>
          <w:sz w:val="22"/>
          <w:szCs w:val="22"/>
        </w:rPr>
        <w:t xml:space="preserve"> be and is hereby declared null and void.</w:t>
      </w:r>
    </w:p>
    <w:p w:rsidR="00CD12B0" w:rsidRPr="00020A73" w:rsidRDefault="00CD12B0" w:rsidP="009657A1">
      <w:pPr>
        <w:pStyle w:val="ListParagraph"/>
        <w:numPr>
          <w:ilvl w:val="0"/>
          <w:numId w:val="5"/>
        </w:numPr>
        <w:jc w:val="both"/>
        <w:rPr>
          <w:sz w:val="22"/>
          <w:szCs w:val="22"/>
        </w:rPr>
      </w:pPr>
      <w:r w:rsidRPr="00020A73">
        <w:rPr>
          <w:sz w:val="22"/>
          <w:szCs w:val="22"/>
        </w:rPr>
        <w:t xml:space="preserve">The agreement of sale referred to in </w:t>
      </w:r>
      <w:r w:rsidR="00DC08CE" w:rsidRPr="00020A73">
        <w:rPr>
          <w:sz w:val="22"/>
          <w:szCs w:val="22"/>
        </w:rPr>
        <w:t>1 above</w:t>
      </w:r>
      <w:r w:rsidR="0061073E" w:rsidRPr="00020A73">
        <w:rPr>
          <w:sz w:val="22"/>
          <w:szCs w:val="22"/>
        </w:rPr>
        <w:t xml:space="preserve"> remains valid and enforceable to the extent that the </w:t>
      </w:r>
      <w:r w:rsidR="00020A73" w:rsidRPr="00020A73">
        <w:rPr>
          <w:sz w:val="22"/>
          <w:szCs w:val="22"/>
        </w:rPr>
        <w:t>a</w:t>
      </w:r>
      <w:r w:rsidR="0061073E" w:rsidRPr="00020A73">
        <w:rPr>
          <w:sz w:val="22"/>
          <w:szCs w:val="22"/>
        </w:rPr>
        <w:t>pplicants are allowed to continue paying monthly instalments until the purchase price is paid in full.</w:t>
      </w:r>
    </w:p>
    <w:p w:rsidR="009657A1" w:rsidRPr="00020A73" w:rsidRDefault="009657A1" w:rsidP="009657A1">
      <w:pPr>
        <w:jc w:val="both"/>
        <w:rPr>
          <w:sz w:val="22"/>
          <w:szCs w:val="22"/>
        </w:rPr>
      </w:pPr>
    </w:p>
    <w:p w:rsidR="00650B8F" w:rsidRPr="00020A73" w:rsidRDefault="00650B8F" w:rsidP="009657A1">
      <w:pPr>
        <w:jc w:val="both"/>
        <w:rPr>
          <w:sz w:val="22"/>
          <w:szCs w:val="22"/>
        </w:rPr>
      </w:pPr>
      <w:r w:rsidRPr="00020A73">
        <w:rPr>
          <w:sz w:val="22"/>
          <w:szCs w:val="22"/>
        </w:rPr>
        <w:t>ALTERNATIVELY</w:t>
      </w:r>
    </w:p>
    <w:p w:rsidR="00AA10E5" w:rsidRPr="00020A73" w:rsidRDefault="00AA10E5" w:rsidP="009657A1">
      <w:pPr>
        <w:jc w:val="both"/>
        <w:rPr>
          <w:sz w:val="22"/>
          <w:szCs w:val="22"/>
        </w:rPr>
      </w:pPr>
    </w:p>
    <w:p w:rsidR="00AA10E5" w:rsidRPr="00020A73" w:rsidRDefault="00AA10E5" w:rsidP="009657A1">
      <w:pPr>
        <w:pStyle w:val="ListParagraph"/>
        <w:numPr>
          <w:ilvl w:val="0"/>
          <w:numId w:val="5"/>
        </w:numPr>
        <w:jc w:val="both"/>
        <w:rPr>
          <w:sz w:val="22"/>
          <w:szCs w:val="22"/>
        </w:rPr>
      </w:pPr>
      <w:r w:rsidRPr="00020A73">
        <w:rPr>
          <w:sz w:val="22"/>
          <w:szCs w:val="22"/>
        </w:rPr>
        <w:t xml:space="preserve">The cancellation of the agreement of sale between the </w:t>
      </w:r>
      <w:r w:rsidR="00020A73" w:rsidRPr="00020A73">
        <w:rPr>
          <w:sz w:val="22"/>
          <w:szCs w:val="22"/>
        </w:rPr>
        <w:t>a</w:t>
      </w:r>
      <w:r w:rsidRPr="00020A73">
        <w:rPr>
          <w:sz w:val="22"/>
          <w:szCs w:val="22"/>
        </w:rPr>
        <w:t xml:space="preserve">pplicants and the </w:t>
      </w:r>
      <w:r w:rsidR="00020A73" w:rsidRPr="00020A73">
        <w:rPr>
          <w:sz w:val="22"/>
          <w:szCs w:val="22"/>
        </w:rPr>
        <w:t>first</w:t>
      </w:r>
      <w:r w:rsidRPr="00020A73">
        <w:rPr>
          <w:sz w:val="22"/>
          <w:szCs w:val="22"/>
        </w:rPr>
        <w:t xml:space="preserve"> </w:t>
      </w:r>
      <w:r w:rsidR="00020A73" w:rsidRPr="00020A73">
        <w:rPr>
          <w:sz w:val="22"/>
          <w:szCs w:val="22"/>
        </w:rPr>
        <w:t>r</w:t>
      </w:r>
      <w:r w:rsidRPr="00020A73">
        <w:rPr>
          <w:sz w:val="22"/>
          <w:szCs w:val="22"/>
        </w:rPr>
        <w:t xml:space="preserve">espondent be and is hereby confirmed and the </w:t>
      </w:r>
      <w:r w:rsidR="00020A73" w:rsidRPr="00020A73">
        <w:rPr>
          <w:sz w:val="22"/>
          <w:szCs w:val="22"/>
        </w:rPr>
        <w:t>r</w:t>
      </w:r>
      <w:r w:rsidRPr="00020A73">
        <w:rPr>
          <w:sz w:val="22"/>
          <w:szCs w:val="22"/>
        </w:rPr>
        <w:t xml:space="preserve">espondents shall refund the </w:t>
      </w:r>
      <w:r w:rsidR="00020A73" w:rsidRPr="00020A73">
        <w:rPr>
          <w:sz w:val="22"/>
          <w:szCs w:val="22"/>
        </w:rPr>
        <w:t>a</w:t>
      </w:r>
      <w:r w:rsidRPr="00020A73">
        <w:rPr>
          <w:sz w:val="22"/>
          <w:szCs w:val="22"/>
        </w:rPr>
        <w:t>pplicants the payment made towards the purchase price in the sum of $19,687.00 (nineteen thousand six hundred and eight-seven Dollars)</w:t>
      </w:r>
      <w:r w:rsidR="00EC1285" w:rsidRPr="00020A73">
        <w:rPr>
          <w:sz w:val="22"/>
          <w:szCs w:val="22"/>
        </w:rPr>
        <w:t xml:space="preserve"> within fourteen days of service of this order on the </w:t>
      </w:r>
      <w:r w:rsidR="00020A73" w:rsidRPr="00020A73">
        <w:rPr>
          <w:sz w:val="22"/>
          <w:szCs w:val="22"/>
        </w:rPr>
        <w:t>r</w:t>
      </w:r>
      <w:r w:rsidR="00EC1285" w:rsidRPr="00020A73">
        <w:rPr>
          <w:sz w:val="22"/>
          <w:szCs w:val="22"/>
        </w:rPr>
        <w:t>espondents.</w:t>
      </w:r>
    </w:p>
    <w:p w:rsidR="00EC1285" w:rsidRPr="00020A73" w:rsidRDefault="0079246B" w:rsidP="009657A1">
      <w:pPr>
        <w:pStyle w:val="ListParagraph"/>
        <w:numPr>
          <w:ilvl w:val="0"/>
          <w:numId w:val="5"/>
        </w:numPr>
        <w:jc w:val="both"/>
        <w:rPr>
          <w:sz w:val="22"/>
          <w:szCs w:val="22"/>
        </w:rPr>
      </w:pPr>
      <w:r w:rsidRPr="00020A73">
        <w:rPr>
          <w:sz w:val="22"/>
          <w:szCs w:val="22"/>
        </w:rPr>
        <w:t xml:space="preserve">The </w:t>
      </w:r>
      <w:r w:rsidR="00020A73" w:rsidRPr="00020A73">
        <w:rPr>
          <w:sz w:val="22"/>
          <w:szCs w:val="22"/>
        </w:rPr>
        <w:t>first</w:t>
      </w:r>
      <w:r w:rsidRPr="00020A73">
        <w:rPr>
          <w:sz w:val="22"/>
          <w:szCs w:val="22"/>
        </w:rPr>
        <w:t xml:space="preserve"> and </w:t>
      </w:r>
      <w:r w:rsidR="00020A73" w:rsidRPr="00020A73">
        <w:rPr>
          <w:sz w:val="22"/>
          <w:szCs w:val="22"/>
        </w:rPr>
        <w:t>second</w:t>
      </w:r>
      <w:r w:rsidRPr="00020A73">
        <w:rPr>
          <w:sz w:val="22"/>
          <w:szCs w:val="22"/>
        </w:rPr>
        <w:t xml:space="preserve"> </w:t>
      </w:r>
      <w:r w:rsidR="00020A73" w:rsidRPr="00020A73">
        <w:rPr>
          <w:sz w:val="22"/>
          <w:szCs w:val="22"/>
        </w:rPr>
        <w:t>r</w:t>
      </w:r>
      <w:r w:rsidRPr="00020A73">
        <w:rPr>
          <w:sz w:val="22"/>
          <w:szCs w:val="22"/>
        </w:rPr>
        <w:t>espondent (</w:t>
      </w:r>
      <w:r w:rsidRPr="00020A73">
        <w:rPr>
          <w:i/>
          <w:sz w:val="22"/>
          <w:szCs w:val="22"/>
        </w:rPr>
        <w:t>sic</w:t>
      </w:r>
      <w:r w:rsidRPr="00020A73">
        <w:rPr>
          <w:sz w:val="22"/>
          <w:szCs w:val="22"/>
        </w:rPr>
        <w:t xml:space="preserve">) jointly and severally with the one paying </w:t>
      </w:r>
      <w:r w:rsidR="00DC08CE" w:rsidRPr="00020A73">
        <w:rPr>
          <w:sz w:val="22"/>
          <w:szCs w:val="22"/>
        </w:rPr>
        <w:t>and the</w:t>
      </w:r>
      <w:r w:rsidRPr="00020A73">
        <w:rPr>
          <w:sz w:val="22"/>
          <w:szCs w:val="22"/>
        </w:rPr>
        <w:t xml:space="preserve"> other to be absolved, pay costs of this application </w:t>
      </w:r>
      <w:r w:rsidR="00DC08CE" w:rsidRPr="00020A73">
        <w:rPr>
          <w:sz w:val="22"/>
          <w:szCs w:val="22"/>
        </w:rPr>
        <w:t>on an</w:t>
      </w:r>
      <w:r w:rsidRPr="00020A73">
        <w:rPr>
          <w:sz w:val="22"/>
          <w:szCs w:val="22"/>
        </w:rPr>
        <w:t xml:space="preserve"> attorney and client scale.”</w:t>
      </w:r>
    </w:p>
    <w:p w:rsidR="00B90C95" w:rsidRPr="009657A1" w:rsidRDefault="00B90C95" w:rsidP="009657A1">
      <w:pPr>
        <w:spacing w:line="360" w:lineRule="auto"/>
        <w:jc w:val="both"/>
      </w:pPr>
    </w:p>
    <w:p w:rsidR="00D53638" w:rsidRPr="009657A1" w:rsidRDefault="005826CB" w:rsidP="00020A73">
      <w:pPr>
        <w:spacing w:line="360" w:lineRule="auto"/>
        <w:ind w:firstLine="720"/>
        <w:jc w:val="both"/>
      </w:pPr>
      <w:r w:rsidRPr="009657A1">
        <w:lastRenderedPageBreak/>
        <w:t xml:space="preserve">The </w:t>
      </w:r>
      <w:r w:rsidR="00020A73">
        <w:t>a</w:t>
      </w:r>
      <w:r w:rsidRPr="009657A1">
        <w:t xml:space="preserve">pplicants are a married couple. The </w:t>
      </w:r>
      <w:r w:rsidR="00020A73">
        <w:t>first</w:t>
      </w:r>
      <w:r w:rsidRPr="009657A1">
        <w:t xml:space="preserve"> </w:t>
      </w:r>
      <w:r w:rsidR="00020A73">
        <w:t>r</w:t>
      </w:r>
      <w:r w:rsidRPr="009657A1">
        <w:t xml:space="preserve">espondent is a company duly incorporated in terms of the laws of Zimbabwe where the </w:t>
      </w:r>
      <w:r w:rsidR="00020A73">
        <w:t>second</w:t>
      </w:r>
      <w:r w:rsidRPr="009657A1">
        <w:t xml:space="preserve"> </w:t>
      </w:r>
      <w:r w:rsidR="00020A73">
        <w:t>r</w:t>
      </w:r>
      <w:r w:rsidRPr="009657A1">
        <w:t xml:space="preserve">espondent is the Director of the </w:t>
      </w:r>
      <w:r w:rsidR="00020A73">
        <w:t>first</w:t>
      </w:r>
      <w:r w:rsidRPr="009657A1">
        <w:t xml:space="preserve"> </w:t>
      </w:r>
      <w:r w:rsidR="00020A73">
        <w:t>r</w:t>
      </w:r>
      <w:r w:rsidR="00DC08CE" w:rsidRPr="009657A1">
        <w:t>espondent. Sometime</w:t>
      </w:r>
      <w:r w:rsidR="00697341" w:rsidRPr="009657A1">
        <w:t xml:space="preserve"> in September 2018</w:t>
      </w:r>
      <w:r w:rsidR="00DC08CE" w:rsidRPr="009657A1">
        <w:t>, the</w:t>
      </w:r>
      <w:r w:rsidR="003046F3" w:rsidRPr="009657A1">
        <w:t xml:space="preserve"> </w:t>
      </w:r>
      <w:r w:rsidR="00020A73">
        <w:t>a</w:t>
      </w:r>
      <w:r w:rsidR="003046F3" w:rsidRPr="009657A1">
        <w:t xml:space="preserve">pplicants and the </w:t>
      </w:r>
      <w:r w:rsidR="00020A73">
        <w:t>first</w:t>
      </w:r>
      <w:r w:rsidR="003046F3" w:rsidRPr="009657A1">
        <w:t xml:space="preserve"> </w:t>
      </w:r>
      <w:r w:rsidR="00020A73">
        <w:t>r</w:t>
      </w:r>
      <w:r w:rsidR="003046F3" w:rsidRPr="009657A1">
        <w:t>espondent entered into the agreement of sale in respect of the property known as Lot 2</w:t>
      </w:r>
      <w:r w:rsidR="000410DD" w:rsidRPr="009657A1">
        <w:t xml:space="preserve"> of Bedford </w:t>
      </w:r>
      <w:r w:rsidR="00DC08CE" w:rsidRPr="009657A1">
        <w:t>Estate measuring</w:t>
      </w:r>
      <w:r w:rsidR="000410DD" w:rsidRPr="009657A1">
        <w:t xml:space="preserve"> 2,005 hectares (hereinafter called “the property”).</w:t>
      </w:r>
      <w:r w:rsidR="00EF72C4" w:rsidRPr="009657A1">
        <w:t xml:space="preserve"> The agreed purchase price for the property </w:t>
      </w:r>
      <w:r w:rsidR="000410DD" w:rsidRPr="009657A1">
        <w:t xml:space="preserve"> </w:t>
      </w:r>
      <w:r w:rsidR="00EF72C4" w:rsidRPr="009657A1">
        <w:t xml:space="preserve"> was US$35 007. The </w:t>
      </w:r>
      <w:r w:rsidR="00020A73">
        <w:t>a</w:t>
      </w:r>
      <w:r w:rsidR="00EF72C4" w:rsidRPr="009657A1">
        <w:t xml:space="preserve">pplicants paid the deposit of US$15 </w:t>
      </w:r>
      <w:r w:rsidR="00DC08CE" w:rsidRPr="009657A1">
        <w:t>007 upon</w:t>
      </w:r>
      <w:r w:rsidR="00EF72C4" w:rsidRPr="009657A1">
        <w:t xml:space="preserve"> signature of the agreement of sale. The balance was payable over seventy months.</w:t>
      </w:r>
      <w:r w:rsidR="00AA37D2" w:rsidRPr="009657A1">
        <w:t xml:space="preserve"> It was a term of </w:t>
      </w:r>
      <w:r w:rsidR="00D37C6C">
        <w:t xml:space="preserve">the </w:t>
      </w:r>
      <w:r w:rsidR="00AA37D2" w:rsidRPr="009657A1">
        <w:t xml:space="preserve">agreement that the balance of the purchase price would attract interest plus administrative fees. Consequently, the </w:t>
      </w:r>
      <w:r w:rsidR="00020A73">
        <w:t>a</w:t>
      </w:r>
      <w:r w:rsidR="00AA37D2" w:rsidRPr="009657A1">
        <w:t xml:space="preserve">pplicants were supposed to pay to the </w:t>
      </w:r>
      <w:r w:rsidR="00020A73">
        <w:t>first</w:t>
      </w:r>
      <w:r w:rsidR="00AA37D2" w:rsidRPr="009657A1">
        <w:t xml:space="preserve"> </w:t>
      </w:r>
      <w:r w:rsidR="00020A73">
        <w:t>r</w:t>
      </w:r>
      <w:r w:rsidR="00AA37D2" w:rsidRPr="009657A1">
        <w:t>espondent a monthly instalment of US$</w:t>
      </w:r>
      <w:r w:rsidR="00DC08CE" w:rsidRPr="009657A1">
        <w:t>520 for</w:t>
      </w:r>
      <w:r w:rsidR="00AA37D2" w:rsidRPr="009657A1">
        <w:t xml:space="preserve"> seventy months.</w:t>
      </w:r>
      <w:r w:rsidR="004F737E" w:rsidRPr="009657A1">
        <w:t xml:space="preserve"> The monthly instalment was payable on or before the first day of each mo</w:t>
      </w:r>
      <w:r w:rsidR="00FA498A" w:rsidRPr="009657A1">
        <w:t>n</w:t>
      </w:r>
      <w:r w:rsidR="004F737E" w:rsidRPr="009657A1">
        <w:t>th</w:t>
      </w:r>
      <w:r w:rsidR="00FA498A" w:rsidRPr="009657A1">
        <w:t xml:space="preserve"> with the first instalment </w:t>
      </w:r>
      <w:r w:rsidR="00DC08CE" w:rsidRPr="009657A1">
        <w:t>being payable</w:t>
      </w:r>
      <w:r w:rsidR="00FA498A" w:rsidRPr="009657A1">
        <w:t xml:space="preserve"> on or before 1 November 2018</w:t>
      </w:r>
      <w:r w:rsidR="004F737E" w:rsidRPr="009657A1">
        <w:t>.</w:t>
      </w:r>
      <w:r w:rsidR="00FA498A" w:rsidRPr="009657A1">
        <w:t xml:space="preserve"> </w:t>
      </w:r>
    </w:p>
    <w:p w:rsidR="009656B5" w:rsidRPr="009657A1" w:rsidRDefault="00D53638" w:rsidP="00020A73">
      <w:pPr>
        <w:spacing w:line="360" w:lineRule="auto"/>
        <w:ind w:firstLine="720"/>
        <w:jc w:val="both"/>
      </w:pPr>
      <w:r w:rsidRPr="009657A1">
        <w:t xml:space="preserve">The </w:t>
      </w:r>
      <w:r w:rsidR="00020A73">
        <w:t>a</w:t>
      </w:r>
      <w:r w:rsidRPr="009657A1">
        <w:t xml:space="preserve">pplicants averred that they duly paid monthly instalments from November 2018 up to February 2019 </w:t>
      </w:r>
      <w:r w:rsidR="00DC08CE" w:rsidRPr="009657A1">
        <w:t>using RTGS</w:t>
      </w:r>
      <w:r w:rsidRPr="009657A1">
        <w:t xml:space="preserve"> Dollars.</w:t>
      </w:r>
      <w:r w:rsidR="00C3148F" w:rsidRPr="009657A1">
        <w:t xml:space="preserve"> The </w:t>
      </w:r>
      <w:r w:rsidR="00020A73">
        <w:t>first</w:t>
      </w:r>
      <w:r w:rsidR="00C3148F" w:rsidRPr="009657A1">
        <w:t xml:space="preserve"> </w:t>
      </w:r>
      <w:r w:rsidR="00020A73">
        <w:t>r</w:t>
      </w:r>
      <w:r w:rsidR="00C3148F" w:rsidRPr="009657A1">
        <w:t xml:space="preserve">espondent disputed this payment method and insisted that the payments were to be deposited into its nostro </w:t>
      </w:r>
      <w:r w:rsidR="002B5A3F" w:rsidRPr="009657A1">
        <w:t xml:space="preserve">foreign currency </w:t>
      </w:r>
      <w:r w:rsidR="00C3148F" w:rsidRPr="009657A1">
        <w:t>account.</w:t>
      </w:r>
      <w:r w:rsidR="002B5A3F" w:rsidRPr="009657A1">
        <w:t xml:space="preserve"> The dispute culminated into the </w:t>
      </w:r>
      <w:r w:rsidR="00020A73">
        <w:t>first</w:t>
      </w:r>
      <w:r w:rsidR="002B5A3F" w:rsidRPr="009657A1">
        <w:t xml:space="preserve"> </w:t>
      </w:r>
      <w:r w:rsidR="00020A73">
        <w:t>r</w:t>
      </w:r>
      <w:r w:rsidR="00DC08CE" w:rsidRPr="009657A1">
        <w:t>espondent giving</w:t>
      </w:r>
      <w:r w:rsidR="002B5A3F" w:rsidRPr="009657A1">
        <w:t xml:space="preserve"> thirty day </w:t>
      </w:r>
      <w:r w:rsidR="00DC08CE" w:rsidRPr="009657A1">
        <w:t>notice to</w:t>
      </w:r>
      <w:r w:rsidR="002B5A3F" w:rsidRPr="009657A1">
        <w:t xml:space="preserve"> the </w:t>
      </w:r>
      <w:r w:rsidR="00020A73">
        <w:t>a</w:t>
      </w:r>
      <w:r w:rsidR="002B5A3F" w:rsidRPr="009657A1">
        <w:t xml:space="preserve">pplicants </w:t>
      </w:r>
      <w:r w:rsidR="0053335A" w:rsidRPr="009657A1">
        <w:t xml:space="preserve">calling upon them to remedy </w:t>
      </w:r>
      <w:r w:rsidR="00DC08CE" w:rsidRPr="009657A1">
        <w:t>the breach</w:t>
      </w:r>
      <w:r w:rsidR="002B5A3F" w:rsidRPr="009657A1">
        <w:t xml:space="preserve"> of the agreement failing which the </w:t>
      </w:r>
      <w:r w:rsidR="00020A73">
        <w:t>first</w:t>
      </w:r>
      <w:r w:rsidR="002B5A3F" w:rsidRPr="009657A1">
        <w:t xml:space="preserve"> </w:t>
      </w:r>
      <w:r w:rsidR="00020A73">
        <w:t>r</w:t>
      </w:r>
      <w:r w:rsidR="002B5A3F" w:rsidRPr="009657A1">
        <w:t>espondent highlighted that it would cancel the agreement.</w:t>
      </w:r>
      <w:r w:rsidR="001028A4" w:rsidRPr="009657A1">
        <w:t xml:space="preserve"> The notice </w:t>
      </w:r>
      <w:r w:rsidR="00297A2D">
        <w:t xml:space="preserve">for the breach </w:t>
      </w:r>
      <w:r w:rsidR="001028A4" w:rsidRPr="009657A1">
        <w:t xml:space="preserve">was dispatched to the </w:t>
      </w:r>
      <w:r w:rsidR="00020A73">
        <w:t>a</w:t>
      </w:r>
      <w:r w:rsidR="001028A4" w:rsidRPr="009657A1">
        <w:t xml:space="preserve">pplicants </w:t>
      </w:r>
      <w:r w:rsidR="00020A73">
        <w:t>i</w:t>
      </w:r>
      <w:r w:rsidR="001028A4" w:rsidRPr="009657A1">
        <w:t>n May 2019.</w:t>
      </w:r>
      <w:r w:rsidR="0053335A" w:rsidRPr="009657A1">
        <w:t xml:space="preserve"> </w:t>
      </w:r>
      <w:r w:rsidR="00297A2D">
        <w:t xml:space="preserve">According to </w:t>
      </w:r>
      <w:r w:rsidR="00020A73">
        <w:t>the first</w:t>
      </w:r>
      <w:r w:rsidR="00297A2D">
        <w:t xml:space="preserve"> </w:t>
      </w:r>
      <w:r w:rsidR="00020A73">
        <w:t>r</w:t>
      </w:r>
      <w:r w:rsidR="00297A2D">
        <w:t xml:space="preserve">espondent, </w:t>
      </w:r>
      <w:r w:rsidR="00020A73" w:rsidRPr="009657A1">
        <w:t>the</w:t>
      </w:r>
      <w:r w:rsidR="0053335A" w:rsidRPr="009657A1">
        <w:t xml:space="preserve"> </w:t>
      </w:r>
      <w:r w:rsidR="00297A2D">
        <w:t>purchase price</w:t>
      </w:r>
      <w:r w:rsidR="00CB1FE1">
        <w:t>, after 22 February 2019</w:t>
      </w:r>
      <w:r w:rsidR="00020A73">
        <w:t>, was supposed to</w:t>
      </w:r>
      <w:r w:rsidR="0053335A" w:rsidRPr="009657A1">
        <w:t xml:space="preserve"> be paid in United States Dollars or alternatively its equivalency in RTGS Dollars</w:t>
      </w:r>
      <w:r w:rsidR="00CB1FE1">
        <w:t xml:space="preserve"> or Zimbabwe Dollars</w:t>
      </w:r>
      <w:r w:rsidR="0053335A" w:rsidRPr="009657A1">
        <w:t>.</w:t>
      </w:r>
      <w:r w:rsidR="001028A4" w:rsidRPr="009657A1">
        <w:t xml:space="preserve"> After </w:t>
      </w:r>
      <w:r w:rsidR="00214E46">
        <w:t xml:space="preserve">the failure of </w:t>
      </w:r>
      <w:r w:rsidR="001028A4" w:rsidRPr="009657A1">
        <w:t xml:space="preserve">negotiations between the parties, the </w:t>
      </w:r>
      <w:r w:rsidR="00020A73">
        <w:t>first</w:t>
      </w:r>
      <w:r w:rsidR="001028A4" w:rsidRPr="009657A1">
        <w:t xml:space="preserve"> </w:t>
      </w:r>
      <w:r w:rsidR="00020A73">
        <w:t>r</w:t>
      </w:r>
      <w:r w:rsidR="001028A4" w:rsidRPr="009657A1">
        <w:t xml:space="preserve">espondent advised the </w:t>
      </w:r>
      <w:r w:rsidR="00020A73">
        <w:t>a</w:t>
      </w:r>
      <w:r w:rsidR="001028A4" w:rsidRPr="009657A1">
        <w:t>pplicants, through a letter</w:t>
      </w:r>
      <w:r w:rsidR="00042901" w:rsidRPr="009657A1">
        <w:t xml:space="preserve"> dated 3 July 2019</w:t>
      </w:r>
      <w:r w:rsidR="001028A4" w:rsidRPr="009657A1">
        <w:t>, that the agreement of sale was cancelled.</w:t>
      </w:r>
    </w:p>
    <w:p w:rsidR="004C49B5" w:rsidRPr="009657A1" w:rsidRDefault="00712A73" w:rsidP="009657A1">
      <w:pPr>
        <w:spacing w:line="360" w:lineRule="auto"/>
        <w:ind w:firstLine="720"/>
        <w:jc w:val="both"/>
      </w:pPr>
      <w:r>
        <w:t xml:space="preserve">The </w:t>
      </w:r>
      <w:r w:rsidR="00020A73">
        <w:t>r</w:t>
      </w:r>
      <w:r>
        <w:t xml:space="preserve">espondents </w:t>
      </w:r>
      <w:r w:rsidR="00F67B3D" w:rsidRPr="009657A1">
        <w:t xml:space="preserve">consented to the alternative application for reimbursement of the purchase price. However, it is the case of the </w:t>
      </w:r>
      <w:r w:rsidR="00020A73">
        <w:t>r</w:t>
      </w:r>
      <w:r w:rsidR="00F67B3D" w:rsidRPr="009657A1">
        <w:t>espondents that such reimbursement must be subject to the deduction of the administration fees.</w:t>
      </w:r>
      <w:r w:rsidR="002A43A2" w:rsidRPr="009657A1">
        <w:t xml:space="preserve"> The counsel for the </w:t>
      </w:r>
      <w:r w:rsidR="00020A73">
        <w:t>r</w:t>
      </w:r>
      <w:r w:rsidR="002A43A2" w:rsidRPr="009657A1">
        <w:t>espondents</w:t>
      </w:r>
      <w:r w:rsidR="00DC08CE" w:rsidRPr="009657A1">
        <w:t>,</w:t>
      </w:r>
      <w:r>
        <w:t xml:space="preserve"> Mr Mutema</w:t>
      </w:r>
      <w:r w:rsidR="00020A73">
        <w:t xml:space="preserve">, </w:t>
      </w:r>
      <w:r w:rsidR="00020A73" w:rsidRPr="009657A1">
        <w:t>from</w:t>
      </w:r>
      <w:r w:rsidR="002A43A2" w:rsidRPr="009657A1">
        <w:t xml:space="preserve"> the bar, submitted that </w:t>
      </w:r>
      <w:r w:rsidR="00F832CD" w:rsidRPr="009657A1">
        <w:t xml:space="preserve">the </w:t>
      </w:r>
      <w:r w:rsidR="00020A73">
        <w:t>first</w:t>
      </w:r>
      <w:r w:rsidR="00F832CD" w:rsidRPr="009657A1">
        <w:t xml:space="preserve"> </w:t>
      </w:r>
      <w:r w:rsidR="00020A73">
        <w:t>r</w:t>
      </w:r>
      <w:r w:rsidR="00F832CD" w:rsidRPr="009657A1">
        <w:t xml:space="preserve">espondent had paid back to </w:t>
      </w:r>
      <w:r w:rsidR="00DC08CE" w:rsidRPr="009657A1">
        <w:t xml:space="preserve">the </w:t>
      </w:r>
      <w:r w:rsidR="00020A73">
        <w:t>a</w:t>
      </w:r>
      <w:r w:rsidR="00DC08CE" w:rsidRPr="009657A1">
        <w:t>pplicants</w:t>
      </w:r>
      <w:r w:rsidR="00F832CD" w:rsidRPr="009657A1">
        <w:t xml:space="preserve"> the purchase price.</w:t>
      </w:r>
      <w:r w:rsidR="0058156C" w:rsidRPr="009657A1">
        <w:t xml:space="preserve"> </w:t>
      </w:r>
      <w:r w:rsidR="00020A73">
        <w:t>Ms Ruwona</w:t>
      </w:r>
      <w:r w:rsidR="00D83A8F">
        <w:t xml:space="preserve"> submitted that she was not aware of this development. </w:t>
      </w:r>
      <w:r w:rsidR="0058156C" w:rsidRPr="009657A1">
        <w:t xml:space="preserve">The court directed the counsel for the </w:t>
      </w:r>
      <w:r w:rsidR="00020A73">
        <w:t>a</w:t>
      </w:r>
      <w:r w:rsidR="0058156C" w:rsidRPr="009657A1">
        <w:t xml:space="preserve">pplicants to verify this position with </w:t>
      </w:r>
      <w:r w:rsidR="00D83A8F">
        <w:t xml:space="preserve">her </w:t>
      </w:r>
      <w:r w:rsidR="0058156C" w:rsidRPr="009657A1">
        <w:t xml:space="preserve">clients who were not available on the hearing day. She </w:t>
      </w:r>
      <w:r>
        <w:t xml:space="preserve">later </w:t>
      </w:r>
      <w:r w:rsidR="0058156C" w:rsidRPr="009657A1">
        <w:t xml:space="preserve">advised the court, through the </w:t>
      </w:r>
      <w:r w:rsidR="00020A73" w:rsidRPr="009657A1">
        <w:t>letter</w:t>
      </w:r>
      <w:r w:rsidR="00020A73">
        <w:t xml:space="preserve"> dated</w:t>
      </w:r>
      <w:r w:rsidR="008E0A64">
        <w:t xml:space="preserve"> 22 September 2022 </w:t>
      </w:r>
      <w:r>
        <w:t xml:space="preserve">which was </w:t>
      </w:r>
      <w:r w:rsidR="008E0A64">
        <w:t xml:space="preserve">also </w:t>
      </w:r>
      <w:r>
        <w:t>copied to</w:t>
      </w:r>
      <w:r w:rsidR="008E0A64">
        <w:t xml:space="preserve"> </w:t>
      </w:r>
      <w:r w:rsidR="00020A73">
        <w:t>r</w:t>
      </w:r>
      <w:r w:rsidR="008E0A64">
        <w:t>espondents’ legal practitioners</w:t>
      </w:r>
      <w:r w:rsidR="0058156C" w:rsidRPr="009657A1">
        <w:t xml:space="preserve">, that the </w:t>
      </w:r>
      <w:r w:rsidR="00020A73">
        <w:t>a</w:t>
      </w:r>
      <w:r w:rsidR="008E0A64">
        <w:t xml:space="preserve">pplicants </w:t>
      </w:r>
      <w:r w:rsidR="0058156C" w:rsidRPr="009657A1">
        <w:t xml:space="preserve">deny ever receiving the purchase price from the </w:t>
      </w:r>
      <w:r w:rsidR="00020A73">
        <w:t>first</w:t>
      </w:r>
      <w:r w:rsidR="0058156C" w:rsidRPr="009657A1">
        <w:t xml:space="preserve"> </w:t>
      </w:r>
      <w:r w:rsidR="00020A73">
        <w:t>r</w:t>
      </w:r>
      <w:r w:rsidR="0058156C" w:rsidRPr="009657A1">
        <w:t>espondent</w:t>
      </w:r>
      <w:r w:rsidR="008E0A64">
        <w:t xml:space="preserve">. The </w:t>
      </w:r>
      <w:r w:rsidR="00020A73">
        <w:t>respondents strongly</w:t>
      </w:r>
      <w:r>
        <w:t xml:space="preserve"> </w:t>
      </w:r>
      <w:r w:rsidR="008E0A64">
        <w:t xml:space="preserve">opposed this assertion by a copy of the </w:t>
      </w:r>
      <w:r w:rsidR="00020A73">
        <w:t>letter bearing</w:t>
      </w:r>
      <w:r w:rsidR="00147DB1">
        <w:t xml:space="preserve"> </w:t>
      </w:r>
      <w:r w:rsidR="00020A73">
        <w:t>a wrong</w:t>
      </w:r>
      <w:r w:rsidR="00147DB1">
        <w:t xml:space="preserve"> date </w:t>
      </w:r>
      <w:r w:rsidR="00D83A8F">
        <w:t xml:space="preserve">of </w:t>
      </w:r>
      <w:r w:rsidR="00147DB1">
        <w:t>16 July 2021 which was received by this court on 4 October 2022</w:t>
      </w:r>
      <w:r w:rsidR="0058156C" w:rsidRPr="009657A1">
        <w:t>.</w:t>
      </w:r>
      <w:r w:rsidR="00F832CD" w:rsidRPr="009657A1">
        <w:t xml:space="preserve"> </w:t>
      </w:r>
    </w:p>
    <w:p w:rsidR="004C49B5" w:rsidRPr="009657A1" w:rsidRDefault="004C49B5" w:rsidP="009657A1">
      <w:pPr>
        <w:spacing w:line="360" w:lineRule="auto"/>
        <w:ind w:firstLine="720"/>
        <w:jc w:val="both"/>
      </w:pPr>
    </w:p>
    <w:p w:rsidR="001D3263" w:rsidRPr="009657A1" w:rsidRDefault="004C49B5" w:rsidP="00020A73">
      <w:pPr>
        <w:spacing w:line="360" w:lineRule="auto"/>
        <w:ind w:firstLine="720"/>
        <w:jc w:val="both"/>
        <w:rPr>
          <w:i/>
        </w:rPr>
      </w:pPr>
      <w:r w:rsidRPr="009657A1">
        <w:t xml:space="preserve">At the hearing, the </w:t>
      </w:r>
      <w:r w:rsidR="00020A73">
        <w:t>a</w:t>
      </w:r>
      <w:r w:rsidRPr="009657A1">
        <w:t>pplicant</w:t>
      </w:r>
      <w:r w:rsidR="00983D4A" w:rsidRPr="009657A1">
        <w:t xml:space="preserve">’s counsel, </w:t>
      </w:r>
      <w:r w:rsidR="00DC08CE" w:rsidRPr="009657A1">
        <w:t>Ms</w:t>
      </w:r>
      <w:r w:rsidR="00983D4A" w:rsidRPr="009657A1">
        <w:t xml:space="preserve"> Ruwona</w:t>
      </w:r>
      <w:r w:rsidR="00DC08CE" w:rsidRPr="009657A1">
        <w:t>, raised</w:t>
      </w:r>
      <w:r w:rsidRPr="009657A1">
        <w:t xml:space="preserve"> a fresh point </w:t>
      </w:r>
      <w:r w:rsidRPr="009657A1">
        <w:rPr>
          <w:i/>
        </w:rPr>
        <w:t>in limine</w:t>
      </w:r>
      <w:r w:rsidRPr="009657A1">
        <w:t xml:space="preserve"> to the </w:t>
      </w:r>
      <w:r w:rsidR="00DC08CE" w:rsidRPr="009657A1">
        <w:t>effect that</w:t>
      </w:r>
      <w:r w:rsidRPr="009657A1">
        <w:t xml:space="preserve"> the opposing affidavit was not properly commissioned by the commissioner of oaths as there is no date for the administration of the oath</w:t>
      </w:r>
      <w:r w:rsidR="00983D4A" w:rsidRPr="009657A1">
        <w:t xml:space="preserve"> on the affidavit concerned</w:t>
      </w:r>
      <w:r w:rsidRPr="009657A1">
        <w:t>.</w:t>
      </w:r>
      <w:r w:rsidR="002A01F8" w:rsidRPr="009657A1">
        <w:t xml:space="preserve"> The only date which can be seen from the opposing affidavit is the date which was generated by the computer, according to her further submissions. </w:t>
      </w:r>
      <w:r w:rsidRPr="009657A1">
        <w:t>She further submitted that</w:t>
      </w:r>
      <w:r w:rsidR="00983D4A" w:rsidRPr="009657A1">
        <w:t xml:space="preserve"> this defect makes the opposition fatally defective. </w:t>
      </w:r>
      <w:r w:rsidRPr="009657A1">
        <w:t xml:space="preserve"> </w:t>
      </w:r>
      <w:r w:rsidR="00983D4A" w:rsidRPr="009657A1">
        <w:t xml:space="preserve"> This point </w:t>
      </w:r>
      <w:r w:rsidR="00983D4A" w:rsidRPr="009657A1">
        <w:rPr>
          <w:i/>
        </w:rPr>
        <w:t xml:space="preserve">in limine </w:t>
      </w:r>
      <w:r w:rsidRPr="009657A1">
        <w:t xml:space="preserve">had not been raised in the </w:t>
      </w:r>
      <w:r w:rsidR="00020A73">
        <w:t>a</w:t>
      </w:r>
      <w:r w:rsidR="00983D4A" w:rsidRPr="009657A1">
        <w:t xml:space="preserve">pplicant’s </w:t>
      </w:r>
      <w:r w:rsidRPr="009657A1">
        <w:t>papers</w:t>
      </w:r>
      <w:r w:rsidR="00983D4A" w:rsidRPr="009657A1">
        <w:t xml:space="preserve"> before</w:t>
      </w:r>
      <w:r w:rsidRPr="009657A1">
        <w:t xml:space="preserve">. </w:t>
      </w:r>
      <w:r w:rsidR="00DC08CE" w:rsidRPr="009657A1">
        <w:t>Ms</w:t>
      </w:r>
      <w:r w:rsidRPr="009657A1">
        <w:t xml:space="preserve"> Ruwona submitted that the point </w:t>
      </w:r>
      <w:r w:rsidRPr="009657A1">
        <w:rPr>
          <w:i/>
        </w:rPr>
        <w:t xml:space="preserve">in </w:t>
      </w:r>
      <w:r w:rsidR="00DC08CE" w:rsidRPr="009657A1">
        <w:rPr>
          <w:i/>
        </w:rPr>
        <w:t xml:space="preserve">limine </w:t>
      </w:r>
      <w:r w:rsidR="00DC08CE" w:rsidRPr="00DC08CE">
        <w:t>concerned</w:t>
      </w:r>
      <w:r w:rsidRPr="00DC08CE">
        <w:t xml:space="preserve"> is a point of law which can </w:t>
      </w:r>
      <w:r w:rsidR="008C70ED" w:rsidRPr="00DC08CE">
        <w:t xml:space="preserve">be </w:t>
      </w:r>
      <w:r w:rsidRPr="00DC08CE">
        <w:t>raised at any time.</w:t>
      </w:r>
      <w:r w:rsidR="003663E2" w:rsidRPr="00DC08CE">
        <w:t xml:space="preserve"> She motivated the court to treat the matter as </w:t>
      </w:r>
      <w:r w:rsidR="00D83A8F">
        <w:t xml:space="preserve">an </w:t>
      </w:r>
      <w:r w:rsidR="003663E2" w:rsidRPr="00DC08CE">
        <w:t>unopposed</w:t>
      </w:r>
      <w:r w:rsidR="00D83A8F">
        <w:t xml:space="preserve"> application</w:t>
      </w:r>
      <w:r w:rsidR="003663E2" w:rsidRPr="00DC08CE">
        <w:t xml:space="preserve">. The counsel for the </w:t>
      </w:r>
      <w:r w:rsidR="00020A73">
        <w:t>a</w:t>
      </w:r>
      <w:r w:rsidR="003663E2" w:rsidRPr="00DC08CE">
        <w:t xml:space="preserve">pplicant relied upon the cases of </w:t>
      </w:r>
      <w:r w:rsidR="003663E2" w:rsidRPr="00020A73">
        <w:rPr>
          <w:i/>
        </w:rPr>
        <w:t>Mike Mandishayika</w:t>
      </w:r>
      <w:r w:rsidR="003663E2" w:rsidRPr="00DC08CE">
        <w:t xml:space="preserve"> v </w:t>
      </w:r>
      <w:r w:rsidR="003663E2" w:rsidRPr="00020A73">
        <w:rPr>
          <w:i/>
        </w:rPr>
        <w:t>Maria Sithole</w:t>
      </w:r>
      <w:r w:rsidR="003663E2" w:rsidRPr="00020A73">
        <w:rPr>
          <w:rStyle w:val="FootnoteReference"/>
          <w:i/>
        </w:rPr>
        <w:footnoteReference w:id="1"/>
      </w:r>
      <w:r w:rsidR="003663E2" w:rsidRPr="00020A73">
        <w:rPr>
          <w:i/>
        </w:rPr>
        <w:t xml:space="preserve">  and Twin Castle Resources (Pvt) Ltd</w:t>
      </w:r>
      <w:r w:rsidR="003663E2" w:rsidRPr="009657A1">
        <w:t xml:space="preserve"> v </w:t>
      </w:r>
      <w:r w:rsidR="003663E2" w:rsidRPr="00020A73">
        <w:rPr>
          <w:i/>
        </w:rPr>
        <w:t>Paari Mining Syndicate and Ors</w:t>
      </w:r>
      <w:r w:rsidR="003663E2" w:rsidRPr="009657A1">
        <w:rPr>
          <w:rStyle w:val="FootnoteReference"/>
        </w:rPr>
        <w:footnoteReference w:id="2"/>
      </w:r>
      <w:r w:rsidR="003663E2" w:rsidRPr="009657A1">
        <w:t xml:space="preserve">.  </w:t>
      </w:r>
      <w:r w:rsidR="002A01F8" w:rsidRPr="009657A1">
        <w:rPr>
          <w:i/>
        </w:rPr>
        <w:t xml:space="preserve"> </w:t>
      </w:r>
    </w:p>
    <w:p w:rsidR="00235D17" w:rsidRPr="00020A73" w:rsidRDefault="001D3263" w:rsidP="00020A73">
      <w:pPr>
        <w:spacing w:line="360" w:lineRule="auto"/>
        <w:ind w:firstLine="720"/>
        <w:jc w:val="both"/>
      </w:pPr>
      <w:r w:rsidRPr="009657A1">
        <w:t xml:space="preserve">The counsel insisted that </w:t>
      </w:r>
      <w:r w:rsidR="00DC08CE" w:rsidRPr="009657A1">
        <w:t xml:space="preserve">the </w:t>
      </w:r>
      <w:r w:rsidR="00020A73">
        <w:t>a</w:t>
      </w:r>
      <w:r w:rsidR="00DC08CE" w:rsidRPr="009657A1">
        <w:t>pplicant’s</w:t>
      </w:r>
      <w:r w:rsidR="008A03C7" w:rsidRPr="009657A1">
        <w:t xml:space="preserve"> counsel was raising evidentiary issues from the bar which is not allowed at law.</w:t>
      </w:r>
      <w:r w:rsidR="005E16FC" w:rsidRPr="009657A1">
        <w:t xml:space="preserve"> According to Mr Mutema, these factual issues ought to have been pleaded.</w:t>
      </w:r>
      <w:r w:rsidR="00221674" w:rsidRPr="009657A1">
        <w:t xml:space="preserve"> Mr Mutema further argued that the present case can be distinguished from the facts of cases submitted by the </w:t>
      </w:r>
      <w:r w:rsidR="00020A73">
        <w:t>a</w:t>
      </w:r>
      <w:r w:rsidR="00221674" w:rsidRPr="009657A1">
        <w:t>pplicant’s counsel.</w:t>
      </w:r>
    </w:p>
    <w:p w:rsidR="00235D17" w:rsidRPr="009657A1" w:rsidRDefault="00235D17" w:rsidP="00020A73">
      <w:pPr>
        <w:spacing w:line="360" w:lineRule="auto"/>
        <w:ind w:firstLine="720"/>
        <w:jc w:val="both"/>
      </w:pPr>
      <w:r w:rsidRPr="009657A1">
        <w:t xml:space="preserve"> The following two </w:t>
      </w:r>
      <w:r w:rsidR="00DC08CE" w:rsidRPr="009657A1">
        <w:t>issues emerge</w:t>
      </w:r>
      <w:r w:rsidRPr="009657A1">
        <w:t xml:space="preserve"> from the submissions made by counsel for the parties:</w:t>
      </w:r>
    </w:p>
    <w:p w:rsidR="008D0EEB" w:rsidRPr="009657A1" w:rsidRDefault="00235D17" w:rsidP="009657A1">
      <w:pPr>
        <w:pStyle w:val="ListParagraph"/>
        <w:numPr>
          <w:ilvl w:val="0"/>
          <w:numId w:val="6"/>
        </w:numPr>
        <w:spacing w:line="360" w:lineRule="auto"/>
        <w:jc w:val="both"/>
      </w:pPr>
      <w:r w:rsidRPr="009657A1">
        <w:t xml:space="preserve"> Whether or not the point of law can be raised at any time.</w:t>
      </w:r>
    </w:p>
    <w:p w:rsidR="008235E7" w:rsidRPr="009657A1" w:rsidRDefault="008D0EEB" w:rsidP="008235E7">
      <w:pPr>
        <w:pStyle w:val="ListParagraph"/>
        <w:numPr>
          <w:ilvl w:val="0"/>
          <w:numId w:val="6"/>
        </w:numPr>
        <w:spacing w:line="360" w:lineRule="auto"/>
        <w:jc w:val="both"/>
      </w:pPr>
      <w:r w:rsidRPr="009657A1">
        <w:t xml:space="preserve">Whether </w:t>
      </w:r>
      <w:r w:rsidR="007361EE" w:rsidRPr="009657A1">
        <w:t xml:space="preserve">the </w:t>
      </w:r>
      <w:r w:rsidRPr="009657A1">
        <w:t xml:space="preserve">opposing </w:t>
      </w:r>
      <w:r w:rsidR="00DC08CE" w:rsidRPr="009657A1">
        <w:t>affidavit filed</w:t>
      </w:r>
      <w:r w:rsidR="007361EE" w:rsidRPr="009657A1">
        <w:t xml:space="preserve"> </w:t>
      </w:r>
      <w:r w:rsidR="00841C91" w:rsidRPr="009657A1">
        <w:t xml:space="preserve">was </w:t>
      </w:r>
      <w:r w:rsidR="007361EE" w:rsidRPr="009657A1">
        <w:t>valid</w:t>
      </w:r>
      <w:r w:rsidR="00841C91" w:rsidRPr="009657A1">
        <w:t>ly and properly commissioned.</w:t>
      </w:r>
    </w:p>
    <w:p w:rsidR="00EF781E" w:rsidRPr="009657A1" w:rsidRDefault="007361EE" w:rsidP="00020A73">
      <w:pPr>
        <w:spacing w:line="360" w:lineRule="auto"/>
        <w:ind w:firstLine="720"/>
        <w:jc w:val="both"/>
      </w:pPr>
      <w:r w:rsidRPr="009657A1">
        <w:t>It is now settled that points of law may be raised at any time. They ought not n</w:t>
      </w:r>
      <w:r w:rsidR="00EF781E" w:rsidRPr="009657A1">
        <w:t xml:space="preserve">ecessarily to have been pleaded. Reference is made to the case of </w:t>
      </w:r>
      <w:r w:rsidR="00235D17" w:rsidRPr="009657A1">
        <w:rPr>
          <w:i/>
        </w:rPr>
        <w:t xml:space="preserve">Ampthill Peerage </w:t>
      </w:r>
      <w:r w:rsidR="00235D17" w:rsidRPr="009657A1">
        <w:rPr>
          <w:rStyle w:val="FootnoteReference"/>
          <w:i/>
        </w:rPr>
        <w:footnoteReference w:id="3"/>
      </w:r>
      <w:r w:rsidR="00235D17" w:rsidRPr="009657A1">
        <w:rPr>
          <w:i/>
        </w:rPr>
        <w:t>,</w:t>
      </w:r>
      <w:r w:rsidR="00EF781E" w:rsidRPr="009657A1">
        <w:rPr>
          <w:i/>
        </w:rPr>
        <w:t xml:space="preserve"> where </w:t>
      </w:r>
      <w:r w:rsidR="00893BB1" w:rsidRPr="009657A1">
        <w:t>L</w:t>
      </w:r>
      <w:r w:rsidR="00893BB1" w:rsidRPr="009657A1">
        <w:rPr>
          <w:smallCaps/>
        </w:rPr>
        <w:t>ord</w:t>
      </w:r>
      <w:r w:rsidR="00893BB1" w:rsidRPr="009657A1">
        <w:t xml:space="preserve"> W</w:t>
      </w:r>
      <w:r w:rsidR="00893BB1" w:rsidRPr="009657A1">
        <w:rPr>
          <w:smallCaps/>
        </w:rPr>
        <w:t>ilberforce</w:t>
      </w:r>
      <w:r w:rsidR="00893BB1" w:rsidRPr="009657A1">
        <w:t xml:space="preserve"> remarked as follows:</w:t>
      </w:r>
    </w:p>
    <w:p w:rsidR="00893BB1" w:rsidRPr="00020A73" w:rsidRDefault="00893BB1" w:rsidP="009657A1">
      <w:pPr>
        <w:ind w:left="720"/>
        <w:jc w:val="both"/>
        <w:rPr>
          <w:sz w:val="22"/>
          <w:szCs w:val="22"/>
        </w:rPr>
      </w:pPr>
      <w:r w:rsidRPr="00020A73">
        <w:rPr>
          <w:sz w:val="22"/>
          <w:szCs w:val="22"/>
        </w:rPr>
        <w:t>“Any determination of dispute of fact may, the law recognises, be imperfect; the law aims at providing the best and safest conclusion compatible with human fallibility, and having reached that solution it closes the book. The law knows. And we all know, that sometimes fresh material may be found, which perhaps might lead to a different result, but, in the interest of peace, certainty and security it prevents further inquiry.”</w:t>
      </w:r>
    </w:p>
    <w:p w:rsidR="00EF781E" w:rsidRPr="00020A73" w:rsidRDefault="00EF781E" w:rsidP="009657A1">
      <w:pPr>
        <w:spacing w:line="360" w:lineRule="auto"/>
        <w:ind w:left="720"/>
        <w:jc w:val="both"/>
        <w:rPr>
          <w:sz w:val="22"/>
          <w:szCs w:val="22"/>
        </w:rPr>
      </w:pPr>
    </w:p>
    <w:p w:rsidR="00294CF8" w:rsidRPr="009657A1" w:rsidRDefault="00EF781E" w:rsidP="009D0A09">
      <w:pPr>
        <w:spacing w:line="360" w:lineRule="auto"/>
        <w:jc w:val="both"/>
      </w:pPr>
      <w:r w:rsidRPr="009657A1">
        <w:t>Thus,</w:t>
      </w:r>
      <w:r w:rsidR="009B2684" w:rsidRPr="009657A1">
        <w:t xml:space="preserve"> according to the case of </w:t>
      </w:r>
      <w:r w:rsidR="00DC08CE" w:rsidRPr="009657A1">
        <w:t>Ampthill Peerage</w:t>
      </w:r>
      <w:r w:rsidR="009B2684" w:rsidRPr="009657A1">
        <w:t xml:space="preserve"> (</w:t>
      </w:r>
      <w:r w:rsidR="009B2684" w:rsidRPr="009657A1">
        <w:rPr>
          <w:i/>
        </w:rPr>
        <w:t>supra</w:t>
      </w:r>
      <w:r w:rsidR="009B2684" w:rsidRPr="009657A1">
        <w:t xml:space="preserve">),  </w:t>
      </w:r>
      <w:r w:rsidRPr="009657A1">
        <w:t xml:space="preserve"> </w:t>
      </w:r>
      <w:r w:rsidR="008540C6" w:rsidRPr="009657A1">
        <w:t xml:space="preserve">one </w:t>
      </w:r>
      <w:r w:rsidR="00DC08CE" w:rsidRPr="009657A1">
        <w:t xml:space="preserve">of </w:t>
      </w:r>
      <w:r w:rsidR="00D83A8F">
        <w:t xml:space="preserve">the </w:t>
      </w:r>
      <w:r w:rsidR="00DC08CE" w:rsidRPr="009657A1">
        <w:t>advantages</w:t>
      </w:r>
      <w:r w:rsidR="008540C6" w:rsidRPr="009657A1">
        <w:t xml:space="preserve"> of allowing </w:t>
      </w:r>
      <w:r w:rsidR="00D37C6C">
        <w:t xml:space="preserve">a </w:t>
      </w:r>
      <w:r w:rsidR="008540C6" w:rsidRPr="009657A1">
        <w:t xml:space="preserve">point of </w:t>
      </w:r>
      <w:r w:rsidRPr="009657A1">
        <w:t xml:space="preserve">law </w:t>
      </w:r>
      <w:r w:rsidR="008540C6" w:rsidRPr="009657A1">
        <w:t xml:space="preserve">to be raised at any time is that law </w:t>
      </w:r>
      <w:r w:rsidRPr="009657A1">
        <w:t>is certain and has the ability of bringing finality to litigation</w:t>
      </w:r>
      <w:r w:rsidR="008540C6" w:rsidRPr="009657A1">
        <w:t>.</w:t>
      </w:r>
      <w:r w:rsidR="002E4252" w:rsidRPr="009657A1">
        <w:t xml:space="preserve"> A point of law will always be </w:t>
      </w:r>
      <w:r w:rsidR="00DC08CE" w:rsidRPr="009657A1">
        <w:t>available whether</w:t>
      </w:r>
      <w:r w:rsidR="00A16370" w:rsidRPr="009657A1">
        <w:t xml:space="preserve"> or not it has been raised</w:t>
      </w:r>
      <w:r w:rsidR="002E4252" w:rsidRPr="009657A1">
        <w:t>.</w:t>
      </w:r>
      <w:r w:rsidR="00953089" w:rsidRPr="009657A1">
        <w:t xml:space="preserve"> Thus, there will be </w:t>
      </w:r>
      <w:r w:rsidR="00D83A8F">
        <w:t xml:space="preserve">limited or no </w:t>
      </w:r>
      <w:r w:rsidR="00953089" w:rsidRPr="009657A1">
        <w:t>prejudice to be suffered by the opposite party.</w:t>
      </w:r>
      <w:r w:rsidR="00FB30DE" w:rsidRPr="009657A1">
        <w:t xml:space="preserve"> The </w:t>
      </w:r>
      <w:r w:rsidR="00D83A8F">
        <w:t xml:space="preserve">major potential </w:t>
      </w:r>
      <w:r w:rsidR="00FB30DE" w:rsidRPr="009657A1">
        <w:t xml:space="preserve">prejudice </w:t>
      </w:r>
      <w:r w:rsidR="00D83A8F">
        <w:t xml:space="preserve">likely to be suffered by the </w:t>
      </w:r>
      <w:r w:rsidR="009D0A09">
        <w:t>r</w:t>
      </w:r>
      <w:r w:rsidR="00D83A8F">
        <w:t>espondents was whether or not the</w:t>
      </w:r>
      <w:r w:rsidR="006310CA">
        <w:t>ir</w:t>
      </w:r>
      <w:r w:rsidR="00D83A8F">
        <w:t xml:space="preserve"> counsel was ready </w:t>
      </w:r>
      <w:r w:rsidR="0091148E">
        <w:lastRenderedPageBreak/>
        <w:t>to respond</w:t>
      </w:r>
      <w:r w:rsidR="00D83A8F">
        <w:t xml:space="preserve"> to the point of law upon </w:t>
      </w:r>
      <w:r w:rsidR="003A2ACC">
        <w:t xml:space="preserve">a </w:t>
      </w:r>
      <w:r w:rsidR="00D83A8F">
        <w:t>short notice. Upon being asked by the court whether he was ready to respond, t</w:t>
      </w:r>
      <w:r w:rsidR="000A2031" w:rsidRPr="009657A1">
        <w:t xml:space="preserve">he counsel   for </w:t>
      </w:r>
      <w:r w:rsidR="00DC08CE" w:rsidRPr="009657A1">
        <w:t xml:space="preserve">the </w:t>
      </w:r>
      <w:r w:rsidR="0091148E">
        <w:t>r</w:t>
      </w:r>
      <w:r w:rsidR="00DC08CE" w:rsidRPr="009657A1">
        <w:t>espondents highlighted</w:t>
      </w:r>
      <w:r w:rsidR="000A2031" w:rsidRPr="009657A1">
        <w:t xml:space="preserve"> that he was ready to respond and did not need extra time to prepare his response.</w:t>
      </w:r>
      <w:r w:rsidR="00A25D9F" w:rsidRPr="009657A1">
        <w:t xml:space="preserve"> </w:t>
      </w:r>
    </w:p>
    <w:p w:rsidR="00294CF8" w:rsidRPr="009657A1" w:rsidRDefault="00294CF8" w:rsidP="0091148E">
      <w:pPr>
        <w:spacing w:line="360" w:lineRule="auto"/>
        <w:ind w:firstLine="720"/>
        <w:jc w:val="both"/>
      </w:pPr>
      <w:r w:rsidRPr="009657A1">
        <w:t>It is essential to emphasise that a point of law can be raised by a litigant or by the court on its own initiative.</w:t>
      </w:r>
      <w:r w:rsidR="0020575F" w:rsidRPr="009657A1">
        <w:t xml:space="preserve"> </w:t>
      </w:r>
      <w:r w:rsidR="0090072D" w:rsidRPr="009657A1">
        <w:t xml:space="preserve">Reference is made to </w:t>
      </w:r>
      <w:r w:rsidR="0020575F" w:rsidRPr="009657A1">
        <w:t xml:space="preserve">the case of </w:t>
      </w:r>
      <w:r w:rsidR="0020575F" w:rsidRPr="0091148E">
        <w:rPr>
          <w:i/>
        </w:rPr>
        <w:t>Sindikumbuwalo Pacifique</w:t>
      </w:r>
      <w:r w:rsidR="0020575F" w:rsidRPr="009657A1">
        <w:t xml:space="preserve"> v </w:t>
      </w:r>
      <w:r w:rsidR="000331CB" w:rsidRPr="0091148E">
        <w:rPr>
          <w:i/>
        </w:rPr>
        <w:t xml:space="preserve">The </w:t>
      </w:r>
      <w:r w:rsidR="0090072D" w:rsidRPr="0091148E">
        <w:rPr>
          <w:i/>
        </w:rPr>
        <w:t>Commissioner General Department of Customs and Excise</w:t>
      </w:r>
      <w:r w:rsidR="000331CB" w:rsidRPr="0091148E">
        <w:rPr>
          <w:rStyle w:val="FootnoteReference"/>
          <w:i/>
        </w:rPr>
        <w:footnoteReference w:id="4"/>
      </w:r>
      <w:r w:rsidR="0090072D" w:rsidRPr="009657A1">
        <w:t>, where the court postulated the following pertinent remarks:</w:t>
      </w:r>
      <w:r w:rsidRPr="009657A1">
        <w:t xml:space="preserve">   </w:t>
      </w:r>
    </w:p>
    <w:p w:rsidR="00A4763C" w:rsidRPr="009657A1" w:rsidRDefault="00A4763C" w:rsidP="009657A1">
      <w:pPr>
        <w:spacing w:line="360" w:lineRule="auto"/>
        <w:ind w:left="720"/>
        <w:jc w:val="both"/>
      </w:pPr>
    </w:p>
    <w:p w:rsidR="00A4763C" w:rsidRPr="0091148E" w:rsidRDefault="009657A1" w:rsidP="0091148E">
      <w:pPr>
        <w:ind w:left="720"/>
        <w:jc w:val="both"/>
        <w:rPr>
          <w:sz w:val="22"/>
          <w:szCs w:val="22"/>
        </w:rPr>
      </w:pPr>
      <w:r w:rsidRPr="0091148E">
        <w:rPr>
          <w:sz w:val="22"/>
          <w:szCs w:val="22"/>
        </w:rPr>
        <w:t>“</w:t>
      </w:r>
      <w:r w:rsidR="00A4763C" w:rsidRPr="0091148E">
        <w:rPr>
          <w:sz w:val="22"/>
          <w:szCs w:val="22"/>
        </w:rPr>
        <w:t xml:space="preserve">The question whether or not there is a defendant before the court is a critical point of law. A court cannot proceed to hear any matter on merit unless satisfied that there are parties before it who seek resolution of a dispute resulting in a competent decision which is binding upon the parties. Critical as it is, a point of law can be raised at any time. I do not believe that the issue of whether or not there is a defendant before the court has to be raised through an exception. In </w:t>
      </w:r>
      <w:r w:rsidR="00A4763C" w:rsidRPr="0091148E">
        <w:rPr>
          <w:i/>
          <w:sz w:val="22"/>
          <w:szCs w:val="22"/>
        </w:rPr>
        <w:t xml:space="preserve">Muchakati </w:t>
      </w:r>
      <w:r w:rsidR="00A4763C" w:rsidRPr="0091148E">
        <w:rPr>
          <w:sz w:val="22"/>
          <w:szCs w:val="22"/>
        </w:rPr>
        <w:t xml:space="preserve">v </w:t>
      </w:r>
      <w:r w:rsidR="00A4763C" w:rsidRPr="0091148E">
        <w:rPr>
          <w:i/>
          <w:sz w:val="22"/>
          <w:szCs w:val="22"/>
        </w:rPr>
        <w:t xml:space="preserve">Netherburn Mine </w:t>
      </w:r>
      <w:r w:rsidR="00A4763C" w:rsidRPr="0091148E">
        <w:rPr>
          <w:sz w:val="22"/>
          <w:szCs w:val="22"/>
        </w:rPr>
        <w:t xml:space="preserve">1996 (1) ZLR 153 (S) the Supreme Court held that a point of law that went to the root of the matter can be raised at any time. Apart from a litigant raising same the court can raise it </w:t>
      </w:r>
      <w:r w:rsidR="00A4763C" w:rsidRPr="0091148E">
        <w:rPr>
          <w:i/>
          <w:sz w:val="22"/>
          <w:szCs w:val="22"/>
        </w:rPr>
        <w:t>mero motu</w:t>
      </w:r>
      <w:r w:rsidR="00A4763C" w:rsidRPr="0091148E">
        <w:rPr>
          <w:sz w:val="22"/>
          <w:szCs w:val="22"/>
        </w:rPr>
        <w:t>.”</w:t>
      </w:r>
    </w:p>
    <w:p w:rsidR="003D67C7" w:rsidRPr="009657A1" w:rsidRDefault="003D67C7" w:rsidP="00C35FDE">
      <w:pPr>
        <w:spacing w:line="360" w:lineRule="auto"/>
        <w:jc w:val="both"/>
      </w:pPr>
    </w:p>
    <w:p w:rsidR="000331CB" w:rsidRPr="009657A1" w:rsidRDefault="006310CA" w:rsidP="0091148E">
      <w:pPr>
        <w:spacing w:line="360" w:lineRule="auto"/>
        <w:ind w:firstLine="720"/>
        <w:jc w:val="both"/>
      </w:pPr>
      <w:r>
        <w:t>In my view</w:t>
      </w:r>
      <w:r w:rsidR="0091148E">
        <w:t>, I</w:t>
      </w:r>
      <w:r>
        <w:t xml:space="preserve"> see no merit in the argument for counsel for </w:t>
      </w:r>
      <w:r w:rsidR="00012AFC">
        <w:t xml:space="preserve">the </w:t>
      </w:r>
      <w:r w:rsidR="009D0A09">
        <w:t>r</w:t>
      </w:r>
      <w:r w:rsidR="00012AFC">
        <w:t xml:space="preserve">espondents. </w:t>
      </w:r>
      <w:r w:rsidR="000331CB" w:rsidRPr="009657A1">
        <w:t xml:space="preserve">In the premises, I </w:t>
      </w:r>
      <w:r w:rsidR="00DC08CE" w:rsidRPr="009657A1">
        <w:t>am of</w:t>
      </w:r>
      <w:r w:rsidR="000331CB" w:rsidRPr="009657A1">
        <w:t xml:space="preserve"> the view that the point of law was properly raised.</w:t>
      </w:r>
    </w:p>
    <w:p w:rsidR="00051749" w:rsidRPr="009657A1" w:rsidRDefault="003D67C7" w:rsidP="0091148E">
      <w:pPr>
        <w:spacing w:line="360" w:lineRule="auto"/>
        <w:ind w:firstLine="720"/>
        <w:jc w:val="both"/>
      </w:pPr>
      <w:r w:rsidRPr="009657A1">
        <w:t xml:space="preserve">I will now turn my attention to </w:t>
      </w:r>
      <w:r w:rsidR="00DC08CE" w:rsidRPr="009657A1">
        <w:t>the issue</w:t>
      </w:r>
      <w:r w:rsidR="00BA1BDB" w:rsidRPr="009657A1">
        <w:t xml:space="preserve"> for the validity of the opposing affidavit which is before the court. </w:t>
      </w:r>
      <w:r w:rsidR="00051749" w:rsidRPr="009657A1">
        <w:t xml:space="preserve">In the case of </w:t>
      </w:r>
      <w:r w:rsidR="00051749" w:rsidRPr="0091148E">
        <w:rPr>
          <w:i/>
        </w:rPr>
        <w:t xml:space="preserve">Twin Castle Resources (Pvt) Ltd </w:t>
      </w:r>
      <w:r w:rsidR="00051749" w:rsidRPr="009657A1">
        <w:t xml:space="preserve">v </w:t>
      </w:r>
      <w:r w:rsidR="00051749" w:rsidRPr="0091148E">
        <w:rPr>
          <w:i/>
        </w:rPr>
        <w:t>Paari Mining Syndicate and Ors</w:t>
      </w:r>
      <w:r w:rsidR="007E29B9" w:rsidRPr="0091148E">
        <w:rPr>
          <w:rStyle w:val="FootnoteReference"/>
          <w:i/>
        </w:rPr>
        <w:footnoteReference w:id="5"/>
      </w:r>
      <w:r w:rsidR="00051749" w:rsidRPr="0091148E">
        <w:rPr>
          <w:i/>
        </w:rPr>
        <w:t>,</w:t>
      </w:r>
      <w:r w:rsidR="00051749" w:rsidRPr="009657A1">
        <w:t xml:space="preserve"> the Court </w:t>
      </w:r>
      <w:r w:rsidR="00DC08CE" w:rsidRPr="009657A1">
        <w:t>made the</w:t>
      </w:r>
      <w:r w:rsidR="00051749" w:rsidRPr="009657A1">
        <w:t xml:space="preserve"> following remarks:</w:t>
      </w:r>
    </w:p>
    <w:p w:rsidR="005B25D0" w:rsidRPr="0091148E" w:rsidRDefault="005B25D0" w:rsidP="0091148E">
      <w:pPr>
        <w:ind w:left="720"/>
        <w:jc w:val="both"/>
        <w:rPr>
          <w:sz w:val="22"/>
          <w:szCs w:val="22"/>
        </w:rPr>
      </w:pPr>
      <w:r w:rsidRPr="0091148E">
        <w:rPr>
          <w:sz w:val="22"/>
          <w:szCs w:val="22"/>
        </w:rPr>
        <w:t xml:space="preserve">“The main notice of opposition itself was equally said to be defective. Whilst the main notice of opposition bore a stamp by the Commissioner of Oaths, it was silent as to when Luxton Mawanga who swore to the affidavit, had appeared before the Commissioner of Oaths. It merely had one computer generated date as to when the deponent had signed. It was therefore argued that effectively there was no notice of opposition before me. Applicant’s lawyer </w:t>
      </w:r>
      <w:r w:rsidR="00DC08CE" w:rsidRPr="0091148E">
        <w:rPr>
          <w:sz w:val="22"/>
          <w:szCs w:val="22"/>
        </w:rPr>
        <w:t>Mr.</w:t>
      </w:r>
      <w:r w:rsidRPr="0091148E">
        <w:rPr>
          <w:sz w:val="22"/>
          <w:szCs w:val="22"/>
        </w:rPr>
        <w:t xml:space="preserve"> Chiuta, drew on the case of </w:t>
      </w:r>
      <w:r w:rsidRPr="0091148E">
        <w:rPr>
          <w:i/>
          <w:sz w:val="22"/>
          <w:szCs w:val="22"/>
        </w:rPr>
        <w:t xml:space="preserve">Mike Mandishayika </w:t>
      </w:r>
      <w:r w:rsidRPr="0091148E">
        <w:rPr>
          <w:sz w:val="22"/>
          <w:szCs w:val="22"/>
        </w:rPr>
        <w:t>v</w:t>
      </w:r>
      <w:r w:rsidRPr="0091148E">
        <w:rPr>
          <w:i/>
          <w:sz w:val="22"/>
          <w:szCs w:val="22"/>
        </w:rPr>
        <w:t xml:space="preserve"> Maria Sithole</w:t>
      </w:r>
      <w:r w:rsidRPr="0091148E">
        <w:rPr>
          <w:sz w:val="22"/>
          <w:szCs w:val="22"/>
        </w:rPr>
        <w:t xml:space="preserve"> HH 798/15 to bolster this point wherein it was stated that:</w:t>
      </w:r>
    </w:p>
    <w:p w:rsidR="00BA1BDB" w:rsidRPr="009657A1" w:rsidRDefault="00BA1BDB" w:rsidP="009657A1">
      <w:pPr>
        <w:ind w:left="720"/>
        <w:jc w:val="both"/>
      </w:pPr>
    </w:p>
    <w:p w:rsidR="005B25D0" w:rsidRPr="0091148E" w:rsidRDefault="00BA1BDB" w:rsidP="009657A1">
      <w:pPr>
        <w:ind w:left="720"/>
        <w:jc w:val="both"/>
        <w:rPr>
          <w:sz w:val="22"/>
          <w:szCs w:val="22"/>
        </w:rPr>
      </w:pPr>
      <w:r w:rsidRPr="0091148E">
        <w:rPr>
          <w:sz w:val="22"/>
          <w:szCs w:val="22"/>
        </w:rPr>
        <w:t>“</w:t>
      </w:r>
      <w:r w:rsidR="005B25D0" w:rsidRPr="0091148E">
        <w:rPr>
          <w:sz w:val="22"/>
          <w:szCs w:val="22"/>
        </w:rPr>
        <w:t>An affidavit is a written statement made on oath before a commissioner of oaths or other person authorised to administer oaths. The deponent to the statement must take the oath in the presence of the commissioner of oaths and must append his or her signature to the document in the presence of such commissioner. Equally the commissioner must administer the oath in accordance with the law and thereafter must append his or her signature onto the statement in the presence of the deponent. The commissioner must also endorse the date on which the oath was so administered. These acts must occur contemporaneously.</w:t>
      </w:r>
      <w:r w:rsidRPr="0091148E">
        <w:rPr>
          <w:sz w:val="22"/>
          <w:szCs w:val="22"/>
        </w:rPr>
        <w:t>”</w:t>
      </w:r>
    </w:p>
    <w:p w:rsidR="005B25D0" w:rsidRPr="009657A1" w:rsidRDefault="005B25D0" w:rsidP="009657A1">
      <w:pPr>
        <w:spacing w:line="360" w:lineRule="auto"/>
        <w:jc w:val="both"/>
        <w:rPr>
          <w:i/>
        </w:rPr>
      </w:pPr>
    </w:p>
    <w:p w:rsidR="005B25D0" w:rsidRPr="009657A1" w:rsidRDefault="005B25D0" w:rsidP="0091148E">
      <w:pPr>
        <w:spacing w:line="360" w:lineRule="auto"/>
        <w:ind w:firstLine="720"/>
        <w:jc w:val="both"/>
        <w:rPr>
          <w:i/>
        </w:rPr>
      </w:pPr>
      <w:r w:rsidRPr="009657A1">
        <w:lastRenderedPageBreak/>
        <w:t xml:space="preserve">See also </w:t>
      </w:r>
      <w:r w:rsidRPr="009657A1">
        <w:rPr>
          <w:i/>
        </w:rPr>
        <w:t>S</w:t>
      </w:r>
      <w:r w:rsidR="0091148E">
        <w:rPr>
          <w:i/>
        </w:rPr>
        <w:t>tate</w:t>
      </w:r>
      <w:r w:rsidRPr="009657A1">
        <w:rPr>
          <w:i/>
        </w:rPr>
        <w:t xml:space="preserve"> </w:t>
      </w:r>
      <w:r w:rsidRPr="0091148E">
        <w:t>v</w:t>
      </w:r>
      <w:r w:rsidRPr="009657A1">
        <w:rPr>
          <w:i/>
        </w:rPr>
        <w:t xml:space="preserve"> Hurle &amp; Others (2) 1998(2) ZLR 42 and Firstel Cellular (Pvt) Ltd</w:t>
      </w:r>
      <w:r w:rsidRPr="0091148E">
        <w:t xml:space="preserve"> v</w:t>
      </w:r>
      <w:r w:rsidRPr="009657A1">
        <w:rPr>
          <w:i/>
        </w:rPr>
        <w:t xml:space="preserve"> NetOne Cellular (Pvt) Ltd S-1-15.</w:t>
      </w:r>
    </w:p>
    <w:p w:rsidR="00460037" w:rsidRPr="009657A1" w:rsidRDefault="005B25D0" w:rsidP="0091148E">
      <w:pPr>
        <w:spacing w:line="360" w:lineRule="auto"/>
        <w:ind w:firstLine="720"/>
        <w:jc w:val="both"/>
      </w:pPr>
      <w:r w:rsidRPr="009657A1">
        <w:t xml:space="preserve">The notice of opposition most certainly did not have the date on which the oath was administered. The supplementary documents were even more defective as illustrated. Clearly, in light of the </w:t>
      </w:r>
      <w:r w:rsidRPr="009657A1">
        <w:rPr>
          <w:i/>
        </w:rPr>
        <w:t>Mandish</w:t>
      </w:r>
      <w:r w:rsidR="00D37C6C">
        <w:rPr>
          <w:i/>
        </w:rPr>
        <w:t>ay</w:t>
      </w:r>
      <w:r w:rsidRPr="009657A1">
        <w:rPr>
          <w:i/>
        </w:rPr>
        <w:t>ika</w:t>
      </w:r>
      <w:r w:rsidRPr="009657A1">
        <w:t xml:space="preserve"> case, the affidavits were indeed defective for the reasons outlined. The point </w:t>
      </w:r>
      <w:r w:rsidRPr="009657A1">
        <w:rPr>
          <w:i/>
        </w:rPr>
        <w:t xml:space="preserve">in limine </w:t>
      </w:r>
      <w:r w:rsidRPr="009657A1">
        <w:t>regarding the defective affidavits and that there was no valid notice of opposition before me is upheld.</w:t>
      </w:r>
      <w:r w:rsidR="00225F7A" w:rsidRPr="009657A1">
        <w:t>”</w:t>
      </w:r>
    </w:p>
    <w:p w:rsidR="00AF374B" w:rsidRPr="009657A1" w:rsidRDefault="00460037" w:rsidP="0091148E">
      <w:pPr>
        <w:spacing w:line="360" w:lineRule="auto"/>
        <w:ind w:firstLine="720"/>
        <w:jc w:val="both"/>
      </w:pPr>
      <w:r w:rsidRPr="009657A1">
        <w:t xml:space="preserve">In </w:t>
      </w:r>
      <w:r w:rsidRPr="00DC08CE">
        <w:rPr>
          <w:i/>
        </w:rPr>
        <w:t>casu</w:t>
      </w:r>
      <w:r w:rsidRPr="009657A1">
        <w:t>, the opposing affidavit does bear a computer generated date just like</w:t>
      </w:r>
      <w:r w:rsidR="00392E61" w:rsidRPr="009657A1">
        <w:t xml:space="preserve"> the opposing affidavit in the case of </w:t>
      </w:r>
      <w:r w:rsidR="00D37C6C">
        <w:t>“</w:t>
      </w:r>
      <w:r w:rsidR="00392E61" w:rsidRPr="00D37C6C">
        <w:rPr>
          <w:i/>
        </w:rPr>
        <w:t xml:space="preserve">Twin Castle </w:t>
      </w:r>
      <w:r w:rsidR="00DC08CE" w:rsidRPr="00D37C6C">
        <w:rPr>
          <w:i/>
        </w:rPr>
        <w:t>Resources</w:t>
      </w:r>
      <w:r w:rsidR="00D37C6C">
        <w:t>”</w:t>
      </w:r>
      <w:r w:rsidR="00DC08CE" w:rsidRPr="009657A1">
        <w:t xml:space="preserve"> (</w:t>
      </w:r>
      <w:r w:rsidR="00AF374B" w:rsidRPr="0091148E">
        <w:rPr>
          <w:i/>
        </w:rPr>
        <w:t>supra</w:t>
      </w:r>
      <w:r w:rsidR="00AF374B" w:rsidRPr="009657A1">
        <w:t>). The opposing affidavit, in the relevant portion, simply states:</w:t>
      </w:r>
    </w:p>
    <w:p w:rsidR="00AF374B" w:rsidRPr="0091148E" w:rsidRDefault="00AF374B" w:rsidP="009657A1">
      <w:pPr>
        <w:ind w:firstLine="720"/>
        <w:jc w:val="both"/>
        <w:rPr>
          <w:sz w:val="22"/>
          <w:szCs w:val="22"/>
        </w:rPr>
      </w:pPr>
      <w:r w:rsidRPr="0091148E">
        <w:rPr>
          <w:sz w:val="22"/>
          <w:szCs w:val="22"/>
        </w:rPr>
        <w:t>“Thus done and dated at Harare this 23</w:t>
      </w:r>
      <w:r w:rsidRPr="0091148E">
        <w:rPr>
          <w:sz w:val="22"/>
          <w:szCs w:val="22"/>
          <w:vertAlign w:val="superscript"/>
        </w:rPr>
        <w:t>rd</w:t>
      </w:r>
      <w:r w:rsidRPr="0091148E">
        <w:rPr>
          <w:sz w:val="22"/>
          <w:szCs w:val="22"/>
        </w:rPr>
        <w:t xml:space="preserve"> day of September 2019”.</w:t>
      </w:r>
    </w:p>
    <w:p w:rsidR="00AF374B" w:rsidRPr="0091148E" w:rsidRDefault="00AF374B" w:rsidP="009657A1">
      <w:pPr>
        <w:ind w:firstLine="720"/>
        <w:jc w:val="both"/>
        <w:rPr>
          <w:sz w:val="22"/>
          <w:szCs w:val="22"/>
        </w:rPr>
      </w:pPr>
    </w:p>
    <w:p w:rsidR="005B55B7" w:rsidRPr="009657A1" w:rsidRDefault="00AF374B" w:rsidP="0091148E">
      <w:pPr>
        <w:spacing w:line="360" w:lineRule="auto"/>
        <w:ind w:firstLine="720"/>
        <w:jc w:val="both"/>
      </w:pPr>
      <w:r w:rsidRPr="009657A1">
        <w:t xml:space="preserve">The </w:t>
      </w:r>
      <w:r w:rsidR="00D37C6C">
        <w:t>c</w:t>
      </w:r>
      <w:r w:rsidRPr="009657A1">
        <w:t xml:space="preserve">ommissioner of oaths went on to append his signature. </w:t>
      </w:r>
      <w:r w:rsidR="008E3234" w:rsidRPr="009657A1">
        <w:t xml:space="preserve"> The date for the administration of the oath remains a mystery. One wonders whether the oath was administered on the date specified b</w:t>
      </w:r>
      <w:r w:rsidR="001A2CF5" w:rsidRPr="009657A1">
        <w:t xml:space="preserve">y the computer or on a future date. </w:t>
      </w:r>
      <w:r w:rsidR="005B55B7" w:rsidRPr="009657A1">
        <w:t xml:space="preserve">In </w:t>
      </w:r>
      <w:r w:rsidR="004378C4" w:rsidRPr="009657A1">
        <w:t xml:space="preserve">the case of </w:t>
      </w:r>
      <w:r w:rsidR="005B55B7" w:rsidRPr="0091148E">
        <w:rPr>
          <w:i/>
        </w:rPr>
        <w:t>S</w:t>
      </w:r>
      <w:r w:rsidR="0091148E" w:rsidRPr="0091148E">
        <w:rPr>
          <w:i/>
        </w:rPr>
        <w:t>tate</w:t>
      </w:r>
      <w:r w:rsidR="005B55B7" w:rsidRPr="009657A1">
        <w:t xml:space="preserve"> v </w:t>
      </w:r>
      <w:r w:rsidR="005B55B7" w:rsidRPr="0091148E">
        <w:rPr>
          <w:i/>
        </w:rPr>
        <w:t>Hurle &amp; Others</w:t>
      </w:r>
      <w:r w:rsidR="004378C4" w:rsidRPr="0091148E">
        <w:rPr>
          <w:rStyle w:val="FootnoteReference"/>
          <w:i/>
        </w:rPr>
        <w:footnoteReference w:id="6"/>
      </w:r>
      <w:r w:rsidR="00DC08CE" w:rsidRPr="0091148E">
        <w:rPr>
          <w:i/>
        </w:rPr>
        <w:t>,</w:t>
      </w:r>
      <w:r w:rsidR="00DC08CE" w:rsidRPr="009657A1">
        <w:t xml:space="preserve"> the</w:t>
      </w:r>
      <w:r w:rsidR="007E29B9" w:rsidRPr="009657A1">
        <w:t xml:space="preserve"> court </w:t>
      </w:r>
      <w:r w:rsidR="005B55B7" w:rsidRPr="009657A1">
        <w:t xml:space="preserve">had this to say on what is expected in </w:t>
      </w:r>
      <w:r w:rsidR="001A2CF5" w:rsidRPr="009657A1">
        <w:t>administering an oath</w:t>
      </w:r>
      <w:r w:rsidR="005B55B7" w:rsidRPr="009657A1">
        <w:t xml:space="preserve">: - </w:t>
      </w:r>
    </w:p>
    <w:p w:rsidR="005B55B7" w:rsidRPr="0091148E" w:rsidRDefault="005B55B7" w:rsidP="0091148E">
      <w:pPr>
        <w:ind w:left="720"/>
        <w:jc w:val="both"/>
        <w:rPr>
          <w:sz w:val="22"/>
          <w:szCs w:val="22"/>
        </w:rPr>
      </w:pPr>
      <w:r w:rsidRPr="0091148E">
        <w:rPr>
          <w:sz w:val="22"/>
          <w:szCs w:val="22"/>
        </w:rPr>
        <w:t>“A justice of the peace, or a commissioner of oaths, called upon to attest a document, has a duty, exemplified by the solemnity of the oath he is permitted to administer. He is obliged, without fail, to have the deponent appear before him. He has no excuse for not administering the oath, for not calling upon the deponent to swear that the deposition is, to the best of his knowledge true in every respect. A deponent’s signature has to be affixed in the presence of the commissioner. The commissioner’s own signature is an assurance that all these</w:t>
      </w:r>
      <w:r w:rsidR="00BA43B9" w:rsidRPr="0091148E">
        <w:rPr>
          <w:sz w:val="22"/>
          <w:szCs w:val="22"/>
        </w:rPr>
        <w:t xml:space="preserve"> procedures have been complied with.”</w:t>
      </w:r>
    </w:p>
    <w:p w:rsidR="00BB3FB5" w:rsidRPr="009657A1" w:rsidRDefault="00BB3FB5" w:rsidP="009657A1">
      <w:pPr>
        <w:jc w:val="both"/>
      </w:pPr>
    </w:p>
    <w:p w:rsidR="004B0992" w:rsidRPr="009657A1" w:rsidRDefault="00ED1245" w:rsidP="0091148E">
      <w:pPr>
        <w:spacing w:line="360" w:lineRule="auto"/>
        <w:ind w:firstLine="720"/>
        <w:jc w:val="both"/>
      </w:pPr>
      <w:r>
        <w:t xml:space="preserve">It is apparent that </w:t>
      </w:r>
      <w:r w:rsidR="00D13727" w:rsidRPr="009657A1">
        <w:t xml:space="preserve">one cannot verify whether </w:t>
      </w:r>
      <w:r w:rsidR="00DC08CE" w:rsidRPr="009657A1">
        <w:t>the deponent</w:t>
      </w:r>
      <w:r w:rsidR="00872A22" w:rsidRPr="009657A1">
        <w:t xml:space="preserve"> took the requisite oath</w:t>
      </w:r>
      <w:r>
        <w:t xml:space="preserve"> </w:t>
      </w:r>
      <w:r w:rsidR="0091148E">
        <w:t>if an</w:t>
      </w:r>
      <w:r>
        <w:t xml:space="preserve"> affidavit is commissioned in this way</w:t>
      </w:r>
      <w:r w:rsidR="00872A22" w:rsidRPr="009657A1">
        <w:t>.</w:t>
      </w:r>
      <w:r w:rsidR="00F6034E" w:rsidRPr="009657A1">
        <w:t xml:space="preserve"> The affidavit </w:t>
      </w:r>
      <w:r w:rsidR="00012AFC">
        <w:t xml:space="preserve">prepared under such circumstances </w:t>
      </w:r>
      <w:r w:rsidR="00F6034E" w:rsidRPr="009657A1">
        <w:t>becomes incredible.</w:t>
      </w:r>
      <w:r w:rsidR="00872A22" w:rsidRPr="009657A1">
        <w:t xml:space="preserve"> </w:t>
      </w:r>
      <w:r w:rsidR="00D13727" w:rsidRPr="009657A1">
        <w:t xml:space="preserve">See </w:t>
      </w:r>
      <w:r w:rsidR="004B0992" w:rsidRPr="009657A1">
        <w:t xml:space="preserve">the case of </w:t>
      </w:r>
      <w:r w:rsidR="004B0992" w:rsidRPr="0091148E">
        <w:rPr>
          <w:i/>
        </w:rPr>
        <w:t>Mike Mandishayika</w:t>
      </w:r>
      <w:r w:rsidR="004B0992" w:rsidRPr="009657A1">
        <w:t xml:space="preserve"> v </w:t>
      </w:r>
      <w:r w:rsidR="004B0992" w:rsidRPr="0091148E">
        <w:rPr>
          <w:i/>
        </w:rPr>
        <w:t>Maria Sithole</w:t>
      </w:r>
      <w:r w:rsidR="00DB1D7B" w:rsidRPr="009657A1">
        <w:rPr>
          <w:rStyle w:val="FootnoteReference"/>
        </w:rPr>
        <w:footnoteReference w:id="7"/>
      </w:r>
      <w:r w:rsidR="004B0992" w:rsidRPr="009657A1">
        <w:t xml:space="preserve">, </w:t>
      </w:r>
      <w:r w:rsidR="00D13727" w:rsidRPr="009657A1">
        <w:t xml:space="preserve">where </w:t>
      </w:r>
      <w:r w:rsidR="004B0992" w:rsidRPr="009657A1">
        <w:t xml:space="preserve">the </w:t>
      </w:r>
      <w:r w:rsidR="00DC08CE" w:rsidRPr="009657A1">
        <w:t>court propounded</w:t>
      </w:r>
      <w:r w:rsidR="004B0992" w:rsidRPr="009657A1">
        <w:t xml:space="preserve"> that:</w:t>
      </w:r>
    </w:p>
    <w:p w:rsidR="00BB3FB5" w:rsidRPr="0091148E" w:rsidRDefault="00BB3FB5" w:rsidP="0091148E">
      <w:pPr>
        <w:ind w:left="720"/>
        <w:jc w:val="both"/>
        <w:rPr>
          <w:sz w:val="22"/>
          <w:szCs w:val="22"/>
        </w:rPr>
      </w:pPr>
      <w:r w:rsidRPr="0091148E">
        <w:rPr>
          <w:sz w:val="22"/>
          <w:szCs w:val="22"/>
        </w:rPr>
        <w:t xml:space="preserve">“In </w:t>
      </w:r>
      <w:r w:rsidRPr="0091148E">
        <w:rPr>
          <w:i/>
          <w:sz w:val="22"/>
          <w:szCs w:val="22"/>
        </w:rPr>
        <w:t>casu</w:t>
      </w:r>
      <w:r w:rsidRPr="0091148E">
        <w:rPr>
          <w:sz w:val="22"/>
          <w:szCs w:val="22"/>
        </w:rPr>
        <w:t>, the deponent signed the deposition on a deferent date and the commissioner commissioned it several months after that. There is no assurance that the deponent signed in the presence of the commissioner or even that he ever took the requisite oath. Clearly the affidavit was not properly commissioned and so should not have been accepted as an affidavit. If at all reliance was to be placed on medical evidence the examining doctor ought to have testified on his findings. There is therefore no credible medical evidence.”</w:t>
      </w:r>
    </w:p>
    <w:p w:rsidR="0091148E" w:rsidRDefault="00BB3FB5" w:rsidP="0091148E">
      <w:pPr>
        <w:jc w:val="both"/>
        <w:rPr>
          <w:sz w:val="22"/>
          <w:szCs w:val="22"/>
        </w:rPr>
      </w:pPr>
      <w:r w:rsidRPr="0091148E">
        <w:rPr>
          <w:sz w:val="22"/>
          <w:szCs w:val="22"/>
        </w:rPr>
        <w:tab/>
      </w:r>
    </w:p>
    <w:p w:rsidR="001368C1" w:rsidRPr="0091148E" w:rsidRDefault="00E8453A" w:rsidP="0091148E">
      <w:pPr>
        <w:spacing w:line="360" w:lineRule="auto"/>
        <w:ind w:firstLine="720"/>
        <w:jc w:val="both"/>
        <w:rPr>
          <w:sz w:val="22"/>
          <w:szCs w:val="22"/>
        </w:rPr>
      </w:pPr>
      <w:r w:rsidRPr="009657A1">
        <w:t>Thus, there are many dangers of accepting an improperly commissioned affidavit.</w:t>
      </w:r>
      <w:r w:rsidR="00C5701C" w:rsidRPr="009657A1">
        <w:t xml:space="preserve"> It is apposite </w:t>
      </w:r>
      <w:r w:rsidR="00DC08CE" w:rsidRPr="009657A1">
        <w:t>that there</w:t>
      </w:r>
      <w:r w:rsidR="00C5701C" w:rsidRPr="009657A1">
        <w:t xml:space="preserve"> </w:t>
      </w:r>
      <w:r w:rsidR="0082270D">
        <w:t xml:space="preserve">must be </w:t>
      </w:r>
      <w:r w:rsidR="00C5701C" w:rsidRPr="009657A1">
        <w:t xml:space="preserve">strict adherence to the proper methods of commissioning affidavits. </w:t>
      </w:r>
      <w:r w:rsidR="00C5701C" w:rsidRPr="009657A1">
        <w:lastRenderedPageBreak/>
        <w:t xml:space="preserve">Any </w:t>
      </w:r>
      <w:r w:rsidR="00DC08CE" w:rsidRPr="009657A1">
        <w:t>compromise would</w:t>
      </w:r>
      <w:r w:rsidR="00C5368B" w:rsidRPr="009657A1">
        <w:t xml:space="preserve"> bring justice into disrepute. </w:t>
      </w:r>
      <w:r w:rsidR="00C5701C" w:rsidRPr="009657A1">
        <w:t xml:space="preserve"> </w:t>
      </w:r>
      <w:r w:rsidR="00C5368B" w:rsidRPr="009657A1">
        <w:t xml:space="preserve">Reference is made to </w:t>
      </w:r>
      <w:r w:rsidR="001368C1" w:rsidRPr="009657A1">
        <w:t xml:space="preserve">the case of </w:t>
      </w:r>
      <w:r w:rsidR="001368C1" w:rsidRPr="0091148E">
        <w:rPr>
          <w:i/>
        </w:rPr>
        <w:t xml:space="preserve">Tawanda </w:t>
      </w:r>
      <w:r w:rsidR="001368C1" w:rsidRPr="009657A1">
        <w:t xml:space="preserve">v </w:t>
      </w:r>
      <w:r w:rsidR="001368C1" w:rsidRPr="0091148E">
        <w:rPr>
          <w:i/>
        </w:rPr>
        <w:t>Ndebele</w:t>
      </w:r>
      <w:r w:rsidR="001368C1" w:rsidRPr="0091148E">
        <w:rPr>
          <w:rStyle w:val="FootnoteReference"/>
          <w:i/>
        </w:rPr>
        <w:footnoteReference w:id="8"/>
      </w:r>
      <w:r w:rsidR="001368C1" w:rsidRPr="0091148E">
        <w:rPr>
          <w:i/>
        </w:rPr>
        <w:t xml:space="preserve">, </w:t>
      </w:r>
      <w:r w:rsidR="00C5368B" w:rsidRPr="009657A1">
        <w:t xml:space="preserve">where </w:t>
      </w:r>
      <w:r w:rsidR="001368C1" w:rsidRPr="009657A1">
        <w:t xml:space="preserve">the court commented as follows: </w:t>
      </w:r>
    </w:p>
    <w:p w:rsidR="001368C1" w:rsidRPr="0091148E" w:rsidRDefault="001368C1" w:rsidP="0091148E">
      <w:pPr>
        <w:ind w:left="720"/>
        <w:jc w:val="both"/>
        <w:rPr>
          <w:sz w:val="22"/>
          <w:szCs w:val="22"/>
        </w:rPr>
      </w:pPr>
      <w:r w:rsidRPr="0091148E">
        <w:rPr>
          <w:sz w:val="22"/>
          <w:szCs w:val="22"/>
        </w:rPr>
        <w:t xml:space="preserve">“It is my view, therefore, that there should be no compromise by seeking to accept a questionably authenticated document either for academic or expedience purposes. The rules of this court have listed certain officials who are authorised to authenticate documents and those rules should be applied in </w:t>
      </w:r>
      <w:r w:rsidRPr="0091148E">
        <w:rPr>
          <w:i/>
          <w:sz w:val="22"/>
          <w:szCs w:val="22"/>
        </w:rPr>
        <w:t>toto</w:t>
      </w:r>
      <w:r w:rsidRPr="0091148E">
        <w:rPr>
          <w:sz w:val="22"/>
          <w:szCs w:val="22"/>
        </w:rPr>
        <w:t>.”</w:t>
      </w:r>
    </w:p>
    <w:p w:rsidR="00AD3303" w:rsidRPr="0091148E" w:rsidRDefault="00AD3303" w:rsidP="009657A1">
      <w:pPr>
        <w:spacing w:line="360" w:lineRule="auto"/>
        <w:jc w:val="both"/>
        <w:rPr>
          <w:sz w:val="22"/>
          <w:szCs w:val="22"/>
        </w:rPr>
      </w:pPr>
    </w:p>
    <w:p w:rsidR="0038398A" w:rsidRPr="009657A1" w:rsidRDefault="001A0494" w:rsidP="0091148E">
      <w:pPr>
        <w:spacing w:line="360" w:lineRule="auto"/>
        <w:ind w:firstLine="720"/>
        <w:jc w:val="both"/>
      </w:pPr>
      <w:r w:rsidRPr="009657A1">
        <w:t xml:space="preserve">Consequently, there is no reason </w:t>
      </w:r>
      <w:r w:rsidR="00951A0D" w:rsidRPr="009657A1">
        <w:t xml:space="preserve">for dismissing the point </w:t>
      </w:r>
      <w:r w:rsidR="00951A0D" w:rsidRPr="009657A1">
        <w:rPr>
          <w:i/>
        </w:rPr>
        <w:t>in limine</w:t>
      </w:r>
      <w:r w:rsidR="00951A0D" w:rsidRPr="009657A1">
        <w:t xml:space="preserve">. I am persuaded by the point </w:t>
      </w:r>
      <w:r w:rsidR="00951A0D" w:rsidRPr="009657A1">
        <w:rPr>
          <w:i/>
        </w:rPr>
        <w:t>in limine</w:t>
      </w:r>
      <w:r w:rsidR="00951A0D" w:rsidRPr="009657A1">
        <w:t xml:space="preserve"> concerned. Accordingly, the point </w:t>
      </w:r>
      <w:r w:rsidR="00951A0D" w:rsidRPr="009657A1">
        <w:rPr>
          <w:i/>
        </w:rPr>
        <w:t xml:space="preserve">in </w:t>
      </w:r>
      <w:r w:rsidR="00DC08CE" w:rsidRPr="009657A1">
        <w:rPr>
          <w:i/>
        </w:rPr>
        <w:t>limine</w:t>
      </w:r>
      <w:r w:rsidR="00DC08CE" w:rsidRPr="009657A1">
        <w:t xml:space="preserve"> is</w:t>
      </w:r>
      <w:r w:rsidR="00951A0D" w:rsidRPr="009657A1">
        <w:t xml:space="preserve"> upheld.</w:t>
      </w:r>
    </w:p>
    <w:p w:rsidR="003B4363" w:rsidRPr="009657A1" w:rsidRDefault="0091148E" w:rsidP="0091148E">
      <w:pPr>
        <w:spacing w:line="360" w:lineRule="auto"/>
        <w:ind w:firstLine="60"/>
        <w:jc w:val="both"/>
      </w:pPr>
      <w:r>
        <w:t>Ms</w:t>
      </w:r>
      <w:r w:rsidR="0069555B" w:rsidRPr="009657A1">
        <w:t xml:space="preserve"> Ruwona motivated the court to regard the matter as an unopposed matter.</w:t>
      </w:r>
      <w:r w:rsidR="00183346" w:rsidRPr="009657A1">
        <w:t xml:space="preserve"> I disagree with this approach as the defect </w:t>
      </w:r>
      <w:r w:rsidR="002021D4" w:rsidRPr="009657A1">
        <w:t xml:space="preserve">raised is not a fatal one. Rather, it is </w:t>
      </w:r>
      <w:r w:rsidR="0082270D">
        <w:t xml:space="preserve">a </w:t>
      </w:r>
      <w:r w:rsidR="002021D4" w:rsidRPr="009657A1">
        <w:t>remediable defect.</w:t>
      </w:r>
      <w:r w:rsidR="00AD2208" w:rsidRPr="009657A1">
        <w:t xml:space="preserve"> For that reason,</w:t>
      </w:r>
      <w:r w:rsidR="007F0AFA" w:rsidRPr="009657A1">
        <w:t xml:space="preserve"> it is appropriate to ensure that the </w:t>
      </w:r>
      <w:r>
        <w:t>r</w:t>
      </w:r>
      <w:r w:rsidR="007F0AFA" w:rsidRPr="009657A1">
        <w:t>espondents are given time to cure the defect concerned</w:t>
      </w:r>
      <w:r w:rsidR="0082270D">
        <w:t xml:space="preserve"> by removing the matter from the roll</w:t>
      </w:r>
      <w:r w:rsidR="007F0AFA" w:rsidRPr="009657A1">
        <w:t xml:space="preserve">. This is in harmony with the need </w:t>
      </w:r>
      <w:r w:rsidR="00DC08CE" w:rsidRPr="009657A1">
        <w:t>to uphold</w:t>
      </w:r>
      <w:r w:rsidR="007F0AFA" w:rsidRPr="009657A1">
        <w:t xml:space="preserve"> </w:t>
      </w:r>
      <w:r w:rsidR="00DC08CE" w:rsidRPr="009657A1">
        <w:t>the right</w:t>
      </w:r>
      <w:r w:rsidR="007F0AFA" w:rsidRPr="009657A1">
        <w:t xml:space="preserve"> to fair trial establishe</w:t>
      </w:r>
      <w:r w:rsidR="0082270D">
        <w:t>d</w:t>
      </w:r>
      <w:r w:rsidR="007F0AFA" w:rsidRPr="009657A1">
        <w:t xml:space="preserve"> </w:t>
      </w:r>
      <w:r w:rsidR="00DC08CE" w:rsidRPr="009657A1">
        <w:t>in terms</w:t>
      </w:r>
      <w:r w:rsidR="007F0AFA" w:rsidRPr="009657A1">
        <w:t xml:space="preserve"> of S 69 of the Constitution. The right to fair trial is one of the rights that is non-derogable according to S 86(3) of the Constitution. Deeming the present application</w:t>
      </w:r>
      <w:r w:rsidR="00986B79" w:rsidRPr="009657A1">
        <w:t xml:space="preserve"> as an unopposed case will not bring finality to litigation.</w:t>
      </w:r>
      <w:r w:rsidR="00947C2C" w:rsidRPr="009657A1">
        <w:t xml:space="preserve"> The </w:t>
      </w:r>
      <w:r>
        <w:t>a</w:t>
      </w:r>
      <w:r w:rsidR="00947C2C" w:rsidRPr="009657A1">
        <w:t>pplicant</w:t>
      </w:r>
      <w:r w:rsidR="0082270D">
        <w:t>s</w:t>
      </w:r>
      <w:r w:rsidR="00947C2C" w:rsidRPr="009657A1">
        <w:t xml:space="preserve"> will only be entitled to default judgment under such circumstances.</w:t>
      </w:r>
      <w:r w:rsidR="00AD11F7" w:rsidRPr="009657A1">
        <w:t xml:space="preserve"> The </w:t>
      </w:r>
      <w:r>
        <w:t>r</w:t>
      </w:r>
      <w:r w:rsidR="00AD11F7" w:rsidRPr="009657A1">
        <w:t>espondents may then seek to set aside the default judgment which will prolong the litigation between the parties.</w:t>
      </w:r>
      <w:r w:rsidR="003B4363" w:rsidRPr="009657A1">
        <w:t xml:space="preserve"> The need to bring finality to litigation was emphasized In </w:t>
      </w:r>
      <w:r w:rsidR="003B4363" w:rsidRPr="0091148E">
        <w:rPr>
          <w:i/>
        </w:rPr>
        <w:t>Ndebele</w:t>
      </w:r>
      <w:r w:rsidR="003B4363" w:rsidRPr="0091148E">
        <w:t xml:space="preserve"> v </w:t>
      </w:r>
      <w:r w:rsidR="003B4363" w:rsidRPr="0091148E">
        <w:rPr>
          <w:i/>
        </w:rPr>
        <w:t>Ncube,</w:t>
      </w:r>
      <w:r w:rsidR="003B4363" w:rsidRPr="0091148E">
        <w:rPr>
          <w:rStyle w:val="FootnoteReference"/>
          <w:i/>
        </w:rPr>
        <w:footnoteReference w:id="9"/>
      </w:r>
      <w:r w:rsidR="003B4363" w:rsidRPr="009657A1">
        <w:rPr>
          <w:b/>
          <w:i/>
        </w:rPr>
        <w:t xml:space="preserve">  </w:t>
      </w:r>
      <w:r w:rsidR="003B4363" w:rsidRPr="009657A1">
        <w:t>where it was held that:</w:t>
      </w:r>
    </w:p>
    <w:p w:rsidR="009C78AC" w:rsidRPr="0091148E" w:rsidRDefault="003B4363" w:rsidP="0091148E">
      <w:pPr>
        <w:ind w:left="720"/>
        <w:jc w:val="both"/>
        <w:rPr>
          <w:sz w:val="22"/>
          <w:szCs w:val="22"/>
        </w:rPr>
      </w:pPr>
      <w:r w:rsidRPr="0091148E">
        <w:rPr>
          <w:sz w:val="22"/>
          <w:szCs w:val="22"/>
        </w:rPr>
        <w:t>“It is the policy of the law that there should be finality in litigation. On the other hand one does not want to do injustice to litigants.”</w:t>
      </w:r>
    </w:p>
    <w:p w:rsidR="009C78AC" w:rsidRPr="0091148E" w:rsidRDefault="009C78AC" w:rsidP="009657A1">
      <w:pPr>
        <w:spacing w:line="360" w:lineRule="auto"/>
        <w:jc w:val="both"/>
        <w:rPr>
          <w:sz w:val="22"/>
          <w:szCs w:val="22"/>
        </w:rPr>
      </w:pPr>
    </w:p>
    <w:p w:rsidR="006734F7" w:rsidRPr="009657A1" w:rsidRDefault="009C78AC" w:rsidP="009D0A09">
      <w:pPr>
        <w:spacing w:line="360" w:lineRule="auto"/>
        <w:ind w:firstLine="720"/>
        <w:jc w:val="both"/>
      </w:pPr>
      <w:r w:rsidRPr="009657A1">
        <w:t xml:space="preserve">Both sets of litigants had prayed for costs on an attorney and client scale. Costs </w:t>
      </w:r>
      <w:r w:rsidR="00415900">
        <w:t xml:space="preserve">generally </w:t>
      </w:r>
      <w:r w:rsidRPr="009657A1">
        <w:t xml:space="preserve">follow the </w:t>
      </w:r>
      <w:r w:rsidR="00FD338A">
        <w:t>event</w:t>
      </w:r>
      <w:r w:rsidR="00415900">
        <w:t>.</w:t>
      </w:r>
      <w:r w:rsidR="00FD338A">
        <w:t xml:space="preserve"> However</w:t>
      </w:r>
      <w:r w:rsidR="0091148E">
        <w:t>, in</w:t>
      </w:r>
      <w:r w:rsidR="00FD338A">
        <w:t xml:space="preserve"> my view, it is </w:t>
      </w:r>
      <w:r w:rsidR="00E37B26">
        <w:t xml:space="preserve">in the </w:t>
      </w:r>
      <w:r w:rsidR="003F7E3F">
        <w:t xml:space="preserve">interest of justice </w:t>
      </w:r>
      <w:r w:rsidR="00FD338A">
        <w:t>that costs must be in the cause.</w:t>
      </w:r>
      <w:r w:rsidRPr="009657A1">
        <w:t xml:space="preserve"> </w:t>
      </w:r>
      <w:r w:rsidR="00D879CA" w:rsidRPr="009657A1">
        <w:t>Consequently</w:t>
      </w:r>
      <w:r w:rsidR="00DC08CE" w:rsidRPr="009657A1">
        <w:t>, it</w:t>
      </w:r>
      <w:r w:rsidR="006734F7" w:rsidRPr="009657A1">
        <w:t xml:space="preserve"> is ordered as follows:</w:t>
      </w:r>
    </w:p>
    <w:p w:rsidR="006734F7" w:rsidRDefault="006734F7" w:rsidP="009657A1">
      <w:pPr>
        <w:spacing w:line="360" w:lineRule="auto"/>
        <w:jc w:val="both"/>
      </w:pPr>
    </w:p>
    <w:p w:rsidR="0091148E" w:rsidRDefault="0091148E" w:rsidP="009657A1">
      <w:pPr>
        <w:spacing w:line="360" w:lineRule="auto"/>
        <w:jc w:val="both"/>
      </w:pPr>
    </w:p>
    <w:p w:rsidR="0091148E" w:rsidRDefault="0091148E" w:rsidP="009657A1">
      <w:pPr>
        <w:spacing w:line="360" w:lineRule="auto"/>
        <w:jc w:val="both"/>
      </w:pPr>
    </w:p>
    <w:p w:rsidR="0091148E" w:rsidRDefault="0091148E" w:rsidP="009657A1">
      <w:pPr>
        <w:spacing w:line="360" w:lineRule="auto"/>
        <w:jc w:val="both"/>
      </w:pPr>
    </w:p>
    <w:p w:rsidR="0091148E" w:rsidRDefault="0091148E" w:rsidP="009657A1">
      <w:pPr>
        <w:spacing w:line="360" w:lineRule="auto"/>
        <w:jc w:val="both"/>
      </w:pPr>
    </w:p>
    <w:p w:rsidR="0091148E" w:rsidRDefault="0091148E" w:rsidP="009657A1">
      <w:pPr>
        <w:spacing w:line="360" w:lineRule="auto"/>
        <w:jc w:val="both"/>
      </w:pPr>
    </w:p>
    <w:p w:rsidR="0091148E" w:rsidRPr="009657A1" w:rsidRDefault="0091148E" w:rsidP="009657A1">
      <w:pPr>
        <w:spacing w:line="360" w:lineRule="auto"/>
        <w:jc w:val="both"/>
      </w:pPr>
    </w:p>
    <w:p w:rsidR="0070345F" w:rsidRPr="009657A1" w:rsidRDefault="00677DE2" w:rsidP="009657A1">
      <w:pPr>
        <w:pStyle w:val="ListParagraph"/>
        <w:numPr>
          <w:ilvl w:val="0"/>
          <w:numId w:val="7"/>
        </w:numPr>
        <w:spacing w:line="360" w:lineRule="auto"/>
        <w:jc w:val="both"/>
      </w:pPr>
      <w:r w:rsidRPr="009657A1">
        <w:lastRenderedPageBreak/>
        <w:t>The matter be and is hereby removed from the roll.</w:t>
      </w:r>
    </w:p>
    <w:p w:rsidR="005B3D78" w:rsidRPr="009657A1" w:rsidRDefault="0070345F" w:rsidP="009657A1">
      <w:pPr>
        <w:pStyle w:val="ListParagraph"/>
        <w:numPr>
          <w:ilvl w:val="0"/>
          <w:numId w:val="7"/>
        </w:numPr>
        <w:spacing w:line="360" w:lineRule="auto"/>
        <w:jc w:val="both"/>
      </w:pPr>
      <w:r w:rsidRPr="009657A1">
        <w:t xml:space="preserve">The </w:t>
      </w:r>
      <w:r w:rsidR="009D0A09">
        <w:t>r</w:t>
      </w:r>
      <w:r w:rsidRPr="009657A1">
        <w:t>espondents be and are hereby directed to amend the opposing affidavit</w:t>
      </w:r>
      <w:r w:rsidR="00FF54D2" w:rsidRPr="009657A1">
        <w:t xml:space="preserve"> within ten day</w:t>
      </w:r>
      <w:r w:rsidR="0082270D">
        <w:t>s</w:t>
      </w:r>
      <w:r w:rsidR="00FF54D2" w:rsidRPr="009657A1">
        <w:t xml:space="preserve"> from the granting of this order</w:t>
      </w:r>
      <w:r w:rsidR="005B3D78" w:rsidRPr="009657A1">
        <w:t xml:space="preserve"> and thereafter the matter shall proceed in terms of the Rules</w:t>
      </w:r>
      <w:r w:rsidR="00FF54D2" w:rsidRPr="009657A1">
        <w:t>.</w:t>
      </w:r>
    </w:p>
    <w:p w:rsidR="0038398A" w:rsidRPr="009657A1" w:rsidRDefault="00415900" w:rsidP="009657A1">
      <w:pPr>
        <w:pStyle w:val="ListParagraph"/>
        <w:numPr>
          <w:ilvl w:val="0"/>
          <w:numId w:val="7"/>
        </w:numPr>
        <w:spacing w:line="360" w:lineRule="auto"/>
        <w:jc w:val="both"/>
      </w:pPr>
      <w:r>
        <w:t>Costs shall be in the cause.</w:t>
      </w:r>
      <w:r w:rsidR="009C78AC" w:rsidRPr="009657A1">
        <w:t xml:space="preserve"> </w:t>
      </w:r>
      <w:r w:rsidR="003B4363" w:rsidRPr="009657A1">
        <w:t xml:space="preserve"> </w:t>
      </w:r>
      <w:r w:rsidR="00AD11F7" w:rsidRPr="009657A1">
        <w:t xml:space="preserve"> </w:t>
      </w:r>
      <w:r w:rsidR="007F0AFA" w:rsidRPr="009657A1">
        <w:t xml:space="preserve"> </w:t>
      </w:r>
    </w:p>
    <w:p w:rsidR="001368C1" w:rsidRPr="009657A1" w:rsidRDefault="001368C1" w:rsidP="009657A1">
      <w:pPr>
        <w:spacing w:line="360" w:lineRule="auto"/>
        <w:jc w:val="both"/>
      </w:pPr>
    </w:p>
    <w:p w:rsidR="00764933" w:rsidRPr="009D0A09" w:rsidRDefault="00764933" w:rsidP="009657A1">
      <w:pPr>
        <w:spacing w:line="360" w:lineRule="auto"/>
        <w:jc w:val="both"/>
        <w:rPr>
          <w:i/>
        </w:rPr>
      </w:pPr>
    </w:p>
    <w:p w:rsidR="009D0A09" w:rsidRDefault="009D0A09" w:rsidP="009D0A09">
      <w:pPr>
        <w:jc w:val="both"/>
        <w:rPr>
          <w:i/>
        </w:rPr>
      </w:pPr>
    </w:p>
    <w:p w:rsidR="009D0A09" w:rsidRDefault="009D0A09" w:rsidP="009D0A09">
      <w:pPr>
        <w:jc w:val="both"/>
        <w:rPr>
          <w:i/>
        </w:rPr>
      </w:pPr>
    </w:p>
    <w:p w:rsidR="009D0A09" w:rsidRDefault="009D0A09" w:rsidP="009D0A09">
      <w:pPr>
        <w:jc w:val="both"/>
        <w:rPr>
          <w:i/>
        </w:rPr>
      </w:pPr>
    </w:p>
    <w:p w:rsidR="00D126CA" w:rsidRDefault="00D126CA" w:rsidP="009D0A09">
      <w:pPr>
        <w:jc w:val="both"/>
        <w:rPr>
          <w:i/>
        </w:rPr>
      </w:pPr>
    </w:p>
    <w:p w:rsidR="00D126CA" w:rsidRDefault="00D126CA" w:rsidP="009D0A09">
      <w:pPr>
        <w:jc w:val="both"/>
        <w:rPr>
          <w:i/>
        </w:rPr>
      </w:pPr>
    </w:p>
    <w:p w:rsidR="00D126CA" w:rsidRDefault="00D126CA" w:rsidP="009D0A09">
      <w:pPr>
        <w:jc w:val="both"/>
        <w:rPr>
          <w:i/>
        </w:rPr>
      </w:pPr>
    </w:p>
    <w:p w:rsidR="00764933" w:rsidRPr="009657A1" w:rsidRDefault="004104C4" w:rsidP="009D0A09">
      <w:pPr>
        <w:jc w:val="both"/>
      </w:pPr>
      <w:r w:rsidRPr="009D0A09">
        <w:rPr>
          <w:i/>
        </w:rPr>
        <w:t>Masiya-Sheshe and Associates</w:t>
      </w:r>
      <w:r w:rsidRPr="009657A1">
        <w:t xml:space="preserve">, </w:t>
      </w:r>
      <w:r w:rsidR="009D0A09">
        <w:t>a</w:t>
      </w:r>
      <w:r w:rsidRPr="009657A1">
        <w:t xml:space="preserve">pplicants’ </w:t>
      </w:r>
      <w:r w:rsidR="009D0A09">
        <w:t>l</w:t>
      </w:r>
      <w:r w:rsidRPr="009657A1">
        <w:t xml:space="preserve">egal </w:t>
      </w:r>
      <w:r w:rsidR="009D0A09">
        <w:t>p</w:t>
      </w:r>
      <w:r w:rsidRPr="009657A1">
        <w:t>ractitioners.</w:t>
      </w:r>
    </w:p>
    <w:p w:rsidR="004104C4" w:rsidRPr="009657A1" w:rsidRDefault="00AC624E" w:rsidP="009D0A09">
      <w:pPr>
        <w:jc w:val="both"/>
      </w:pPr>
      <w:r w:rsidRPr="009D0A09">
        <w:rPr>
          <w:i/>
        </w:rPr>
        <w:t>Stansilous and Associates Law Firm</w:t>
      </w:r>
      <w:r w:rsidRPr="009657A1">
        <w:t xml:space="preserve">, </w:t>
      </w:r>
      <w:r w:rsidR="009D0A09">
        <w:t>r</w:t>
      </w:r>
      <w:r w:rsidRPr="009657A1">
        <w:t xml:space="preserve">espondents’ </w:t>
      </w:r>
      <w:r w:rsidR="009D0A09">
        <w:t>l</w:t>
      </w:r>
      <w:r w:rsidRPr="009657A1">
        <w:t xml:space="preserve">egal </w:t>
      </w:r>
      <w:r w:rsidR="009D0A09">
        <w:t>p</w:t>
      </w:r>
      <w:r w:rsidRPr="009657A1">
        <w:t>ractitioners.</w:t>
      </w:r>
    </w:p>
    <w:sectPr w:rsidR="004104C4" w:rsidRPr="009657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24" w:rsidRDefault="00DF1124" w:rsidP="004378C4">
      <w:r>
        <w:separator/>
      </w:r>
    </w:p>
  </w:endnote>
  <w:endnote w:type="continuationSeparator" w:id="0">
    <w:p w:rsidR="00DF1124" w:rsidRDefault="00DF1124" w:rsidP="0043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24" w:rsidRDefault="00DF1124" w:rsidP="004378C4">
      <w:r>
        <w:separator/>
      </w:r>
    </w:p>
  </w:footnote>
  <w:footnote w:type="continuationSeparator" w:id="0">
    <w:p w:rsidR="00DF1124" w:rsidRDefault="00DF1124" w:rsidP="004378C4">
      <w:r>
        <w:continuationSeparator/>
      </w:r>
    </w:p>
  </w:footnote>
  <w:footnote w:id="1">
    <w:p w:rsidR="003663E2" w:rsidRPr="00DB1D7B" w:rsidRDefault="003663E2" w:rsidP="003663E2">
      <w:pPr>
        <w:pStyle w:val="FootnoteText"/>
        <w:rPr>
          <w:lang w:val="en-GB"/>
        </w:rPr>
      </w:pPr>
      <w:r>
        <w:rPr>
          <w:rStyle w:val="FootnoteReference"/>
        </w:rPr>
        <w:footnoteRef/>
      </w:r>
      <w:r>
        <w:t xml:space="preserve"> HH798/15.</w:t>
      </w:r>
    </w:p>
  </w:footnote>
  <w:footnote w:id="2">
    <w:p w:rsidR="003663E2" w:rsidRPr="007E29B9" w:rsidRDefault="003663E2" w:rsidP="003663E2">
      <w:pPr>
        <w:pStyle w:val="FootnoteText"/>
        <w:rPr>
          <w:lang w:val="en-GB"/>
        </w:rPr>
      </w:pPr>
      <w:r>
        <w:rPr>
          <w:rStyle w:val="FootnoteReference"/>
        </w:rPr>
        <w:footnoteRef/>
      </w:r>
      <w:r>
        <w:t xml:space="preserve"> HH153/21.</w:t>
      </w:r>
    </w:p>
  </w:footnote>
  <w:footnote w:id="3">
    <w:p w:rsidR="00235D17" w:rsidRPr="00235D17" w:rsidRDefault="00235D17">
      <w:pPr>
        <w:pStyle w:val="FootnoteText"/>
        <w:rPr>
          <w:lang w:val="en-GB"/>
        </w:rPr>
      </w:pPr>
      <w:r>
        <w:rPr>
          <w:rStyle w:val="FootnoteReference"/>
        </w:rPr>
        <w:footnoteRef/>
      </w:r>
      <w:r>
        <w:t xml:space="preserve"> </w:t>
      </w:r>
      <w:r w:rsidRPr="00A26CA0">
        <w:rPr>
          <w:i/>
          <w:sz w:val="24"/>
          <w:szCs w:val="24"/>
        </w:rPr>
        <w:t xml:space="preserve">1977] </w:t>
      </w:r>
      <w:r w:rsidRPr="00A26CA0">
        <w:rPr>
          <w:sz w:val="24"/>
          <w:szCs w:val="24"/>
        </w:rPr>
        <w:t>AC 547 at 569</w:t>
      </w:r>
      <w:r>
        <w:rPr>
          <w:sz w:val="24"/>
          <w:szCs w:val="24"/>
        </w:rPr>
        <w:t>.</w:t>
      </w:r>
    </w:p>
  </w:footnote>
  <w:footnote w:id="4">
    <w:p w:rsidR="000331CB" w:rsidRPr="000331CB" w:rsidRDefault="000331CB">
      <w:pPr>
        <w:pStyle w:val="FootnoteText"/>
        <w:rPr>
          <w:lang w:val="en-GB"/>
        </w:rPr>
      </w:pPr>
      <w:r>
        <w:rPr>
          <w:rStyle w:val="FootnoteReference"/>
        </w:rPr>
        <w:footnoteRef/>
      </w:r>
      <w:r>
        <w:t xml:space="preserve"> HH137/18.</w:t>
      </w:r>
    </w:p>
  </w:footnote>
  <w:footnote w:id="5">
    <w:p w:rsidR="007E29B9" w:rsidRPr="007E29B9" w:rsidRDefault="007E29B9">
      <w:pPr>
        <w:pStyle w:val="FootnoteText"/>
        <w:rPr>
          <w:lang w:val="en-GB"/>
        </w:rPr>
      </w:pPr>
      <w:r>
        <w:rPr>
          <w:rStyle w:val="FootnoteReference"/>
        </w:rPr>
        <w:footnoteRef/>
      </w:r>
      <w:r>
        <w:t xml:space="preserve"> HH153/21.</w:t>
      </w:r>
    </w:p>
  </w:footnote>
  <w:footnote w:id="6">
    <w:p w:rsidR="004378C4" w:rsidRPr="004378C4" w:rsidRDefault="004378C4">
      <w:pPr>
        <w:pStyle w:val="FootnoteText"/>
        <w:rPr>
          <w:lang w:val="en-GB"/>
        </w:rPr>
      </w:pPr>
      <w:r>
        <w:rPr>
          <w:rStyle w:val="FootnoteReference"/>
        </w:rPr>
        <w:footnoteRef/>
      </w:r>
      <w:r>
        <w:t xml:space="preserve"> </w:t>
      </w:r>
      <w:r w:rsidRPr="00D34CA0">
        <w:rPr>
          <w:sz w:val="24"/>
          <w:szCs w:val="24"/>
        </w:rPr>
        <w:t>1998(2) ZLR 42</w:t>
      </w:r>
      <w:r>
        <w:rPr>
          <w:sz w:val="24"/>
          <w:szCs w:val="24"/>
        </w:rPr>
        <w:t>.</w:t>
      </w:r>
    </w:p>
  </w:footnote>
  <w:footnote w:id="7">
    <w:p w:rsidR="00DB1D7B" w:rsidRPr="00DB1D7B" w:rsidRDefault="00DB1D7B">
      <w:pPr>
        <w:pStyle w:val="FootnoteText"/>
        <w:rPr>
          <w:lang w:val="en-GB"/>
        </w:rPr>
      </w:pPr>
      <w:r>
        <w:rPr>
          <w:rStyle w:val="FootnoteReference"/>
        </w:rPr>
        <w:footnoteRef/>
      </w:r>
      <w:r>
        <w:t xml:space="preserve"> HH798/15.</w:t>
      </w:r>
    </w:p>
  </w:footnote>
  <w:footnote w:id="8">
    <w:p w:rsidR="001368C1" w:rsidRPr="00593398" w:rsidRDefault="001368C1" w:rsidP="001368C1">
      <w:pPr>
        <w:pStyle w:val="FootnoteText"/>
        <w:rPr>
          <w:lang w:val="en-GB"/>
        </w:rPr>
      </w:pPr>
      <w:r>
        <w:rPr>
          <w:rStyle w:val="FootnoteReference"/>
        </w:rPr>
        <w:footnoteRef/>
      </w:r>
      <w:r>
        <w:t xml:space="preserve"> HB 27-06.</w:t>
      </w:r>
    </w:p>
  </w:footnote>
  <w:footnote w:id="9">
    <w:p w:rsidR="003B4363" w:rsidRPr="003B4363" w:rsidRDefault="003B4363">
      <w:pPr>
        <w:pStyle w:val="FootnoteText"/>
        <w:rPr>
          <w:lang w:val="en-GB"/>
        </w:rPr>
      </w:pPr>
      <w:r>
        <w:rPr>
          <w:rStyle w:val="FootnoteReference"/>
        </w:rPr>
        <w:footnoteRef/>
      </w:r>
      <w:r>
        <w:t xml:space="preserve"> </w:t>
      </w:r>
      <w:r w:rsidRPr="00A26CA0">
        <w:rPr>
          <w:sz w:val="24"/>
          <w:szCs w:val="24"/>
        </w:rPr>
        <w:t>1992 (1) ZLR 288 (S)</w:t>
      </w:r>
      <w:r>
        <w:rPr>
          <w:sz w:val="24"/>
          <w:szCs w:val="24"/>
        </w:rPr>
        <w:t>.</w:t>
      </w:r>
      <w:r w:rsidRPr="00A26CA0">
        <w:rPr>
          <w:sz w:val="24"/>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007974"/>
      <w:docPartObj>
        <w:docPartGallery w:val="Page Numbers (Top of Page)"/>
        <w:docPartUnique/>
      </w:docPartObj>
    </w:sdtPr>
    <w:sdtEndPr>
      <w:rPr>
        <w:noProof/>
      </w:rPr>
    </w:sdtEndPr>
    <w:sdtContent>
      <w:p w:rsidR="00714A44" w:rsidRDefault="00714A44">
        <w:pPr>
          <w:pStyle w:val="Header"/>
          <w:jc w:val="right"/>
          <w:rPr>
            <w:noProof/>
          </w:rPr>
        </w:pPr>
        <w:r>
          <w:fldChar w:fldCharType="begin"/>
        </w:r>
        <w:r>
          <w:instrText xml:space="preserve"> PAGE   \* MERGEFORMAT </w:instrText>
        </w:r>
        <w:r>
          <w:fldChar w:fldCharType="separate"/>
        </w:r>
        <w:r w:rsidR="00F2770C">
          <w:rPr>
            <w:noProof/>
          </w:rPr>
          <w:t>1</w:t>
        </w:r>
        <w:r>
          <w:rPr>
            <w:noProof/>
          </w:rPr>
          <w:fldChar w:fldCharType="end"/>
        </w:r>
      </w:p>
      <w:p w:rsidR="00714A44" w:rsidRDefault="00714A44">
        <w:pPr>
          <w:pStyle w:val="Header"/>
          <w:jc w:val="right"/>
          <w:rPr>
            <w:noProof/>
          </w:rPr>
        </w:pPr>
        <w:r>
          <w:rPr>
            <w:noProof/>
          </w:rPr>
          <w:t>HH</w:t>
        </w:r>
        <w:r w:rsidR="00B4439B">
          <w:rPr>
            <w:noProof/>
          </w:rPr>
          <w:t xml:space="preserve"> 814-22</w:t>
        </w:r>
        <w:r w:rsidR="006709C7">
          <w:rPr>
            <w:noProof/>
          </w:rPr>
          <w:t xml:space="preserve"> </w:t>
        </w:r>
      </w:p>
      <w:p w:rsidR="00714A44" w:rsidRDefault="00714A44">
        <w:pPr>
          <w:pStyle w:val="Header"/>
          <w:jc w:val="right"/>
        </w:pPr>
        <w:r>
          <w:rPr>
            <w:noProof/>
          </w:rPr>
          <w:t>HC 7544/19</w:t>
        </w:r>
      </w:p>
    </w:sdtContent>
  </w:sdt>
  <w:p w:rsidR="00714A44" w:rsidRDefault="00714A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7397"/>
    <w:multiLevelType w:val="hybridMultilevel"/>
    <w:tmpl w:val="CF8480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E21936"/>
    <w:multiLevelType w:val="hybridMultilevel"/>
    <w:tmpl w:val="2048AE4E"/>
    <w:lvl w:ilvl="0" w:tplc="F0ACA3B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27048C2"/>
    <w:multiLevelType w:val="hybridMultilevel"/>
    <w:tmpl w:val="5D1C4FBA"/>
    <w:lvl w:ilvl="0" w:tplc="14C4F8E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3A6E60B9"/>
    <w:multiLevelType w:val="hybridMultilevel"/>
    <w:tmpl w:val="46882340"/>
    <w:lvl w:ilvl="0" w:tplc="8BDAB4D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6E92D71"/>
    <w:multiLevelType w:val="hybridMultilevel"/>
    <w:tmpl w:val="91EEDCAC"/>
    <w:lvl w:ilvl="0" w:tplc="166813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5E250EC"/>
    <w:multiLevelType w:val="hybridMultilevel"/>
    <w:tmpl w:val="DA4424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1B5008E"/>
    <w:multiLevelType w:val="hybridMultilevel"/>
    <w:tmpl w:val="248438D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9C"/>
    <w:rsid w:val="00004BBB"/>
    <w:rsid w:val="00012AFC"/>
    <w:rsid w:val="0001438A"/>
    <w:rsid w:val="00015A6B"/>
    <w:rsid w:val="00020A73"/>
    <w:rsid w:val="0002567A"/>
    <w:rsid w:val="000331CB"/>
    <w:rsid w:val="000410DD"/>
    <w:rsid w:val="00042901"/>
    <w:rsid w:val="0004311E"/>
    <w:rsid w:val="000479A3"/>
    <w:rsid w:val="00051749"/>
    <w:rsid w:val="00061B83"/>
    <w:rsid w:val="00071098"/>
    <w:rsid w:val="000A2031"/>
    <w:rsid w:val="000A3C59"/>
    <w:rsid w:val="000A4395"/>
    <w:rsid w:val="000B40A2"/>
    <w:rsid w:val="000C4BFD"/>
    <w:rsid w:val="000D0A58"/>
    <w:rsid w:val="000E45C0"/>
    <w:rsid w:val="001028A4"/>
    <w:rsid w:val="0010657F"/>
    <w:rsid w:val="001368C1"/>
    <w:rsid w:val="00137EE5"/>
    <w:rsid w:val="00147DB1"/>
    <w:rsid w:val="00161ACA"/>
    <w:rsid w:val="00176B37"/>
    <w:rsid w:val="00182123"/>
    <w:rsid w:val="00183346"/>
    <w:rsid w:val="00190577"/>
    <w:rsid w:val="0019790E"/>
    <w:rsid w:val="001A0494"/>
    <w:rsid w:val="001A2CF5"/>
    <w:rsid w:val="001D3263"/>
    <w:rsid w:val="001E5DCF"/>
    <w:rsid w:val="001E6945"/>
    <w:rsid w:val="001E7675"/>
    <w:rsid w:val="002021D4"/>
    <w:rsid w:val="0020575F"/>
    <w:rsid w:val="00214E46"/>
    <w:rsid w:val="0021508F"/>
    <w:rsid w:val="00216BE1"/>
    <w:rsid w:val="00221674"/>
    <w:rsid w:val="00225F7A"/>
    <w:rsid w:val="00234ADA"/>
    <w:rsid w:val="00235D17"/>
    <w:rsid w:val="002432DD"/>
    <w:rsid w:val="002525D9"/>
    <w:rsid w:val="00254171"/>
    <w:rsid w:val="00267C75"/>
    <w:rsid w:val="0027759D"/>
    <w:rsid w:val="0029063F"/>
    <w:rsid w:val="00294CF8"/>
    <w:rsid w:val="00297A2D"/>
    <w:rsid w:val="002A01F8"/>
    <w:rsid w:val="002A43A2"/>
    <w:rsid w:val="002B3E8E"/>
    <w:rsid w:val="002B5A3F"/>
    <w:rsid w:val="002C2065"/>
    <w:rsid w:val="002D608F"/>
    <w:rsid w:val="002E36CB"/>
    <w:rsid w:val="002E4252"/>
    <w:rsid w:val="002E55F1"/>
    <w:rsid w:val="002E6053"/>
    <w:rsid w:val="003046F3"/>
    <w:rsid w:val="0033661E"/>
    <w:rsid w:val="003663E2"/>
    <w:rsid w:val="00372D60"/>
    <w:rsid w:val="00375995"/>
    <w:rsid w:val="003827BD"/>
    <w:rsid w:val="0038398A"/>
    <w:rsid w:val="00392E61"/>
    <w:rsid w:val="003A2ACC"/>
    <w:rsid w:val="003B4363"/>
    <w:rsid w:val="003B7732"/>
    <w:rsid w:val="003C32ED"/>
    <w:rsid w:val="003D67C7"/>
    <w:rsid w:val="003E4B7F"/>
    <w:rsid w:val="003F7E3F"/>
    <w:rsid w:val="004104C4"/>
    <w:rsid w:val="00415900"/>
    <w:rsid w:val="00426322"/>
    <w:rsid w:val="004378C4"/>
    <w:rsid w:val="004427A8"/>
    <w:rsid w:val="00446F73"/>
    <w:rsid w:val="00460037"/>
    <w:rsid w:val="004700DA"/>
    <w:rsid w:val="004A3E8D"/>
    <w:rsid w:val="004B0992"/>
    <w:rsid w:val="004C49B5"/>
    <w:rsid w:val="004E31B3"/>
    <w:rsid w:val="004F231D"/>
    <w:rsid w:val="004F737E"/>
    <w:rsid w:val="004F7940"/>
    <w:rsid w:val="005041B1"/>
    <w:rsid w:val="00514A1B"/>
    <w:rsid w:val="0053335A"/>
    <w:rsid w:val="005358ED"/>
    <w:rsid w:val="005443A5"/>
    <w:rsid w:val="00550D28"/>
    <w:rsid w:val="00557C84"/>
    <w:rsid w:val="00560F55"/>
    <w:rsid w:val="005802F0"/>
    <w:rsid w:val="0058156C"/>
    <w:rsid w:val="005826CB"/>
    <w:rsid w:val="005A4275"/>
    <w:rsid w:val="005B25D0"/>
    <w:rsid w:val="005B3D78"/>
    <w:rsid w:val="005B55B7"/>
    <w:rsid w:val="005B6019"/>
    <w:rsid w:val="005D1154"/>
    <w:rsid w:val="005E16FC"/>
    <w:rsid w:val="006028F6"/>
    <w:rsid w:val="0061073E"/>
    <w:rsid w:val="00622B97"/>
    <w:rsid w:val="0062689F"/>
    <w:rsid w:val="006310CA"/>
    <w:rsid w:val="006328DE"/>
    <w:rsid w:val="00650B8F"/>
    <w:rsid w:val="00651F3A"/>
    <w:rsid w:val="00654D77"/>
    <w:rsid w:val="00661757"/>
    <w:rsid w:val="00662D56"/>
    <w:rsid w:val="00665C41"/>
    <w:rsid w:val="006709C7"/>
    <w:rsid w:val="006734F7"/>
    <w:rsid w:val="00677DE2"/>
    <w:rsid w:val="006842F7"/>
    <w:rsid w:val="0069555B"/>
    <w:rsid w:val="00697341"/>
    <w:rsid w:val="006A1A01"/>
    <w:rsid w:val="006A6FEF"/>
    <w:rsid w:val="006B44AC"/>
    <w:rsid w:val="006F3B39"/>
    <w:rsid w:val="00701250"/>
    <w:rsid w:val="0070345F"/>
    <w:rsid w:val="00704A6B"/>
    <w:rsid w:val="0071166A"/>
    <w:rsid w:val="00712A73"/>
    <w:rsid w:val="00713DF0"/>
    <w:rsid w:val="00714A44"/>
    <w:rsid w:val="00722492"/>
    <w:rsid w:val="00725058"/>
    <w:rsid w:val="007354AD"/>
    <w:rsid w:val="007361EE"/>
    <w:rsid w:val="00736806"/>
    <w:rsid w:val="007552EF"/>
    <w:rsid w:val="00764933"/>
    <w:rsid w:val="00766F46"/>
    <w:rsid w:val="00771560"/>
    <w:rsid w:val="00776BB8"/>
    <w:rsid w:val="00780399"/>
    <w:rsid w:val="00782AA0"/>
    <w:rsid w:val="0079246B"/>
    <w:rsid w:val="007A239C"/>
    <w:rsid w:val="007A37D4"/>
    <w:rsid w:val="007A4108"/>
    <w:rsid w:val="007B35F5"/>
    <w:rsid w:val="007C7D39"/>
    <w:rsid w:val="007E1483"/>
    <w:rsid w:val="007E29B9"/>
    <w:rsid w:val="007F0AFA"/>
    <w:rsid w:val="00806485"/>
    <w:rsid w:val="00814091"/>
    <w:rsid w:val="00817708"/>
    <w:rsid w:val="0082270D"/>
    <w:rsid w:val="008235E7"/>
    <w:rsid w:val="00825F1A"/>
    <w:rsid w:val="00841C91"/>
    <w:rsid w:val="008502F2"/>
    <w:rsid w:val="008540C6"/>
    <w:rsid w:val="00872A22"/>
    <w:rsid w:val="00893BB1"/>
    <w:rsid w:val="00897512"/>
    <w:rsid w:val="008A03C7"/>
    <w:rsid w:val="008B005E"/>
    <w:rsid w:val="008C21BF"/>
    <w:rsid w:val="008C70ED"/>
    <w:rsid w:val="008D0EEB"/>
    <w:rsid w:val="008E0A64"/>
    <w:rsid w:val="008E3234"/>
    <w:rsid w:val="008F0377"/>
    <w:rsid w:val="0090072D"/>
    <w:rsid w:val="0091148E"/>
    <w:rsid w:val="009131DD"/>
    <w:rsid w:val="00916062"/>
    <w:rsid w:val="00927470"/>
    <w:rsid w:val="009325DE"/>
    <w:rsid w:val="00933C2A"/>
    <w:rsid w:val="00947C2C"/>
    <w:rsid w:val="00951A0D"/>
    <w:rsid w:val="0095222F"/>
    <w:rsid w:val="00953089"/>
    <w:rsid w:val="00960BF7"/>
    <w:rsid w:val="009642E4"/>
    <w:rsid w:val="009656B5"/>
    <w:rsid w:val="009657A1"/>
    <w:rsid w:val="009829BC"/>
    <w:rsid w:val="00983D4A"/>
    <w:rsid w:val="00986B79"/>
    <w:rsid w:val="0098739F"/>
    <w:rsid w:val="009A1C43"/>
    <w:rsid w:val="009A4037"/>
    <w:rsid w:val="009B2684"/>
    <w:rsid w:val="009C78AC"/>
    <w:rsid w:val="009D0A09"/>
    <w:rsid w:val="009F0E74"/>
    <w:rsid w:val="00A13940"/>
    <w:rsid w:val="00A16370"/>
    <w:rsid w:val="00A25D9F"/>
    <w:rsid w:val="00A25F56"/>
    <w:rsid w:val="00A3389F"/>
    <w:rsid w:val="00A373B7"/>
    <w:rsid w:val="00A4763C"/>
    <w:rsid w:val="00A65D0A"/>
    <w:rsid w:val="00A72E02"/>
    <w:rsid w:val="00A8280E"/>
    <w:rsid w:val="00A836CC"/>
    <w:rsid w:val="00A931BC"/>
    <w:rsid w:val="00AA10E5"/>
    <w:rsid w:val="00AA37D2"/>
    <w:rsid w:val="00AA6007"/>
    <w:rsid w:val="00AC624E"/>
    <w:rsid w:val="00AD11F7"/>
    <w:rsid w:val="00AD2208"/>
    <w:rsid w:val="00AD3303"/>
    <w:rsid w:val="00AD6FCD"/>
    <w:rsid w:val="00AE0643"/>
    <w:rsid w:val="00AF374B"/>
    <w:rsid w:val="00AF3B15"/>
    <w:rsid w:val="00B03188"/>
    <w:rsid w:val="00B272CF"/>
    <w:rsid w:val="00B37F6B"/>
    <w:rsid w:val="00B41B6C"/>
    <w:rsid w:val="00B4439B"/>
    <w:rsid w:val="00B47704"/>
    <w:rsid w:val="00B47EFC"/>
    <w:rsid w:val="00B67005"/>
    <w:rsid w:val="00B73353"/>
    <w:rsid w:val="00B80E1E"/>
    <w:rsid w:val="00B87BAD"/>
    <w:rsid w:val="00B90C95"/>
    <w:rsid w:val="00BA1BDB"/>
    <w:rsid w:val="00BA21B5"/>
    <w:rsid w:val="00BA43B9"/>
    <w:rsid w:val="00BB079B"/>
    <w:rsid w:val="00BB3FB5"/>
    <w:rsid w:val="00BC2F3E"/>
    <w:rsid w:val="00BC55D6"/>
    <w:rsid w:val="00C043E9"/>
    <w:rsid w:val="00C0631E"/>
    <w:rsid w:val="00C3148F"/>
    <w:rsid w:val="00C35FDE"/>
    <w:rsid w:val="00C41C17"/>
    <w:rsid w:val="00C4588D"/>
    <w:rsid w:val="00C5368B"/>
    <w:rsid w:val="00C5701C"/>
    <w:rsid w:val="00C60D4D"/>
    <w:rsid w:val="00C6494A"/>
    <w:rsid w:val="00C679B8"/>
    <w:rsid w:val="00C86446"/>
    <w:rsid w:val="00CB16CD"/>
    <w:rsid w:val="00CB1FE1"/>
    <w:rsid w:val="00CC40AA"/>
    <w:rsid w:val="00CD12B0"/>
    <w:rsid w:val="00CD6FB0"/>
    <w:rsid w:val="00CE565B"/>
    <w:rsid w:val="00CE64B2"/>
    <w:rsid w:val="00CF08DC"/>
    <w:rsid w:val="00CF1858"/>
    <w:rsid w:val="00D126CA"/>
    <w:rsid w:val="00D13727"/>
    <w:rsid w:val="00D26ADB"/>
    <w:rsid w:val="00D37C6C"/>
    <w:rsid w:val="00D53638"/>
    <w:rsid w:val="00D56052"/>
    <w:rsid w:val="00D83A8F"/>
    <w:rsid w:val="00D879CA"/>
    <w:rsid w:val="00DA44A8"/>
    <w:rsid w:val="00DB1D7B"/>
    <w:rsid w:val="00DB5311"/>
    <w:rsid w:val="00DC08CE"/>
    <w:rsid w:val="00DC4DCA"/>
    <w:rsid w:val="00DD343B"/>
    <w:rsid w:val="00DD67A9"/>
    <w:rsid w:val="00DE6F51"/>
    <w:rsid w:val="00DF1124"/>
    <w:rsid w:val="00E10850"/>
    <w:rsid w:val="00E12C1F"/>
    <w:rsid w:val="00E357E3"/>
    <w:rsid w:val="00E37B26"/>
    <w:rsid w:val="00E470D3"/>
    <w:rsid w:val="00E528E0"/>
    <w:rsid w:val="00E55E88"/>
    <w:rsid w:val="00E80C0B"/>
    <w:rsid w:val="00E8453A"/>
    <w:rsid w:val="00E924AF"/>
    <w:rsid w:val="00E92E6A"/>
    <w:rsid w:val="00E95EC3"/>
    <w:rsid w:val="00EA7C4C"/>
    <w:rsid w:val="00EB37B2"/>
    <w:rsid w:val="00EC1285"/>
    <w:rsid w:val="00EC21E6"/>
    <w:rsid w:val="00EC5BF6"/>
    <w:rsid w:val="00ED1245"/>
    <w:rsid w:val="00ED2596"/>
    <w:rsid w:val="00EF4F48"/>
    <w:rsid w:val="00EF72C4"/>
    <w:rsid w:val="00EF781E"/>
    <w:rsid w:val="00F2770C"/>
    <w:rsid w:val="00F46694"/>
    <w:rsid w:val="00F52B9F"/>
    <w:rsid w:val="00F53C3C"/>
    <w:rsid w:val="00F6034E"/>
    <w:rsid w:val="00F67B3D"/>
    <w:rsid w:val="00F706E2"/>
    <w:rsid w:val="00F719FE"/>
    <w:rsid w:val="00F73FC7"/>
    <w:rsid w:val="00F800BF"/>
    <w:rsid w:val="00F816CC"/>
    <w:rsid w:val="00F832CD"/>
    <w:rsid w:val="00F83F32"/>
    <w:rsid w:val="00F91285"/>
    <w:rsid w:val="00F93DA5"/>
    <w:rsid w:val="00FA498A"/>
    <w:rsid w:val="00FA4A2A"/>
    <w:rsid w:val="00FB30DE"/>
    <w:rsid w:val="00FB760A"/>
    <w:rsid w:val="00FC305C"/>
    <w:rsid w:val="00FD338A"/>
    <w:rsid w:val="00FE05E4"/>
    <w:rsid w:val="00FE34C2"/>
    <w:rsid w:val="00FF54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460811-D35A-4326-9D53-543E091D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1B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D56"/>
    <w:pPr>
      <w:ind w:left="720"/>
      <w:contextualSpacing/>
    </w:pPr>
  </w:style>
  <w:style w:type="paragraph" w:styleId="FootnoteText">
    <w:name w:val="footnote text"/>
    <w:basedOn w:val="Normal"/>
    <w:link w:val="FootnoteTextChar"/>
    <w:uiPriority w:val="99"/>
    <w:semiHidden/>
    <w:unhideWhenUsed/>
    <w:rsid w:val="004378C4"/>
    <w:rPr>
      <w:sz w:val="20"/>
      <w:szCs w:val="20"/>
    </w:rPr>
  </w:style>
  <w:style w:type="character" w:customStyle="1" w:styleId="FootnoteTextChar">
    <w:name w:val="Footnote Text Char"/>
    <w:basedOn w:val="DefaultParagraphFont"/>
    <w:link w:val="FootnoteText"/>
    <w:uiPriority w:val="99"/>
    <w:semiHidden/>
    <w:rsid w:val="004378C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4378C4"/>
    <w:rPr>
      <w:vertAlign w:val="superscript"/>
    </w:rPr>
  </w:style>
  <w:style w:type="paragraph" w:styleId="BodyText">
    <w:name w:val="Body Text"/>
    <w:basedOn w:val="Normal"/>
    <w:link w:val="BodyTextChar"/>
    <w:semiHidden/>
    <w:rsid w:val="00893BB1"/>
    <w:pPr>
      <w:jc w:val="center"/>
    </w:pPr>
    <w:rPr>
      <w:rFonts w:ascii="Courier New" w:hAnsi="Courier New"/>
      <w:szCs w:val="20"/>
    </w:rPr>
  </w:style>
  <w:style w:type="character" w:customStyle="1" w:styleId="BodyTextChar">
    <w:name w:val="Body Text Char"/>
    <w:basedOn w:val="DefaultParagraphFont"/>
    <w:link w:val="BodyText"/>
    <w:semiHidden/>
    <w:rsid w:val="00893BB1"/>
    <w:rPr>
      <w:rFonts w:ascii="Courier New" w:eastAsia="Times New Roman" w:hAnsi="Courier New" w:cs="Times New Roman"/>
      <w:sz w:val="24"/>
      <w:szCs w:val="20"/>
      <w:lang w:val="en-US"/>
    </w:rPr>
  </w:style>
  <w:style w:type="paragraph" w:styleId="Header">
    <w:name w:val="header"/>
    <w:basedOn w:val="Normal"/>
    <w:link w:val="HeaderChar"/>
    <w:uiPriority w:val="99"/>
    <w:unhideWhenUsed/>
    <w:rsid w:val="00714A44"/>
    <w:pPr>
      <w:tabs>
        <w:tab w:val="center" w:pos="4680"/>
        <w:tab w:val="right" w:pos="9360"/>
      </w:tabs>
    </w:pPr>
  </w:style>
  <w:style w:type="character" w:customStyle="1" w:styleId="HeaderChar">
    <w:name w:val="Header Char"/>
    <w:basedOn w:val="DefaultParagraphFont"/>
    <w:link w:val="Header"/>
    <w:uiPriority w:val="99"/>
    <w:rsid w:val="00714A4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14A44"/>
    <w:pPr>
      <w:tabs>
        <w:tab w:val="center" w:pos="4680"/>
        <w:tab w:val="right" w:pos="9360"/>
      </w:tabs>
    </w:pPr>
  </w:style>
  <w:style w:type="character" w:customStyle="1" w:styleId="FooterChar">
    <w:name w:val="Footer Char"/>
    <w:basedOn w:val="DefaultParagraphFont"/>
    <w:link w:val="Footer"/>
    <w:uiPriority w:val="99"/>
    <w:rsid w:val="00714A4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4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D7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D1FF-C65A-42EE-A647-14F3F7D4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2022-11-04T10:50:00Z</cp:lastPrinted>
  <dcterms:created xsi:type="dcterms:W3CDTF">2022-11-18T09:14:00Z</dcterms:created>
  <dcterms:modified xsi:type="dcterms:W3CDTF">2022-11-18T09:14:00Z</dcterms:modified>
</cp:coreProperties>
</file>