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5B9F" w14:textId="1C075ACE" w:rsidR="000F1FEB" w:rsidRPr="00715CD4" w:rsidRDefault="000F1FEB" w:rsidP="00715CD4">
      <w:pPr>
        <w:pStyle w:val="NoSpacing"/>
      </w:pPr>
      <w:bookmarkStart w:id="0" w:name="_GoBack"/>
      <w:bookmarkEnd w:id="0"/>
      <w:r w:rsidRPr="00715CD4">
        <w:t xml:space="preserve">BRODRICK MUNJARI </w:t>
      </w:r>
    </w:p>
    <w:p w14:paraId="24093CE3" w14:textId="36D28A13" w:rsidR="000F1FEB" w:rsidRPr="00715CD4" w:rsidRDefault="00715CD4" w:rsidP="00715CD4">
      <w:pPr>
        <w:pStyle w:val="NoSpacing"/>
      </w:pPr>
      <w:r w:rsidRPr="00715CD4">
        <w:t>versus</w:t>
      </w:r>
    </w:p>
    <w:p w14:paraId="1BD67173" w14:textId="4607D6EA" w:rsidR="000F1FEB" w:rsidRPr="00715CD4" w:rsidRDefault="000F1FEB" w:rsidP="00715CD4">
      <w:pPr>
        <w:pStyle w:val="NoSpacing"/>
      </w:pPr>
      <w:r w:rsidRPr="00715CD4">
        <w:t xml:space="preserve">DIDYMUS NYAUMWE </w:t>
      </w:r>
    </w:p>
    <w:p w14:paraId="1C0351E8" w14:textId="72C7E930" w:rsidR="000F1FEB" w:rsidRPr="00715CD4" w:rsidRDefault="00715CD4" w:rsidP="00715CD4">
      <w:pPr>
        <w:pStyle w:val="NoSpacing"/>
      </w:pPr>
      <w:r w:rsidRPr="00715CD4">
        <w:t xml:space="preserve">and </w:t>
      </w:r>
    </w:p>
    <w:p w14:paraId="678257C2" w14:textId="593E6C27" w:rsidR="000F1FEB" w:rsidRPr="00715CD4" w:rsidRDefault="000F1FEB" w:rsidP="00715CD4">
      <w:pPr>
        <w:pStyle w:val="NoSpacing"/>
      </w:pPr>
      <w:r w:rsidRPr="00715CD4">
        <w:t xml:space="preserve">INNOCENT DZVIFU </w:t>
      </w:r>
    </w:p>
    <w:p w14:paraId="4F82B0CF" w14:textId="77777777" w:rsidR="000F1FEB" w:rsidRDefault="000F1FEB" w:rsidP="00715CD4">
      <w:pPr>
        <w:pStyle w:val="NoSpacing"/>
      </w:pPr>
    </w:p>
    <w:p w14:paraId="7D910530" w14:textId="77777777" w:rsidR="00715CD4" w:rsidRPr="00715CD4" w:rsidRDefault="00715CD4" w:rsidP="00715CD4">
      <w:pPr>
        <w:pStyle w:val="NoSpacing"/>
      </w:pPr>
    </w:p>
    <w:p w14:paraId="63C5E6F0" w14:textId="3D5531D1" w:rsidR="000F1FEB" w:rsidRPr="00715CD4" w:rsidRDefault="000F1FEB" w:rsidP="00715CD4">
      <w:pPr>
        <w:pStyle w:val="NoSpacing"/>
      </w:pPr>
      <w:r w:rsidRPr="00715CD4">
        <w:t>THE HIGH COURT OF ZIMBABWE</w:t>
      </w:r>
    </w:p>
    <w:p w14:paraId="3A397B0D" w14:textId="77F61130" w:rsidR="000F1FEB" w:rsidRPr="00715CD4" w:rsidRDefault="000F1FEB" w:rsidP="00715CD4">
      <w:pPr>
        <w:pStyle w:val="NoSpacing"/>
        <w:rPr>
          <w:b/>
          <w:bCs/>
        </w:rPr>
      </w:pPr>
      <w:r w:rsidRPr="00715CD4">
        <w:rPr>
          <w:b/>
          <w:bCs/>
        </w:rPr>
        <w:t>DUBE-BANDA J</w:t>
      </w:r>
    </w:p>
    <w:p w14:paraId="4A3270D9" w14:textId="1CB2333C" w:rsidR="000F1FEB" w:rsidRPr="00715CD4" w:rsidRDefault="000F1FEB" w:rsidP="00715CD4">
      <w:pPr>
        <w:pStyle w:val="NoSpacing"/>
      </w:pPr>
      <w:r w:rsidRPr="00715CD4">
        <w:t xml:space="preserve">HARARE </w:t>
      </w:r>
      <w:r w:rsidR="00466AE9" w:rsidRPr="00715CD4">
        <w:t>18 February 20</w:t>
      </w:r>
      <w:r w:rsidR="003F14AE">
        <w:t>2</w:t>
      </w:r>
      <w:r w:rsidR="00466AE9" w:rsidRPr="00715CD4">
        <w:t xml:space="preserve">5 &amp; </w:t>
      </w:r>
      <w:r w:rsidR="0021453B">
        <w:t>10</w:t>
      </w:r>
      <w:r w:rsidR="000A646E" w:rsidRPr="00715CD4">
        <w:t xml:space="preserve"> June 2025</w:t>
      </w:r>
    </w:p>
    <w:p w14:paraId="0C20077B" w14:textId="77777777" w:rsidR="000F1FEB" w:rsidRDefault="000F1FEB" w:rsidP="00715CD4">
      <w:pPr>
        <w:pStyle w:val="NoSpacing"/>
      </w:pPr>
    </w:p>
    <w:p w14:paraId="22582385" w14:textId="77777777" w:rsidR="00715CD4" w:rsidRPr="00715CD4" w:rsidRDefault="00715CD4" w:rsidP="00715CD4">
      <w:pPr>
        <w:pStyle w:val="NoSpacing"/>
      </w:pPr>
    </w:p>
    <w:p w14:paraId="43CBBA92" w14:textId="7D2558A4" w:rsidR="000F1FEB" w:rsidRPr="00715CD4" w:rsidRDefault="000F1FEB" w:rsidP="00715CD4">
      <w:pPr>
        <w:pStyle w:val="NoSpacing"/>
        <w:rPr>
          <w:b/>
          <w:bCs/>
        </w:rPr>
      </w:pPr>
      <w:r w:rsidRPr="00715CD4">
        <w:rPr>
          <w:b/>
          <w:bCs/>
        </w:rPr>
        <w:t xml:space="preserve">Application for an interdict </w:t>
      </w:r>
    </w:p>
    <w:p w14:paraId="79C1586A" w14:textId="77777777" w:rsidR="000F1FEB" w:rsidRDefault="000F1FEB" w:rsidP="00715CD4">
      <w:pPr>
        <w:pStyle w:val="NoSpacing"/>
      </w:pPr>
    </w:p>
    <w:p w14:paraId="3F374C3A" w14:textId="77777777" w:rsidR="00E5414C" w:rsidRPr="00715CD4" w:rsidRDefault="00E5414C" w:rsidP="00715CD4">
      <w:pPr>
        <w:pStyle w:val="NoSpacing"/>
      </w:pPr>
    </w:p>
    <w:p w14:paraId="0969D17F" w14:textId="74A2ADA8" w:rsidR="000F1FEB" w:rsidRPr="00715CD4" w:rsidRDefault="000F1FEB" w:rsidP="00715CD4">
      <w:pPr>
        <w:pStyle w:val="NoSpacing"/>
      </w:pPr>
      <w:r w:rsidRPr="00715CD4">
        <w:rPr>
          <w:i/>
          <w:iCs/>
        </w:rPr>
        <w:t>T Mabulala</w:t>
      </w:r>
      <w:r w:rsidR="00715CD4" w:rsidRPr="00715CD4">
        <w:rPr>
          <w:i/>
          <w:iCs/>
        </w:rPr>
        <w:t>,</w:t>
      </w:r>
      <w:r w:rsidRPr="00715CD4">
        <w:t xml:space="preserve"> for the applicant</w:t>
      </w:r>
    </w:p>
    <w:p w14:paraId="3B96B9B2" w14:textId="21EA7843" w:rsidR="000F1FEB" w:rsidRPr="00715CD4" w:rsidRDefault="000F1FEB" w:rsidP="00715CD4">
      <w:pPr>
        <w:pStyle w:val="NoSpacing"/>
      </w:pPr>
      <w:r w:rsidRPr="00715CD4">
        <w:t>Ms</w:t>
      </w:r>
      <w:r w:rsidR="00715CD4" w:rsidRPr="00715CD4">
        <w:rPr>
          <w:i/>
          <w:iCs/>
        </w:rPr>
        <w:t xml:space="preserve"> </w:t>
      </w:r>
      <w:r w:rsidRPr="00715CD4">
        <w:rPr>
          <w:i/>
          <w:iCs/>
        </w:rPr>
        <w:t>M Sachikonye</w:t>
      </w:r>
      <w:r w:rsidR="00715CD4" w:rsidRPr="00715CD4">
        <w:rPr>
          <w:i/>
          <w:iCs/>
        </w:rPr>
        <w:t>,</w:t>
      </w:r>
      <w:r w:rsidR="00715CD4">
        <w:t xml:space="preserve"> </w:t>
      </w:r>
      <w:r w:rsidRPr="00715CD4">
        <w:t>for the respondents</w:t>
      </w:r>
    </w:p>
    <w:p w14:paraId="6CA00F74" w14:textId="77777777" w:rsidR="000F1FEB" w:rsidRPr="00715CD4" w:rsidRDefault="000F1FEB" w:rsidP="00715CD4">
      <w:pPr>
        <w:pStyle w:val="NoSpacing"/>
      </w:pPr>
    </w:p>
    <w:p w14:paraId="22FC7C59" w14:textId="4B3B3859" w:rsidR="00E96F34" w:rsidRPr="00A87467" w:rsidRDefault="000F1FEB" w:rsidP="00E96F34">
      <w:pPr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874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DUBE-BANDA J: </w:t>
      </w:r>
    </w:p>
    <w:p w14:paraId="6B902EFF" w14:textId="3D62043D" w:rsidR="00E96F34" w:rsidRDefault="00E96F34" w:rsidP="00E96F3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6F34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an application for an interdict, in which the applicant seeks an order couched in the following terms: </w:t>
      </w:r>
    </w:p>
    <w:p w14:paraId="43143A66" w14:textId="72FD7397" w:rsidR="00E96F34" w:rsidRDefault="00817FE6" w:rsidP="009104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5A29">
        <w:rPr>
          <w:rFonts w:ascii="Times New Roman" w:hAnsi="Times New Roman" w:cs="Times New Roman"/>
          <w:sz w:val="24"/>
          <w:szCs w:val="24"/>
          <w:lang w:val="en-US"/>
        </w:rPr>
        <w:t xml:space="preserve">The respondents be and are hereby interdicted from disturbing the applicant’s </w:t>
      </w:r>
      <w:r w:rsidR="00054477" w:rsidRPr="00945A29">
        <w:rPr>
          <w:rFonts w:ascii="Times New Roman" w:hAnsi="Times New Roman" w:cs="Times New Roman"/>
          <w:sz w:val="24"/>
          <w:szCs w:val="24"/>
          <w:lang w:val="en-US"/>
        </w:rPr>
        <w:t xml:space="preserve">peaceful </w:t>
      </w:r>
      <w:r w:rsidR="000566A3" w:rsidRPr="00945A29">
        <w:rPr>
          <w:rFonts w:ascii="Times New Roman" w:hAnsi="Times New Roman" w:cs="Times New Roman"/>
          <w:sz w:val="24"/>
          <w:szCs w:val="24"/>
          <w:lang w:val="en-US"/>
        </w:rPr>
        <w:t xml:space="preserve">possession and use of subdivision 4 of Lot </w:t>
      </w:r>
      <w:r w:rsidR="00945A29" w:rsidRPr="00945A2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536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45A29" w:rsidRPr="00945A29">
        <w:rPr>
          <w:rFonts w:ascii="Times New Roman" w:hAnsi="Times New Roman" w:cs="Times New Roman"/>
          <w:sz w:val="24"/>
          <w:szCs w:val="24"/>
          <w:lang w:val="en-US"/>
        </w:rPr>
        <w:t xml:space="preserve"> AB of Middle Sabi, Chipinge District.</w:t>
      </w:r>
    </w:p>
    <w:p w14:paraId="289E3FB9" w14:textId="77777777" w:rsidR="00EA4400" w:rsidRDefault="00BE429F" w:rsidP="009104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respondents shall not verbally, or physically </w:t>
      </w:r>
      <w:r w:rsidR="00D20FD0">
        <w:rPr>
          <w:rFonts w:ascii="Times New Roman" w:hAnsi="Times New Roman" w:cs="Times New Roman"/>
          <w:sz w:val="24"/>
          <w:szCs w:val="24"/>
          <w:lang w:val="en-US"/>
        </w:rPr>
        <w:t xml:space="preserve">threaten to assault, kill or prevent the applicant, his family, his </w:t>
      </w:r>
      <w:r w:rsidR="00AA51A3">
        <w:rPr>
          <w:rFonts w:ascii="Times New Roman" w:hAnsi="Times New Roman" w:cs="Times New Roman"/>
          <w:sz w:val="24"/>
          <w:szCs w:val="24"/>
          <w:lang w:val="en-US"/>
        </w:rPr>
        <w:t xml:space="preserve">workers, contractors or agents from carrying out any farming </w:t>
      </w:r>
      <w:r w:rsidR="00EA4400">
        <w:rPr>
          <w:rFonts w:ascii="Times New Roman" w:hAnsi="Times New Roman" w:cs="Times New Roman"/>
          <w:sz w:val="24"/>
          <w:szCs w:val="24"/>
          <w:lang w:val="en-US"/>
        </w:rPr>
        <w:t xml:space="preserve">activities on </w:t>
      </w:r>
      <w:r w:rsidR="00EA4400" w:rsidRPr="00945A29">
        <w:rPr>
          <w:rFonts w:ascii="Times New Roman" w:hAnsi="Times New Roman" w:cs="Times New Roman"/>
          <w:sz w:val="24"/>
          <w:szCs w:val="24"/>
          <w:lang w:val="en-US"/>
        </w:rPr>
        <w:t>subdivision 4 of Lot 3B AB of Middle Sabi, Chipinge District.</w:t>
      </w:r>
    </w:p>
    <w:p w14:paraId="65768E11" w14:textId="2C3BB234" w:rsidR="0079536F" w:rsidRDefault="00EA4400" w:rsidP="009104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respondents shall </w:t>
      </w:r>
      <w:r w:rsidR="00AF5D38">
        <w:rPr>
          <w:rFonts w:ascii="Times New Roman" w:hAnsi="Times New Roman" w:cs="Times New Roman"/>
          <w:sz w:val="24"/>
          <w:szCs w:val="24"/>
          <w:lang w:val="en-US"/>
        </w:rPr>
        <w:t xml:space="preserve">pay the costs of this application jointly and severally, the one paying the other to be absolved. </w:t>
      </w:r>
    </w:p>
    <w:p w14:paraId="20A24E81" w14:textId="777ACEF2" w:rsidR="00DE7CA4" w:rsidRDefault="009705FF" w:rsidP="006C3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CA4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CA4">
        <w:rPr>
          <w:rFonts w:ascii="Times New Roman" w:hAnsi="Times New Roman" w:cs="Times New Roman"/>
          <w:sz w:val="24"/>
          <w:szCs w:val="24"/>
          <w:lang w:val="en-US"/>
        </w:rPr>
        <w:t>The dispute in this matter turns o</w:t>
      </w:r>
      <w:r w:rsidR="00DE7CA4" w:rsidRPr="00DE7CA4">
        <w:rPr>
          <w:rFonts w:ascii="Times New Roman" w:hAnsi="Times New Roman" w:cs="Times New Roman"/>
          <w:sz w:val="24"/>
          <w:szCs w:val="24"/>
          <w:lang w:val="en-US"/>
        </w:rPr>
        <w:t>n subdivision 4 of Lot 34 AB of Middle Sabi, Chipinge District</w:t>
      </w:r>
      <w:r w:rsidR="00CD625B">
        <w:rPr>
          <w:rFonts w:ascii="Times New Roman" w:hAnsi="Times New Roman" w:cs="Times New Roman"/>
          <w:sz w:val="24"/>
          <w:szCs w:val="24"/>
          <w:lang w:val="en-US"/>
        </w:rPr>
        <w:t xml:space="preserve"> (“the farm”)</w:t>
      </w:r>
      <w:r w:rsidR="00DE7CA4" w:rsidRPr="00DE7C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8A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7561">
        <w:rPr>
          <w:rFonts w:ascii="Times New Roman" w:hAnsi="Times New Roman" w:cs="Times New Roman"/>
          <w:sz w:val="24"/>
          <w:szCs w:val="24"/>
          <w:lang w:val="en-US"/>
        </w:rPr>
        <w:t xml:space="preserve">applicant was on 28 April 2008 offered the farm </w:t>
      </w:r>
      <w:r w:rsidR="00BA3C10">
        <w:rPr>
          <w:rFonts w:ascii="Times New Roman" w:hAnsi="Times New Roman" w:cs="Times New Roman"/>
          <w:sz w:val="24"/>
          <w:szCs w:val="24"/>
          <w:lang w:val="en-US"/>
        </w:rPr>
        <w:t>under the land Reform and Resettlement Programme</w:t>
      </w:r>
      <w:r w:rsidR="00E34B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92E7F">
        <w:rPr>
          <w:rFonts w:ascii="Times New Roman" w:hAnsi="Times New Roman" w:cs="Times New Roman"/>
          <w:sz w:val="24"/>
          <w:szCs w:val="24"/>
          <w:lang w:val="en-US"/>
        </w:rPr>
        <w:t>The same farm had</w:t>
      </w:r>
      <w:r w:rsidR="009F396B">
        <w:rPr>
          <w:rFonts w:ascii="Times New Roman" w:hAnsi="Times New Roman" w:cs="Times New Roman"/>
          <w:sz w:val="24"/>
          <w:szCs w:val="24"/>
          <w:lang w:val="en-US"/>
        </w:rPr>
        <w:t xml:space="preserve"> on 3 February 2005</w:t>
      </w:r>
      <w:r w:rsidR="008020EC">
        <w:rPr>
          <w:rFonts w:ascii="Times New Roman" w:hAnsi="Times New Roman" w:cs="Times New Roman"/>
          <w:sz w:val="24"/>
          <w:szCs w:val="24"/>
          <w:lang w:val="en-US"/>
        </w:rPr>
        <w:t xml:space="preserve">, under the same programme </w:t>
      </w:r>
      <w:r w:rsidR="00711CEC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9F396B">
        <w:rPr>
          <w:rFonts w:ascii="Times New Roman" w:hAnsi="Times New Roman" w:cs="Times New Roman"/>
          <w:sz w:val="24"/>
          <w:szCs w:val="24"/>
          <w:lang w:val="en-US"/>
        </w:rPr>
        <w:t xml:space="preserve"> offered to one Jesca D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>zv</w:t>
      </w:r>
      <w:r w:rsidR="009F39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20EC">
        <w:rPr>
          <w:rFonts w:ascii="Times New Roman" w:hAnsi="Times New Roman" w:cs="Times New Roman"/>
          <w:sz w:val="24"/>
          <w:szCs w:val="24"/>
          <w:lang w:val="en-US"/>
        </w:rPr>
        <w:t xml:space="preserve">fu. </w:t>
      </w:r>
      <w:r w:rsidR="00711CEC">
        <w:rPr>
          <w:rFonts w:ascii="Times New Roman" w:hAnsi="Times New Roman" w:cs="Times New Roman"/>
          <w:sz w:val="24"/>
          <w:szCs w:val="24"/>
          <w:lang w:val="en-US"/>
        </w:rPr>
        <w:t>Both the applicant and Jesca Dz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1CEC">
        <w:rPr>
          <w:rFonts w:ascii="Times New Roman" w:hAnsi="Times New Roman" w:cs="Times New Roman"/>
          <w:sz w:val="24"/>
          <w:szCs w:val="24"/>
          <w:lang w:val="en-US"/>
        </w:rPr>
        <w:t xml:space="preserve">ifu </w:t>
      </w:r>
      <w:r w:rsidR="00FB6923">
        <w:rPr>
          <w:rFonts w:ascii="Times New Roman" w:hAnsi="Times New Roman" w:cs="Times New Roman"/>
          <w:sz w:val="24"/>
          <w:szCs w:val="24"/>
          <w:lang w:val="en-US"/>
        </w:rPr>
        <w:t xml:space="preserve">are in possession of offer letters in respect of the farm. </w:t>
      </w:r>
      <w:r w:rsidR="005B3D95">
        <w:rPr>
          <w:rFonts w:ascii="Times New Roman" w:hAnsi="Times New Roman" w:cs="Times New Roman"/>
          <w:sz w:val="24"/>
          <w:szCs w:val="24"/>
          <w:lang w:val="en-US"/>
        </w:rPr>
        <w:t xml:space="preserve">The second respondent, whose correct name is </w:t>
      </w:r>
      <w:r w:rsidR="003F2385">
        <w:rPr>
          <w:rFonts w:ascii="Times New Roman" w:hAnsi="Times New Roman" w:cs="Times New Roman"/>
          <w:sz w:val="24"/>
          <w:szCs w:val="24"/>
          <w:lang w:val="en-US"/>
        </w:rPr>
        <w:t>Austin Dz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F2385">
        <w:rPr>
          <w:rFonts w:ascii="Times New Roman" w:hAnsi="Times New Roman" w:cs="Times New Roman"/>
          <w:sz w:val="24"/>
          <w:szCs w:val="24"/>
          <w:lang w:val="en-US"/>
        </w:rPr>
        <w:t xml:space="preserve">ifu, </w:t>
      </w:r>
      <w:r w:rsidR="006758D5">
        <w:rPr>
          <w:rFonts w:ascii="Times New Roman" w:hAnsi="Times New Roman" w:cs="Times New Roman"/>
          <w:sz w:val="24"/>
          <w:szCs w:val="24"/>
          <w:lang w:val="en-US"/>
        </w:rPr>
        <w:t>is said to be managing the farm on behalf o</w:t>
      </w:r>
      <w:r w:rsidR="0088005E">
        <w:rPr>
          <w:rFonts w:ascii="Times New Roman" w:hAnsi="Times New Roman" w:cs="Times New Roman"/>
          <w:sz w:val="24"/>
          <w:szCs w:val="24"/>
          <w:lang w:val="en-US"/>
        </w:rPr>
        <w:t>f his sister Jesca Dz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8005E">
        <w:rPr>
          <w:rFonts w:ascii="Times New Roman" w:hAnsi="Times New Roman" w:cs="Times New Roman"/>
          <w:sz w:val="24"/>
          <w:szCs w:val="24"/>
          <w:lang w:val="en-US"/>
        </w:rPr>
        <w:t xml:space="preserve">ifu. </w:t>
      </w:r>
      <w:r w:rsidR="00F72A5E">
        <w:rPr>
          <w:rFonts w:ascii="Times New Roman" w:hAnsi="Times New Roman" w:cs="Times New Roman"/>
          <w:sz w:val="24"/>
          <w:szCs w:val="24"/>
          <w:lang w:val="en-US"/>
        </w:rPr>
        <w:t xml:space="preserve">There is a contestation </w:t>
      </w:r>
      <w:r w:rsidR="00B32A29">
        <w:rPr>
          <w:rFonts w:ascii="Times New Roman" w:hAnsi="Times New Roman" w:cs="Times New Roman"/>
          <w:sz w:val="24"/>
          <w:szCs w:val="24"/>
          <w:lang w:val="en-US"/>
        </w:rPr>
        <w:t xml:space="preserve">about the ownership and possession of the farm, and the applicant, through </w:t>
      </w:r>
      <w:r w:rsidR="00E502AA">
        <w:rPr>
          <w:rFonts w:ascii="Times New Roman" w:hAnsi="Times New Roman" w:cs="Times New Roman"/>
          <w:sz w:val="24"/>
          <w:szCs w:val="24"/>
          <w:lang w:val="en-US"/>
        </w:rPr>
        <w:t>this application</w:t>
      </w:r>
      <w:r w:rsidR="00B32A29">
        <w:rPr>
          <w:rFonts w:ascii="Times New Roman" w:hAnsi="Times New Roman" w:cs="Times New Roman"/>
          <w:sz w:val="24"/>
          <w:szCs w:val="24"/>
          <w:lang w:val="en-US"/>
        </w:rPr>
        <w:t xml:space="preserve"> seeks to elbow out</w:t>
      </w:r>
      <w:r w:rsidR="00E50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02AA">
        <w:rPr>
          <w:rFonts w:ascii="Times New Roman" w:hAnsi="Times New Roman" w:cs="Times New Roman"/>
          <w:sz w:val="24"/>
          <w:szCs w:val="24"/>
          <w:lang w:val="en-US"/>
        </w:rPr>
        <w:t xml:space="preserve">other party from the farm. </w:t>
      </w:r>
    </w:p>
    <w:p w14:paraId="716CCD71" w14:textId="407584F7" w:rsidR="00146F00" w:rsidRDefault="006C37FB" w:rsidP="006C3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[3] 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02A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C756A">
        <w:rPr>
          <w:rFonts w:ascii="Times New Roman" w:hAnsi="Times New Roman" w:cs="Times New Roman"/>
          <w:sz w:val="24"/>
          <w:szCs w:val="24"/>
          <w:lang w:val="en-US"/>
        </w:rPr>
        <w:t xml:space="preserve">his opposing affidavit, the first respondent took </w:t>
      </w:r>
      <w:r w:rsidR="00695AC2">
        <w:rPr>
          <w:rFonts w:ascii="Times New Roman" w:hAnsi="Times New Roman" w:cs="Times New Roman"/>
          <w:sz w:val="24"/>
          <w:szCs w:val="24"/>
          <w:lang w:val="en-US"/>
        </w:rPr>
        <w:t xml:space="preserve">six points </w:t>
      </w:r>
      <w:r w:rsidR="00695AC2" w:rsidRPr="0063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631F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1FEC" w:rsidRPr="0063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viz</w:t>
      </w:r>
      <w:r w:rsidR="00631FE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27F2E">
        <w:rPr>
          <w:rFonts w:ascii="Times New Roman" w:hAnsi="Times New Roman" w:cs="Times New Roman"/>
          <w:sz w:val="24"/>
          <w:szCs w:val="24"/>
          <w:lang w:val="en-US"/>
        </w:rPr>
        <w:t>wrong citation of a party</w:t>
      </w:r>
      <w:r w:rsidR="00805019">
        <w:rPr>
          <w:rFonts w:ascii="Times New Roman" w:hAnsi="Times New Roman" w:cs="Times New Roman"/>
          <w:sz w:val="24"/>
          <w:szCs w:val="24"/>
          <w:lang w:val="en-US"/>
        </w:rPr>
        <w:t xml:space="preserve">; material dispute of facts; clear right not established; </w:t>
      </w:r>
      <w:r w:rsidR="002E627E">
        <w:rPr>
          <w:rFonts w:ascii="Times New Roman" w:hAnsi="Times New Roman" w:cs="Times New Roman"/>
          <w:sz w:val="24"/>
          <w:szCs w:val="24"/>
          <w:lang w:val="en-US"/>
        </w:rPr>
        <w:t xml:space="preserve">absence of a </w:t>
      </w:r>
      <w:r w:rsidR="004F3432">
        <w:rPr>
          <w:rFonts w:ascii="Times New Roman" w:hAnsi="Times New Roman" w:cs="Times New Roman"/>
          <w:sz w:val="24"/>
          <w:szCs w:val="24"/>
          <w:lang w:val="en-US"/>
        </w:rPr>
        <w:t>well-grounded</w:t>
      </w:r>
      <w:r w:rsidR="002E627E">
        <w:rPr>
          <w:rFonts w:ascii="Times New Roman" w:hAnsi="Times New Roman" w:cs="Times New Roman"/>
          <w:sz w:val="24"/>
          <w:szCs w:val="24"/>
          <w:lang w:val="en-US"/>
        </w:rPr>
        <w:t xml:space="preserve"> apprehension of irreparable harm</w:t>
      </w:r>
      <w:r w:rsidR="009B18F0">
        <w:rPr>
          <w:rFonts w:ascii="Times New Roman" w:hAnsi="Times New Roman" w:cs="Times New Roman"/>
          <w:sz w:val="24"/>
          <w:szCs w:val="24"/>
          <w:lang w:val="en-US"/>
        </w:rPr>
        <w:t>; availability of an alternative remedy</w:t>
      </w:r>
      <w:r w:rsidR="004F3432">
        <w:rPr>
          <w:rFonts w:ascii="Times New Roman" w:hAnsi="Times New Roman" w:cs="Times New Roman"/>
          <w:sz w:val="24"/>
          <w:szCs w:val="24"/>
          <w:lang w:val="en-US"/>
        </w:rPr>
        <w:t xml:space="preserve">, and that this matter has been brought to the wrong court. </w:t>
      </w:r>
    </w:p>
    <w:p w14:paraId="6EA21D31" w14:textId="1A260AB5" w:rsidR="00146F00" w:rsidRDefault="00146F00" w:rsidP="006C3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[4] 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2489">
        <w:rPr>
          <w:rFonts w:ascii="Times New Roman" w:hAnsi="Times New Roman" w:cs="Times New Roman"/>
          <w:sz w:val="24"/>
          <w:szCs w:val="24"/>
          <w:lang w:val="en-US"/>
        </w:rPr>
        <w:t xml:space="preserve">At the commencement of the hearing, </w:t>
      </w:r>
      <w:r w:rsidR="00ED25F3">
        <w:rPr>
          <w:rFonts w:ascii="Times New Roman" w:hAnsi="Times New Roman" w:cs="Times New Roman"/>
          <w:sz w:val="24"/>
          <w:szCs w:val="24"/>
          <w:lang w:val="en-US"/>
        </w:rPr>
        <w:t xml:space="preserve">Mr </w:t>
      </w:r>
      <w:r w:rsidR="00ED25F3" w:rsidRPr="00ED25F3">
        <w:rPr>
          <w:rFonts w:ascii="Times New Roman" w:hAnsi="Times New Roman" w:cs="Times New Roman"/>
          <w:i/>
          <w:sz w:val="24"/>
          <w:szCs w:val="24"/>
        </w:rPr>
        <w:t>Sachikonye</w:t>
      </w:r>
      <w:r w:rsidR="00ED25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5F3">
        <w:rPr>
          <w:rFonts w:ascii="Times New Roman" w:hAnsi="Times New Roman" w:cs="Times New Roman"/>
          <w:iCs/>
          <w:sz w:val="24"/>
          <w:szCs w:val="24"/>
        </w:rPr>
        <w:t xml:space="preserve">counsel for the </w:t>
      </w:r>
      <w:r w:rsidR="004F75E8">
        <w:rPr>
          <w:rFonts w:ascii="Times New Roman" w:hAnsi="Times New Roman" w:cs="Times New Roman"/>
          <w:iCs/>
          <w:sz w:val="24"/>
          <w:szCs w:val="24"/>
        </w:rPr>
        <w:t xml:space="preserve">respondent abandoned the following as points </w:t>
      </w:r>
      <w:r w:rsidR="004F75E8" w:rsidRPr="003E27C4">
        <w:rPr>
          <w:rFonts w:ascii="Times New Roman" w:hAnsi="Times New Roman" w:cs="Times New Roman"/>
          <w:i/>
          <w:sz w:val="24"/>
          <w:szCs w:val="24"/>
        </w:rPr>
        <w:t>in limine</w:t>
      </w:r>
      <w:r w:rsidR="003E27C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F75E8">
        <w:rPr>
          <w:rFonts w:ascii="Times New Roman" w:hAnsi="Times New Roman" w:cs="Times New Roman"/>
          <w:sz w:val="24"/>
          <w:szCs w:val="24"/>
          <w:lang w:val="en-US"/>
        </w:rPr>
        <w:t xml:space="preserve">clear right not established; absence of a well-grounded apprehension of irreparable harm; </w:t>
      </w:r>
      <w:r w:rsidR="003E27C4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4F75E8">
        <w:rPr>
          <w:rFonts w:ascii="Times New Roman" w:hAnsi="Times New Roman" w:cs="Times New Roman"/>
          <w:sz w:val="24"/>
          <w:szCs w:val="24"/>
          <w:lang w:val="en-US"/>
        </w:rPr>
        <w:t>availability of an alternative remedy</w:t>
      </w:r>
      <w:r w:rsidR="003E27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2153">
        <w:rPr>
          <w:rFonts w:ascii="Times New Roman" w:hAnsi="Times New Roman" w:cs="Times New Roman"/>
          <w:sz w:val="24"/>
          <w:szCs w:val="24"/>
          <w:lang w:val="en-US"/>
        </w:rPr>
        <w:t>In the first instance t</w:t>
      </w:r>
      <w:r w:rsidR="00256882">
        <w:rPr>
          <w:rFonts w:ascii="Times New Roman" w:hAnsi="Times New Roman" w:cs="Times New Roman"/>
          <w:sz w:val="24"/>
          <w:szCs w:val="24"/>
          <w:lang w:val="en-US"/>
        </w:rPr>
        <w:t xml:space="preserve">hese did not qualify </w:t>
      </w:r>
      <w:r w:rsidR="00DD2153">
        <w:rPr>
          <w:rFonts w:ascii="Times New Roman" w:hAnsi="Times New Roman" w:cs="Times New Roman"/>
          <w:sz w:val="24"/>
          <w:szCs w:val="24"/>
          <w:lang w:val="en-US"/>
        </w:rPr>
        <w:t xml:space="preserve">to be points </w:t>
      </w:r>
      <w:r w:rsidR="00DD2153" w:rsidRPr="00DD2153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</w:t>
      </w:r>
      <w:r w:rsidR="00DD21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e, </w:t>
      </w:r>
      <w:r w:rsidR="00A270FF">
        <w:rPr>
          <w:rFonts w:ascii="Times New Roman" w:hAnsi="Times New Roman" w:cs="Times New Roman"/>
          <w:sz w:val="24"/>
          <w:szCs w:val="24"/>
          <w:lang w:val="en-US"/>
        </w:rPr>
        <w:t xml:space="preserve">I say so because a point </w:t>
      </w:r>
      <w:r w:rsidR="00A270FF" w:rsidRPr="00A270FF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A270FF">
        <w:rPr>
          <w:rFonts w:ascii="Times New Roman" w:hAnsi="Times New Roman" w:cs="Times New Roman"/>
          <w:sz w:val="24"/>
          <w:szCs w:val="24"/>
          <w:lang w:val="en-US"/>
        </w:rPr>
        <w:t xml:space="preserve"> proper, </w:t>
      </w:r>
      <w:r w:rsidR="00296372">
        <w:rPr>
          <w:rFonts w:ascii="Times New Roman" w:hAnsi="Times New Roman" w:cs="Times New Roman"/>
          <w:sz w:val="24"/>
          <w:szCs w:val="24"/>
          <w:lang w:val="en-US"/>
        </w:rPr>
        <w:t xml:space="preserve">is a technical legal point, which, if </w:t>
      </w:r>
      <w:r w:rsidR="00636CD4">
        <w:rPr>
          <w:rFonts w:ascii="Times New Roman" w:hAnsi="Times New Roman" w:cs="Times New Roman"/>
          <w:sz w:val="24"/>
          <w:szCs w:val="24"/>
          <w:lang w:val="en-US"/>
        </w:rPr>
        <w:t>successful,</w:t>
      </w:r>
      <w:r w:rsidR="001410EC">
        <w:rPr>
          <w:rFonts w:ascii="Times New Roman" w:hAnsi="Times New Roman" w:cs="Times New Roman"/>
          <w:sz w:val="24"/>
          <w:szCs w:val="24"/>
          <w:lang w:val="en-US"/>
        </w:rPr>
        <w:t xml:space="preserve"> is dispositive of the matter prior to the consideration of the merits. </w:t>
      </w:r>
      <w:r w:rsidR="00636C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549F">
        <w:rPr>
          <w:rFonts w:ascii="Times New Roman" w:hAnsi="Times New Roman" w:cs="Times New Roman"/>
          <w:sz w:val="24"/>
          <w:szCs w:val="24"/>
          <w:lang w:val="en-US"/>
        </w:rPr>
        <w:t xml:space="preserve">se points taken by the respondent could not qualify as points </w:t>
      </w:r>
      <w:r w:rsidR="0047549F" w:rsidRPr="00B302C6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475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02C6">
        <w:rPr>
          <w:rFonts w:ascii="Times New Roman" w:hAnsi="Times New Roman" w:cs="Times New Roman"/>
          <w:sz w:val="24"/>
          <w:szCs w:val="24"/>
          <w:lang w:val="en-US"/>
        </w:rPr>
        <w:t xml:space="preserve">because their resolution required consideration of the merits of the case. </w:t>
      </w:r>
      <w:r w:rsidR="0005342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93E58">
        <w:rPr>
          <w:rFonts w:ascii="Times New Roman" w:hAnsi="Times New Roman" w:cs="Times New Roman"/>
          <w:sz w:val="24"/>
          <w:szCs w:val="24"/>
          <w:lang w:val="en-US"/>
        </w:rPr>
        <w:t xml:space="preserve">respect of the wrong citation </w:t>
      </w:r>
      <w:r w:rsidR="00852B2F">
        <w:rPr>
          <w:rFonts w:ascii="Times New Roman" w:hAnsi="Times New Roman" w:cs="Times New Roman"/>
          <w:sz w:val="24"/>
          <w:szCs w:val="24"/>
          <w:lang w:val="en-US"/>
        </w:rPr>
        <w:t>of party</w:t>
      </w:r>
      <w:r w:rsidR="00493E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2B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4428">
        <w:rPr>
          <w:rFonts w:ascii="Times New Roman" w:hAnsi="Times New Roman" w:cs="Times New Roman"/>
          <w:sz w:val="24"/>
          <w:szCs w:val="24"/>
          <w:lang w:val="en-US"/>
        </w:rPr>
        <w:t xml:space="preserve">the first respondent contends that </w:t>
      </w:r>
      <w:r w:rsidR="00EB24FE">
        <w:rPr>
          <w:rFonts w:ascii="Times New Roman" w:hAnsi="Times New Roman" w:cs="Times New Roman"/>
          <w:sz w:val="24"/>
          <w:szCs w:val="24"/>
          <w:lang w:val="en-US"/>
        </w:rPr>
        <w:t xml:space="preserve">he has his own plot and has no interest </w:t>
      </w:r>
      <w:r w:rsidR="00EA4989">
        <w:rPr>
          <w:rFonts w:ascii="Times New Roman" w:hAnsi="Times New Roman" w:cs="Times New Roman"/>
          <w:sz w:val="24"/>
          <w:szCs w:val="24"/>
          <w:lang w:val="en-US"/>
        </w:rPr>
        <w:t>in the farm at the center of the dispute. Again, this</w:t>
      </w:r>
      <w:r w:rsidR="00852B2F">
        <w:rPr>
          <w:rFonts w:ascii="Times New Roman" w:hAnsi="Times New Roman" w:cs="Times New Roman"/>
          <w:sz w:val="24"/>
          <w:szCs w:val="24"/>
          <w:lang w:val="en-US"/>
        </w:rPr>
        <w:t xml:space="preserve"> does not qualify as a point </w:t>
      </w:r>
      <w:r w:rsidR="00852B2F" w:rsidRPr="00EA49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</w:t>
      </w:r>
      <w:r w:rsidR="00F55BA8" w:rsidRPr="00EA4989">
        <w:rPr>
          <w:rFonts w:ascii="Times New Roman" w:hAnsi="Times New Roman" w:cs="Times New Roman"/>
          <w:i/>
          <w:iCs/>
          <w:sz w:val="24"/>
          <w:szCs w:val="24"/>
          <w:lang w:val="en-US"/>
        </w:rPr>
        <w:t>limine</w:t>
      </w:r>
      <w:r w:rsidR="00F55BA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A4989">
        <w:rPr>
          <w:rFonts w:ascii="Times New Roman" w:hAnsi="Times New Roman" w:cs="Times New Roman"/>
          <w:sz w:val="24"/>
          <w:szCs w:val="24"/>
          <w:lang w:val="en-US"/>
        </w:rPr>
        <w:t xml:space="preserve"> its resolution requires </w:t>
      </w:r>
      <w:r w:rsidR="00F55BA8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EA4989">
        <w:rPr>
          <w:rFonts w:ascii="Times New Roman" w:hAnsi="Times New Roman" w:cs="Times New Roman"/>
          <w:sz w:val="24"/>
          <w:szCs w:val="24"/>
          <w:lang w:val="en-US"/>
        </w:rPr>
        <w:t xml:space="preserve"> of the merits. </w:t>
      </w:r>
    </w:p>
    <w:p w14:paraId="5F7EACA0" w14:textId="0C8038D4" w:rsidR="00BC0B9E" w:rsidRDefault="00146F00" w:rsidP="006C3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[5]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BA8">
        <w:rPr>
          <w:rFonts w:ascii="Times New Roman" w:hAnsi="Times New Roman" w:cs="Times New Roman"/>
          <w:sz w:val="24"/>
          <w:szCs w:val="24"/>
          <w:lang w:val="en-US"/>
        </w:rPr>
        <w:t xml:space="preserve">Regarding the </w:t>
      </w:r>
      <w:r w:rsidR="00703801">
        <w:rPr>
          <w:rFonts w:ascii="Times New Roman" w:hAnsi="Times New Roman" w:cs="Times New Roman"/>
          <w:sz w:val="24"/>
          <w:szCs w:val="24"/>
          <w:lang w:val="en-US"/>
        </w:rPr>
        <w:t xml:space="preserve">point that there are material disputes of fact which cannot be resolved in motion proceedings, I take the view that </w:t>
      </w:r>
      <w:r w:rsidR="00D758D0">
        <w:rPr>
          <w:rFonts w:ascii="Times New Roman" w:hAnsi="Times New Roman" w:cs="Times New Roman"/>
          <w:sz w:val="24"/>
          <w:szCs w:val="24"/>
          <w:lang w:val="en-US"/>
        </w:rPr>
        <w:t xml:space="preserve">a robust and </w:t>
      </w:r>
      <w:r w:rsidR="00280B62">
        <w:rPr>
          <w:rFonts w:ascii="Times New Roman" w:hAnsi="Times New Roman" w:cs="Times New Roman"/>
          <w:sz w:val="24"/>
          <w:szCs w:val="24"/>
          <w:lang w:val="en-US"/>
        </w:rPr>
        <w:t>common-sense</w:t>
      </w:r>
      <w:r w:rsidR="00D758D0">
        <w:rPr>
          <w:rFonts w:ascii="Times New Roman" w:hAnsi="Times New Roman" w:cs="Times New Roman"/>
          <w:sz w:val="24"/>
          <w:szCs w:val="24"/>
          <w:lang w:val="en-US"/>
        </w:rPr>
        <w:t xml:space="preserve"> approach can lead to the resolution of this matter without causing </w:t>
      </w:r>
      <w:r>
        <w:rPr>
          <w:rFonts w:ascii="Times New Roman" w:hAnsi="Times New Roman" w:cs="Times New Roman"/>
          <w:sz w:val="24"/>
          <w:szCs w:val="24"/>
          <w:lang w:val="en-US"/>
        </w:rPr>
        <w:t>injustice</w:t>
      </w:r>
      <w:r w:rsidR="00280B62">
        <w:rPr>
          <w:rFonts w:ascii="Times New Roman" w:hAnsi="Times New Roman" w:cs="Times New Roman"/>
          <w:sz w:val="24"/>
          <w:szCs w:val="24"/>
          <w:lang w:val="en-US"/>
        </w:rPr>
        <w:t xml:space="preserve"> to either of the litigants. This point </w:t>
      </w:r>
      <w:r w:rsidR="00280B62" w:rsidRPr="00280B62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280B62">
        <w:rPr>
          <w:rFonts w:ascii="Times New Roman" w:hAnsi="Times New Roman" w:cs="Times New Roman"/>
          <w:sz w:val="24"/>
          <w:szCs w:val="24"/>
          <w:lang w:val="en-US"/>
        </w:rPr>
        <w:t xml:space="preserve"> is refused. </w:t>
      </w:r>
      <w:r w:rsidR="001C252C">
        <w:rPr>
          <w:rFonts w:ascii="Times New Roman" w:hAnsi="Times New Roman" w:cs="Times New Roman"/>
          <w:sz w:val="24"/>
          <w:szCs w:val="24"/>
          <w:lang w:val="en-US"/>
        </w:rPr>
        <w:t xml:space="preserve">The contention that the applicant brought this matter to </w:t>
      </w:r>
      <w:r w:rsidR="0021453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252C">
        <w:rPr>
          <w:rFonts w:ascii="Times New Roman" w:hAnsi="Times New Roman" w:cs="Times New Roman"/>
          <w:sz w:val="24"/>
          <w:szCs w:val="24"/>
          <w:lang w:val="en-US"/>
        </w:rPr>
        <w:t xml:space="preserve"> wrong court</w:t>
      </w:r>
      <w:r w:rsidR="005D70C5">
        <w:rPr>
          <w:rFonts w:ascii="Times New Roman" w:hAnsi="Times New Roman" w:cs="Times New Roman"/>
          <w:sz w:val="24"/>
          <w:szCs w:val="24"/>
          <w:lang w:val="en-US"/>
        </w:rPr>
        <w:t xml:space="preserve"> in that </w:t>
      </w:r>
      <w:r w:rsidR="002A1CC0">
        <w:rPr>
          <w:rFonts w:ascii="Times New Roman" w:hAnsi="Times New Roman" w:cs="Times New Roman"/>
          <w:sz w:val="24"/>
          <w:szCs w:val="24"/>
          <w:lang w:val="en-US"/>
        </w:rPr>
        <w:t>it is an administrative issue which can be dealt wit</w:t>
      </w:r>
      <w:r w:rsidR="00A10765">
        <w:rPr>
          <w:rFonts w:ascii="Times New Roman" w:hAnsi="Times New Roman" w:cs="Times New Roman"/>
          <w:sz w:val="24"/>
          <w:szCs w:val="24"/>
          <w:lang w:val="en-US"/>
        </w:rPr>
        <w:t>h by the Zimbabwe Land Commission, or the Administrative Court</w:t>
      </w:r>
      <w:r w:rsidR="005D70C5">
        <w:rPr>
          <w:rFonts w:ascii="Times New Roman" w:hAnsi="Times New Roman" w:cs="Times New Roman"/>
          <w:sz w:val="24"/>
          <w:szCs w:val="24"/>
          <w:lang w:val="en-US"/>
        </w:rPr>
        <w:t xml:space="preserve"> has no merit. I say so because </w:t>
      </w:r>
      <w:r w:rsidR="00A10765">
        <w:rPr>
          <w:rFonts w:ascii="Times New Roman" w:hAnsi="Times New Roman" w:cs="Times New Roman"/>
          <w:sz w:val="24"/>
          <w:szCs w:val="24"/>
          <w:lang w:val="en-US"/>
        </w:rPr>
        <w:t xml:space="preserve">this court has </w:t>
      </w:r>
      <w:r w:rsidR="001C3223">
        <w:rPr>
          <w:rFonts w:ascii="Times New Roman" w:hAnsi="Times New Roman" w:cs="Times New Roman"/>
          <w:sz w:val="24"/>
          <w:szCs w:val="24"/>
          <w:lang w:val="en-US"/>
        </w:rPr>
        <w:t xml:space="preserve">original jurisdiction </w:t>
      </w:r>
      <w:r w:rsidR="006F05A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C3223">
        <w:rPr>
          <w:rFonts w:ascii="Times New Roman" w:hAnsi="Times New Roman" w:cs="Times New Roman"/>
          <w:sz w:val="24"/>
          <w:szCs w:val="24"/>
          <w:lang w:val="en-US"/>
        </w:rPr>
        <w:t xml:space="preserve"> all civil matters, unless its jurisdiction </w:t>
      </w:r>
      <w:r w:rsidR="00BC0B9E">
        <w:rPr>
          <w:rFonts w:ascii="Times New Roman" w:hAnsi="Times New Roman" w:cs="Times New Roman"/>
          <w:sz w:val="24"/>
          <w:szCs w:val="24"/>
          <w:lang w:val="en-US"/>
        </w:rPr>
        <w:t xml:space="preserve">is constitutionally or legislatively </w:t>
      </w:r>
      <w:r>
        <w:rPr>
          <w:rFonts w:ascii="Times New Roman" w:hAnsi="Times New Roman" w:cs="Times New Roman"/>
          <w:sz w:val="24"/>
          <w:szCs w:val="24"/>
          <w:lang w:val="en-US"/>
        </w:rPr>
        <w:t>ousted</w:t>
      </w:r>
      <w:r w:rsidR="00BC0B9E">
        <w:rPr>
          <w:rFonts w:ascii="Times New Roman" w:hAnsi="Times New Roman" w:cs="Times New Roman"/>
          <w:sz w:val="24"/>
          <w:szCs w:val="24"/>
          <w:lang w:val="en-US"/>
        </w:rPr>
        <w:t xml:space="preserve">. The points </w:t>
      </w:r>
      <w:r w:rsidR="00BC0B9E" w:rsidRPr="00BC0B9E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BC0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taken hav</w:t>
      </w:r>
      <w:r w:rsidR="00BC0B9E">
        <w:rPr>
          <w:rFonts w:ascii="Times New Roman" w:hAnsi="Times New Roman" w:cs="Times New Roman"/>
          <w:sz w:val="24"/>
          <w:szCs w:val="24"/>
          <w:lang w:val="en-US"/>
        </w:rPr>
        <w:t xml:space="preserve">e no merit and are refused. </w:t>
      </w:r>
      <w:r w:rsidR="00B3544F">
        <w:rPr>
          <w:rFonts w:ascii="Times New Roman" w:hAnsi="Times New Roman" w:cs="Times New Roman"/>
          <w:sz w:val="24"/>
          <w:szCs w:val="24"/>
          <w:lang w:val="en-US"/>
        </w:rPr>
        <w:t xml:space="preserve">I now turn to the merits. </w:t>
      </w:r>
    </w:p>
    <w:p w14:paraId="18CD5D72" w14:textId="43FC9AC8" w:rsidR="00270753" w:rsidRPr="00270753" w:rsidRDefault="00B3544F" w:rsidP="00270753">
      <w:pPr>
        <w:pStyle w:val="a"/>
        <w:numPr>
          <w:ilvl w:val="0"/>
          <w:numId w:val="0"/>
        </w:numPr>
        <w:tabs>
          <w:tab w:val="clear" w:pos="9056"/>
          <w:tab w:val="clear" w:pos="9622"/>
        </w:tabs>
        <w:spacing w:line="360" w:lineRule="auto"/>
        <w:jc w:val="both"/>
        <w:rPr>
          <w:rFonts w:ascii="Times New Roman" w:hAnsi="Times New Roman"/>
          <w:snapToGrid w:val="0"/>
        </w:rPr>
      </w:pPr>
      <w:r w:rsidRPr="00270753">
        <w:rPr>
          <w:rFonts w:ascii="Times New Roman" w:hAnsi="Times New Roman"/>
        </w:rPr>
        <w:t>[</w:t>
      </w:r>
      <w:r w:rsidR="00146F00">
        <w:rPr>
          <w:rFonts w:ascii="Times New Roman" w:hAnsi="Times New Roman"/>
        </w:rPr>
        <w:t>6</w:t>
      </w:r>
      <w:r w:rsidRPr="00270753">
        <w:rPr>
          <w:rFonts w:ascii="Times New Roman" w:hAnsi="Times New Roman"/>
        </w:rPr>
        <w:t>]</w:t>
      </w:r>
      <w:r w:rsidR="00E5414C">
        <w:rPr>
          <w:rFonts w:ascii="Times New Roman" w:hAnsi="Times New Roman"/>
        </w:rPr>
        <w:tab/>
      </w:r>
      <w:r w:rsidRPr="00270753">
        <w:rPr>
          <w:rFonts w:ascii="Times New Roman" w:hAnsi="Times New Roman"/>
        </w:rPr>
        <w:t xml:space="preserve"> </w:t>
      </w:r>
      <w:r w:rsidR="00270753" w:rsidRPr="00270753">
        <w:rPr>
          <w:rFonts w:ascii="Times New Roman" w:hAnsi="Times New Roman"/>
          <w:snapToGrid w:val="0"/>
        </w:rPr>
        <w:t xml:space="preserve">It was submitted on behalf of the applicant that the applicant has complied with all the requisites of a final interdict and has in particular proved a clear right in respect of the relief sought and that, consequently, this court should grant final relief against the respondent.  </w:t>
      </w:r>
      <w:r w:rsidR="0036579B" w:rsidRPr="00E037C9">
        <w:rPr>
          <w:rFonts w:ascii="Times New Roman" w:hAnsi="Times New Roman"/>
          <w:i/>
          <w:iCs/>
          <w:snapToGrid w:val="0"/>
        </w:rPr>
        <w:t>Per contra</w:t>
      </w:r>
      <w:r w:rsidR="0036579B">
        <w:rPr>
          <w:rFonts w:ascii="Times New Roman" w:hAnsi="Times New Roman"/>
          <w:snapToGrid w:val="0"/>
        </w:rPr>
        <w:t xml:space="preserve">, the respondents submitted that </w:t>
      </w:r>
      <w:r w:rsidR="00E037C9">
        <w:rPr>
          <w:rFonts w:ascii="Times New Roman" w:hAnsi="Times New Roman"/>
          <w:snapToGrid w:val="0"/>
        </w:rPr>
        <w:t xml:space="preserve">the applicant has failed to meet the requirements of an interdict. </w:t>
      </w:r>
    </w:p>
    <w:p w14:paraId="7E5BBD14" w14:textId="7F74EEDD" w:rsidR="0065219C" w:rsidRPr="00366B5B" w:rsidRDefault="00AF4B62" w:rsidP="00652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[</w:t>
      </w:r>
      <w:r w:rsidR="00146F00">
        <w:rPr>
          <w:rFonts w:ascii="Times New Roman" w:hAnsi="Times New Roman" w:cs="Times New Roman"/>
          <w:snapToGrid w:val="0"/>
          <w:sz w:val="24"/>
          <w:szCs w:val="24"/>
        </w:rPr>
        <w:t>7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] </w:t>
      </w:r>
      <w:r w:rsidR="00E5414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8685E">
        <w:rPr>
          <w:rFonts w:ascii="Times New Roman" w:hAnsi="Times New Roman" w:cs="Times New Roman"/>
          <w:snapToGrid w:val="0"/>
          <w:sz w:val="24"/>
          <w:szCs w:val="24"/>
        </w:rPr>
        <w:t xml:space="preserve">The first inquiry is whether the applicant has established a clear right. </w:t>
      </w:r>
      <w:r w:rsidR="00664198">
        <w:rPr>
          <w:rFonts w:ascii="Times New Roman" w:hAnsi="Times New Roman" w:cs="Times New Roman"/>
          <w:snapToGrid w:val="0"/>
          <w:sz w:val="24"/>
          <w:szCs w:val="24"/>
        </w:rPr>
        <w:t xml:space="preserve">The applicant has an offer letter to the </w:t>
      </w:r>
      <w:r w:rsidR="00D83B4A">
        <w:rPr>
          <w:rFonts w:ascii="Times New Roman" w:hAnsi="Times New Roman" w:cs="Times New Roman"/>
          <w:snapToGrid w:val="0"/>
          <w:sz w:val="24"/>
          <w:szCs w:val="24"/>
        </w:rPr>
        <w:t xml:space="preserve">farm, and </w:t>
      </w:r>
      <w:r w:rsidR="00F36945">
        <w:rPr>
          <w:rFonts w:ascii="Times New Roman" w:hAnsi="Times New Roman" w:cs="Times New Roman"/>
          <w:sz w:val="24"/>
          <w:szCs w:val="24"/>
          <w:lang w:val="en-US"/>
        </w:rPr>
        <w:t>Jesca Dz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36945">
        <w:rPr>
          <w:rFonts w:ascii="Times New Roman" w:hAnsi="Times New Roman" w:cs="Times New Roman"/>
          <w:sz w:val="24"/>
          <w:szCs w:val="24"/>
          <w:lang w:val="en-US"/>
        </w:rPr>
        <w:t>ifu</w:t>
      </w:r>
      <w:r w:rsidR="00D83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0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83B4A">
        <w:rPr>
          <w:rFonts w:ascii="Times New Roman" w:hAnsi="Times New Roman" w:cs="Times New Roman"/>
          <w:sz w:val="24"/>
          <w:szCs w:val="24"/>
          <w:lang w:val="en-US"/>
        </w:rPr>
        <w:t xml:space="preserve">an offer letter to the same farm. </w:t>
      </w:r>
      <w:r w:rsidR="0065219C">
        <w:rPr>
          <w:rFonts w:ascii="Times New Roman" w:hAnsi="Times New Roman" w:cs="Times New Roman"/>
          <w:snapToGrid w:val="0"/>
          <w:sz w:val="24"/>
          <w:szCs w:val="24"/>
        </w:rPr>
        <w:t xml:space="preserve">The applicant emphasised that the offer letter issued to </w:t>
      </w:r>
      <w:r w:rsidR="0065219C">
        <w:rPr>
          <w:rFonts w:ascii="Times New Roman" w:hAnsi="Times New Roman" w:cs="Times New Roman"/>
          <w:sz w:val="24"/>
          <w:szCs w:val="24"/>
          <w:lang w:val="en-US"/>
        </w:rPr>
        <w:t>Jesca Dz</w:t>
      </w:r>
      <w:r w:rsidR="003F37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5219C">
        <w:rPr>
          <w:rFonts w:ascii="Times New Roman" w:hAnsi="Times New Roman" w:cs="Times New Roman"/>
          <w:sz w:val="24"/>
          <w:szCs w:val="24"/>
          <w:lang w:val="en-US"/>
        </w:rPr>
        <w:t xml:space="preserve">ifu was withdrawn. </w:t>
      </w:r>
      <w:r w:rsidR="00640AF3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5219C">
        <w:rPr>
          <w:rFonts w:ascii="Times New Roman" w:hAnsi="Times New Roman" w:cs="Times New Roman"/>
          <w:sz w:val="24"/>
          <w:szCs w:val="24"/>
          <w:lang w:val="en-US"/>
        </w:rPr>
        <w:t xml:space="preserve"> attached to his answering affidavit a </w:t>
      </w:r>
      <w:r w:rsidR="002D3670">
        <w:rPr>
          <w:rFonts w:ascii="Times New Roman" w:hAnsi="Times New Roman" w:cs="Times New Roman"/>
          <w:sz w:val="24"/>
          <w:szCs w:val="24"/>
          <w:lang w:val="en-US"/>
        </w:rPr>
        <w:t xml:space="preserve">letter </w:t>
      </w:r>
      <w:r w:rsidR="00063495">
        <w:rPr>
          <w:rFonts w:ascii="Times New Roman" w:hAnsi="Times New Roman" w:cs="Times New Roman"/>
          <w:sz w:val="24"/>
          <w:szCs w:val="24"/>
          <w:lang w:val="en-US"/>
        </w:rPr>
        <w:t xml:space="preserve">dated </w:t>
      </w:r>
      <w:r w:rsidR="009D649E">
        <w:rPr>
          <w:rFonts w:ascii="Times New Roman" w:hAnsi="Times New Roman" w:cs="Times New Roman"/>
          <w:sz w:val="24"/>
          <w:szCs w:val="24"/>
          <w:lang w:val="en-US"/>
        </w:rPr>
        <w:t xml:space="preserve">17 September 2024 </w:t>
      </w:r>
      <w:r w:rsidR="00063495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9D649E">
        <w:rPr>
          <w:rFonts w:ascii="Times New Roman" w:hAnsi="Times New Roman" w:cs="Times New Roman"/>
          <w:sz w:val="24"/>
          <w:szCs w:val="24"/>
          <w:lang w:val="en-US"/>
        </w:rPr>
        <w:t>Ministry of Lands, Agriculture, Water</w:t>
      </w:r>
      <w:r w:rsidR="00CA68C1">
        <w:rPr>
          <w:rFonts w:ascii="Times New Roman" w:hAnsi="Times New Roman" w:cs="Times New Roman"/>
          <w:sz w:val="24"/>
          <w:szCs w:val="24"/>
          <w:lang w:val="en-US"/>
        </w:rPr>
        <w:t xml:space="preserve">, Fisheries and Rural Development </w:t>
      </w:r>
      <w:r w:rsidR="003F37BB">
        <w:rPr>
          <w:rFonts w:ascii="Times New Roman" w:hAnsi="Times New Roman" w:cs="Times New Roman"/>
          <w:sz w:val="24"/>
          <w:szCs w:val="24"/>
          <w:lang w:val="en-US"/>
        </w:rPr>
        <w:t xml:space="preserve">(“Ministry”) </w:t>
      </w:r>
      <w:r w:rsidR="00640AF3">
        <w:rPr>
          <w:rFonts w:ascii="Times New Roman" w:hAnsi="Times New Roman" w:cs="Times New Roman"/>
          <w:sz w:val="24"/>
          <w:szCs w:val="24"/>
          <w:lang w:val="en-US"/>
        </w:rPr>
        <w:t>saying Jesca Dzifu’s offer l</w:t>
      </w:r>
      <w:r w:rsidR="00366B5B">
        <w:rPr>
          <w:rFonts w:ascii="Times New Roman" w:hAnsi="Times New Roman" w:cs="Times New Roman"/>
          <w:sz w:val="24"/>
          <w:szCs w:val="24"/>
          <w:lang w:val="en-US"/>
        </w:rPr>
        <w:t>etter</w:t>
      </w:r>
      <w:r w:rsidR="00640AF3">
        <w:rPr>
          <w:rFonts w:ascii="Times New Roman" w:hAnsi="Times New Roman" w:cs="Times New Roman"/>
          <w:sz w:val="24"/>
          <w:szCs w:val="24"/>
          <w:lang w:val="en-US"/>
        </w:rPr>
        <w:t xml:space="preserve"> was withdrawn in 2007</w:t>
      </w:r>
      <w:r w:rsidR="00366B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219C">
        <w:rPr>
          <w:rFonts w:ascii="Times New Roman" w:hAnsi="Times New Roman" w:cs="Times New Roman"/>
          <w:sz w:val="24"/>
          <w:szCs w:val="24"/>
          <w:lang w:val="en-US"/>
        </w:rPr>
        <w:t xml:space="preserve">It is trite </w:t>
      </w:r>
      <w:r w:rsidR="00742DB4">
        <w:rPr>
          <w:rFonts w:ascii="Times New Roman" w:hAnsi="Times New Roman" w:cs="Times New Roman"/>
          <w:sz w:val="24"/>
          <w:szCs w:val="24"/>
          <w:lang w:val="en-US"/>
        </w:rPr>
        <w:t xml:space="preserve">that an application stands or falls on its founding </w:t>
      </w:r>
      <w:r w:rsidR="00742D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affidavit. </w:t>
      </w:r>
      <w:r w:rsidR="00BC4E6C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BC4E6C" w:rsidRPr="00E6715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67157" w:rsidRPr="00E6715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Fuyana </w:t>
      </w:r>
      <w:r w:rsidR="00E67157" w:rsidRPr="00E541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67157" w:rsidRPr="00E6715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Moyo</w:t>
      </w:r>
      <w:r w:rsidR="00E67157">
        <w:rPr>
          <w:rFonts w:ascii="Times New Roman" w:hAnsi="Times New Roman" w:cs="Times New Roman"/>
          <w:sz w:val="24"/>
          <w:szCs w:val="24"/>
          <w:lang w:val="en-US"/>
        </w:rPr>
        <w:t xml:space="preserve"> SC 54-06; </w:t>
      </w:r>
      <w:r w:rsidR="00330586" w:rsidRPr="009C3A56">
        <w:rPr>
          <w:rFonts w:ascii="Times New Roman" w:hAnsi="Times New Roman" w:cs="Times New Roman"/>
          <w:i/>
          <w:sz w:val="24"/>
          <w:szCs w:val="24"/>
        </w:rPr>
        <w:t xml:space="preserve">Muchini </w:t>
      </w:r>
      <w:r w:rsidR="00330586" w:rsidRPr="00E5414C">
        <w:rPr>
          <w:rFonts w:ascii="Times New Roman" w:hAnsi="Times New Roman" w:cs="Times New Roman"/>
          <w:iCs/>
          <w:sz w:val="24"/>
          <w:szCs w:val="24"/>
        </w:rPr>
        <w:t>v</w:t>
      </w:r>
      <w:r w:rsidR="00330586" w:rsidRPr="009C3A56">
        <w:rPr>
          <w:rFonts w:ascii="Times New Roman" w:hAnsi="Times New Roman" w:cs="Times New Roman"/>
          <w:i/>
          <w:sz w:val="24"/>
          <w:szCs w:val="24"/>
        </w:rPr>
        <w:t xml:space="preserve"> Adams &amp; Ors</w:t>
      </w:r>
      <w:r w:rsidR="00330586" w:rsidRPr="009C3A56">
        <w:rPr>
          <w:rFonts w:ascii="Times New Roman" w:hAnsi="Times New Roman" w:cs="Times New Roman"/>
          <w:sz w:val="24"/>
          <w:szCs w:val="24"/>
        </w:rPr>
        <w:t xml:space="preserve"> SC 47/13</w:t>
      </w:r>
      <w:r w:rsidR="00E67157">
        <w:rPr>
          <w:rFonts w:ascii="Times New Roman" w:hAnsi="Times New Roman" w:cs="Times New Roman"/>
          <w:sz w:val="24"/>
          <w:szCs w:val="24"/>
        </w:rPr>
        <w:t xml:space="preserve">. </w:t>
      </w:r>
      <w:r w:rsidR="006521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26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3F37BB">
        <w:rPr>
          <w:rFonts w:ascii="Times New Roman" w:hAnsi="Times New Roman" w:cs="Times New Roman"/>
          <w:sz w:val="24"/>
          <w:szCs w:val="24"/>
          <w:lang w:val="en-US"/>
        </w:rPr>
        <w:t>attach</w:t>
      </w:r>
      <w:r w:rsidR="00E22268">
        <w:rPr>
          <w:rFonts w:ascii="Times New Roman" w:hAnsi="Times New Roman" w:cs="Times New Roman"/>
          <w:sz w:val="24"/>
          <w:szCs w:val="24"/>
          <w:lang w:val="en-US"/>
        </w:rPr>
        <w:t xml:space="preserve"> no weight to the </w:t>
      </w:r>
      <w:r w:rsidR="006B3864">
        <w:rPr>
          <w:rFonts w:ascii="Times New Roman" w:hAnsi="Times New Roman" w:cs="Times New Roman"/>
          <w:sz w:val="24"/>
          <w:szCs w:val="24"/>
          <w:lang w:val="en-US"/>
        </w:rPr>
        <w:t xml:space="preserve">letter from the Ministry, </w:t>
      </w:r>
      <w:r w:rsidR="00030F87">
        <w:rPr>
          <w:rFonts w:ascii="Times New Roman" w:hAnsi="Times New Roman" w:cs="Times New Roman"/>
          <w:sz w:val="24"/>
          <w:szCs w:val="24"/>
          <w:lang w:val="en-US"/>
        </w:rPr>
        <w:t xml:space="preserve">mainly because it was introduced </w:t>
      </w:r>
      <w:r w:rsidR="00030F87" w:rsidRPr="00030F8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via </w:t>
      </w:r>
      <w:r w:rsidR="00030F87">
        <w:rPr>
          <w:rFonts w:ascii="Times New Roman" w:hAnsi="Times New Roman" w:cs="Times New Roman"/>
          <w:sz w:val="24"/>
          <w:szCs w:val="24"/>
          <w:lang w:val="en-US"/>
        </w:rPr>
        <w:t>an answering affidavit</w:t>
      </w:r>
      <w:r w:rsidR="009374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5B23">
        <w:rPr>
          <w:rFonts w:ascii="Times New Roman" w:hAnsi="Times New Roman" w:cs="Times New Roman"/>
          <w:sz w:val="24"/>
          <w:szCs w:val="24"/>
          <w:lang w:val="en-US"/>
        </w:rPr>
        <w:t xml:space="preserve">This prejudiced the second respondent, in that he was not able to deal with the issue in the opposing papers. </w:t>
      </w:r>
      <w:r w:rsidR="00937423" w:rsidRPr="004D5ADA">
        <w:rPr>
          <w:rFonts w:ascii="Times New Roman" w:hAnsi="Times New Roman" w:cs="Times New Roman"/>
          <w:snapToGrid w:val="0"/>
          <w:sz w:val="24"/>
          <w:szCs w:val="24"/>
        </w:rPr>
        <w:t xml:space="preserve">In </w:t>
      </w:r>
      <w:r w:rsidR="006D5B23">
        <w:rPr>
          <w:rFonts w:ascii="Times New Roman" w:hAnsi="Times New Roman" w:cs="Times New Roman"/>
          <w:snapToGrid w:val="0"/>
          <w:sz w:val="24"/>
          <w:szCs w:val="24"/>
        </w:rPr>
        <w:t xml:space="preserve">any event, </w:t>
      </w:r>
      <w:r w:rsidR="00937423" w:rsidRPr="004D5ADA">
        <w:rPr>
          <w:rFonts w:ascii="Times New Roman" w:hAnsi="Times New Roman" w:cs="Times New Roman"/>
          <w:snapToGrid w:val="0"/>
          <w:sz w:val="24"/>
          <w:szCs w:val="24"/>
        </w:rPr>
        <w:t xml:space="preserve">this </w:t>
      </w:r>
      <w:r w:rsidR="004D5ADA">
        <w:rPr>
          <w:rFonts w:ascii="Times New Roman" w:hAnsi="Times New Roman" w:cs="Times New Roman"/>
          <w:snapToGrid w:val="0"/>
          <w:sz w:val="24"/>
          <w:szCs w:val="24"/>
        </w:rPr>
        <w:t xml:space="preserve">letter would </w:t>
      </w:r>
      <w:r w:rsidR="006D5B23">
        <w:rPr>
          <w:rFonts w:ascii="Times New Roman" w:hAnsi="Times New Roman" w:cs="Times New Roman"/>
          <w:snapToGrid w:val="0"/>
          <w:sz w:val="24"/>
          <w:szCs w:val="24"/>
        </w:rPr>
        <w:t xml:space="preserve">have </w:t>
      </w:r>
      <w:r w:rsidR="004D5ADA">
        <w:rPr>
          <w:rFonts w:ascii="Times New Roman" w:hAnsi="Times New Roman" w:cs="Times New Roman"/>
          <w:snapToGrid w:val="0"/>
          <w:sz w:val="24"/>
          <w:szCs w:val="24"/>
        </w:rPr>
        <w:t>still</w:t>
      </w:r>
      <w:r w:rsidR="006D5B23">
        <w:rPr>
          <w:rFonts w:ascii="Times New Roman" w:hAnsi="Times New Roman" w:cs="Times New Roman"/>
          <w:snapToGrid w:val="0"/>
          <w:sz w:val="24"/>
          <w:szCs w:val="24"/>
        </w:rPr>
        <w:t xml:space="preserve"> carried</w:t>
      </w:r>
      <w:r w:rsidR="00374B7B">
        <w:rPr>
          <w:rFonts w:ascii="Times New Roman" w:hAnsi="Times New Roman" w:cs="Times New Roman"/>
          <w:snapToGrid w:val="0"/>
          <w:sz w:val="24"/>
          <w:szCs w:val="24"/>
        </w:rPr>
        <w:t xml:space="preserve"> no weight</w:t>
      </w:r>
      <w:r w:rsidR="00937423" w:rsidRPr="004D5ADA">
        <w:rPr>
          <w:rFonts w:ascii="Times New Roman" w:hAnsi="Times New Roman" w:cs="Times New Roman"/>
          <w:snapToGrid w:val="0"/>
          <w:sz w:val="24"/>
          <w:szCs w:val="24"/>
        </w:rPr>
        <w:t xml:space="preserve"> even if </w:t>
      </w:r>
      <w:r w:rsidR="00374B7B">
        <w:rPr>
          <w:rFonts w:ascii="Times New Roman" w:hAnsi="Times New Roman" w:cs="Times New Roman"/>
          <w:snapToGrid w:val="0"/>
          <w:sz w:val="24"/>
          <w:szCs w:val="24"/>
        </w:rPr>
        <w:t xml:space="preserve">it was introduced through the founding affidavit </w:t>
      </w:r>
      <w:r w:rsidR="009B4BF8">
        <w:rPr>
          <w:rFonts w:ascii="Times New Roman" w:hAnsi="Times New Roman" w:cs="Times New Roman"/>
          <w:snapToGrid w:val="0"/>
          <w:sz w:val="24"/>
          <w:szCs w:val="24"/>
        </w:rPr>
        <w:t>because it was</w:t>
      </w:r>
      <w:r w:rsidR="00ED7A5A">
        <w:rPr>
          <w:rFonts w:ascii="Times New Roman" w:hAnsi="Times New Roman" w:cs="Times New Roman"/>
          <w:sz w:val="24"/>
          <w:szCs w:val="24"/>
          <w:lang w:val="en-US"/>
        </w:rPr>
        <w:t xml:space="preserve"> addressed to “whom it may concern” </w:t>
      </w:r>
      <w:r w:rsidR="00475DD1">
        <w:rPr>
          <w:rFonts w:ascii="Times New Roman" w:hAnsi="Times New Roman" w:cs="Times New Roman"/>
          <w:sz w:val="24"/>
          <w:szCs w:val="24"/>
          <w:lang w:val="en-US"/>
        </w:rPr>
        <w:t>not to Jesca Dz</w:t>
      </w:r>
      <w:r w:rsidR="006D5B2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5DD1">
        <w:rPr>
          <w:rFonts w:ascii="Times New Roman" w:hAnsi="Times New Roman" w:cs="Times New Roman"/>
          <w:sz w:val="24"/>
          <w:szCs w:val="24"/>
          <w:lang w:val="en-US"/>
        </w:rPr>
        <w:t xml:space="preserve">ifu. </w:t>
      </w:r>
      <w:r w:rsidR="006D5B23">
        <w:rPr>
          <w:rFonts w:ascii="Times New Roman" w:hAnsi="Times New Roman" w:cs="Times New Roman"/>
          <w:sz w:val="24"/>
          <w:szCs w:val="24"/>
          <w:lang w:val="en-US"/>
        </w:rPr>
        <w:t xml:space="preserve">There is no letter addressed to her informing her of the withdrawal. </w:t>
      </w:r>
      <w:r w:rsidR="004777CD">
        <w:rPr>
          <w:rFonts w:ascii="Times New Roman" w:hAnsi="Times New Roman" w:cs="Times New Roman"/>
          <w:sz w:val="24"/>
          <w:szCs w:val="24"/>
          <w:lang w:val="en-US"/>
        </w:rPr>
        <w:t xml:space="preserve">There is no evidence that the so-called withdrawn was communicated to her. </w:t>
      </w:r>
      <w:r w:rsidR="00196135">
        <w:rPr>
          <w:rFonts w:ascii="Times New Roman" w:hAnsi="Times New Roman" w:cs="Times New Roman"/>
          <w:sz w:val="24"/>
          <w:szCs w:val="24"/>
          <w:lang w:val="en-US"/>
        </w:rPr>
        <w:t>Therefore, both parties have offer letters to the same farm</w:t>
      </w:r>
      <w:r w:rsidR="007E349D">
        <w:rPr>
          <w:rFonts w:ascii="Times New Roman" w:hAnsi="Times New Roman" w:cs="Times New Roman"/>
          <w:sz w:val="24"/>
          <w:szCs w:val="24"/>
          <w:lang w:val="en-US"/>
        </w:rPr>
        <w:t xml:space="preserve">, and worse still </w:t>
      </w:r>
      <w:r w:rsidR="00F55326">
        <w:rPr>
          <w:rFonts w:ascii="Times New Roman" w:hAnsi="Times New Roman" w:cs="Times New Roman"/>
          <w:sz w:val="24"/>
          <w:szCs w:val="24"/>
          <w:lang w:val="en-US"/>
        </w:rPr>
        <w:t>the one for Jesca Dz</w:t>
      </w:r>
      <w:r w:rsidR="006D5B2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55326">
        <w:rPr>
          <w:rFonts w:ascii="Times New Roman" w:hAnsi="Times New Roman" w:cs="Times New Roman"/>
          <w:sz w:val="24"/>
          <w:szCs w:val="24"/>
          <w:lang w:val="en-US"/>
        </w:rPr>
        <w:t xml:space="preserve">ifu pre-dates the one for the applicant. </w:t>
      </w:r>
    </w:p>
    <w:p w14:paraId="76FE034A" w14:textId="03815D2C" w:rsidR="00436D4E" w:rsidRDefault="008658EE" w:rsidP="0085774B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F22D7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054E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55B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054E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addition,</w:t>
      </w:r>
      <w:r w:rsidR="008500BB">
        <w:rPr>
          <w:rFonts w:ascii="Times New Roman" w:hAnsi="Times New Roman" w:cs="Times New Roman"/>
          <w:sz w:val="24"/>
          <w:szCs w:val="24"/>
          <w:lang w:val="en-US"/>
        </w:rPr>
        <w:t xml:space="preserve"> on one </w:t>
      </w:r>
      <w:r w:rsidR="0038774E">
        <w:rPr>
          <w:rFonts w:ascii="Times New Roman" w:hAnsi="Times New Roman" w:cs="Times New Roman"/>
          <w:sz w:val="24"/>
          <w:szCs w:val="24"/>
          <w:lang w:val="en-US"/>
        </w:rPr>
        <w:t>hand, by</w:t>
      </w:r>
      <w:r w:rsidR="006425BC">
        <w:rPr>
          <w:rFonts w:ascii="Times New Roman" w:hAnsi="Times New Roman" w:cs="Times New Roman"/>
          <w:sz w:val="24"/>
          <w:szCs w:val="24"/>
          <w:lang w:val="en-US"/>
        </w:rPr>
        <w:t xml:space="preserve"> his own </w:t>
      </w:r>
      <w:r w:rsidR="00525ECB">
        <w:rPr>
          <w:rFonts w:ascii="Times New Roman" w:hAnsi="Times New Roman" w:cs="Times New Roman"/>
          <w:sz w:val="24"/>
          <w:szCs w:val="24"/>
          <w:lang w:val="en-US"/>
        </w:rPr>
        <w:t xml:space="preserve">version, </w:t>
      </w:r>
      <w:r w:rsidR="00AD5599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6D5B23">
        <w:rPr>
          <w:rFonts w:ascii="Times New Roman" w:hAnsi="Times New Roman" w:cs="Times New Roman"/>
          <w:sz w:val="24"/>
          <w:szCs w:val="24"/>
          <w:lang w:val="en-US"/>
        </w:rPr>
        <w:t>has,</w:t>
      </w:r>
      <w:r w:rsidR="00FF4BD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E55A3">
        <w:rPr>
          <w:rFonts w:ascii="Times New Roman" w:hAnsi="Times New Roman" w:cs="Times New Roman"/>
          <w:snapToGrid w:val="0"/>
          <w:sz w:val="24"/>
          <w:szCs w:val="24"/>
        </w:rPr>
        <w:t>since</w:t>
      </w:r>
      <w:r w:rsidR="00FF4BD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D5B23">
        <w:rPr>
          <w:rFonts w:ascii="Times New Roman" w:hAnsi="Times New Roman" w:cs="Times New Roman"/>
          <w:snapToGrid w:val="0"/>
          <w:sz w:val="24"/>
          <w:szCs w:val="24"/>
        </w:rPr>
        <w:t>the date he was offered the farm</w:t>
      </w:r>
      <w:r w:rsidR="006054E5">
        <w:rPr>
          <w:rFonts w:ascii="Times New Roman" w:hAnsi="Times New Roman" w:cs="Times New Roman"/>
          <w:snapToGrid w:val="0"/>
          <w:sz w:val="24"/>
          <w:szCs w:val="24"/>
        </w:rPr>
        <w:t xml:space="preserve">, he has </w:t>
      </w:r>
      <w:r w:rsidR="00FF4BD8">
        <w:rPr>
          <w:rFonts w:ascii="Times New Roman" w:hAnsi="Times New Roman" w:cs="Times New Roman"/>
          <w:snapToGrid w:val="0"/>
          <w:sz w:val="24"/>
          <w:szCs w:val="24"/>
        </w:rPr>
        <w:t xml:space="preserve">been unable to </w:t>
      </w:r>
      <w:r w:rsidR="00351314">
        <w:rPr>
          <w:rFonts w:ascii="Times New Roman" w:hAnsi="Times New Roman" w:cs="Times New Roman"/>
          <w:snapToGrid w:val="0"/>
          <w:sz w:val="24"/>
          <w:szCs w:val="24"/>
        </w:rPr>
        <w:t xml:space="preserve">work on </w:t>
      </w:r>
      <w:r w:rsidR="006D5B23">
        <w:rPr>
          <w:rFonts w:ascii="Times New Roman" w:hAnsi="Times New Roman" w:cs="Times New Roman"/>
          <w:snapToGrid w:val="0"/>
          <w:sz w:val="24"/>
          <w:szCs w:val="24"/>
        </w:rPr>
        <w:t>it</w:t>
      </w:r>
      <w:r w:rsidR="00351314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38774E">
        <w:rPr>
          <w:rFonts w:ascii="Times New Roman" w:hAnsi="Times New Roman" w:cs="Times New Roman"/>
          <w:snapToGrid w:val="0"/>
          <w:sz w:val="24"/>
          <w:szCs w:val="24"/>
        </w:rPr>
        <w:t xml:space="preserve">On the other </w:t>
      </w:r>
      <w:r w:rsidR="008E0BBD">
        <w:rPr>
          <w:rFonts w:ascii="Times New Roman" w:hAnsi="Times New Roman" w:cs="Times New Roman"/>
          <w:snapToGrid w:val="0"/>
          <w:sz w:val="24"/>
          <w:szCs w:val="24"/>
        </w:rPr>
        <w:t>hand,</w:t>
      </w:r>
      <w:r w:rsidR="003877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84167">
        <w:rPr>
          <w:rFonts w:ascii="Times New Roman" w:hAnsi="Times New Roman" w:cs="Times New Roman"/>
          <w:snapToGrid w:val="0"/>
          <w:sz w:val="24"/>
          <w:szCs w:val="24"/>
        </w:rPr>
        <w:t>t</w:t>
      </w:r>
      <w:r w:rsidR="0001716B">
        <w:rPr>
          <w:rFonts w:ascii="Times New Roman" w:hAnsi="Times New Roman" w:cs="Times New Roman"/>
          <w:snapToGrid w:val="0"/>
          <w:sz w:val="24"/>
          <w:szCs w:val="24"/>
        </w:rPr>
        <w:t xml:space="preserve">he second respondent and her sister have put </w:t>
      </w:r>
      <w:r w:rsidR="00F13F7F">
        <w:rPr>
          <w:rFonts w:ascii="Times New Roman" w:hAnsi="Times New Roman" w:cs="Times New Roman"/>
          <w:snapToGrid w:val="0"/>
          <w:sz w:val="24"/>
          <w:szCs w:val="24"/>
        </w:rPr>
        <w:t>twenty</w:t>
      </w:r>
      <w:r w:rsidR="00FE068E">
        <w:rPr>
          <w:rFonts w:ascii="Times New Roman" w:hAnsi="Times New Roman" w:cs="Times New Roman"/>
          <w:snapToGrid w:val="0"/>
          <w:sz w:val="24"/>
          <w:szCs w:val="24"/>
        </w:rPr>
        <w:t xml:space="preserve"> hectares of </w:t>
      </w:r>
      <w:r w:rsidR="006054E5">
        <w:rPr>
          <w:rFonts w:ascii="Times New Roman" w:hAnsi="Times New Roman" w:cs="Times New Roman"/>
          <w:snapToGrid w:val="0"/>
          <w:sz w:val="24"/>
          <w:szCs w:val="24"/>
        </w:rPr>
        <w:t xml:space="preserve">the </w:t>
      </w:r>
      <w:r w:rsidR="00FE068E">
        <w:rPr>
          <w:rFonts w:ascii="Times New Roman" w:hAnsi="Times New Roman" w:cs="Times New Roman"/>
          <w:snapToGrid w:val="0"/>
          <w:sz w:val="24"/>
          <w:szCs w:val="24"/>
        </w:rPr>
        <w:t xml:space="preserve">land under wheat irrigation at the farm. </w:t>
      </w:r>
      <w:r w:rsidR="00F22D75">
        <w:rPr>
          <w:rFonts w:ascii="Times New Roman" w:hAnsi="Times New Roman" w:cs="Times New Roman"/>
          <w:snapToGrid w:val="0"/>
          <w:sz w:val="24"/>
          <w:szCs w:val="24"/>
        </w:rPr>
        <w:t>In addition, th</w:t>
      </w:r>
      <w:r w:rsidR="008A6798">
        <w:rPr>
          <w:rFonts w:ascii="Times New Roman" w:hAnsi="Times New Roman" w:cs="Times New Roman"/>
          <w:snapToGrid w:val="0"/>
          <w:sz w:val="24"/>
          <w:szCs w:val="24"/>
        </w:rPr>
        <w:t xml:space="preserve">ere is evidence </w:t>
      </w:r>
      <w:r w:rsidR="00921413">
        <w:rPr>
          <w:rFonts w:ascii="Times New Roman" w:hAnsi="Times New Roman" w:cs="Times New Roman"/>
          <w:snapToGrid w:val="0"/>
          <w:sz w:val="24"/>
          <w:szCs w:val="24"/>
        </w:rPr>
        <w:t>that the</w:t>
      </w:r>
      <w:r w:rsidR="00F22D75"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="0092141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67B86">
        <w:rPr>
          <w:rFonts w:ascii="Times New Roman" w:hAnsi="Times New Roman" w:cs="Times New Roman"/>
          <w:snapToGrid w:val="0"/>
          <w:sz w:val="24"/>
          <w:szCs w:val="24"/>
        </w:rPr>
        <w:t xml:space="preserve">sold farm produce to the Grain Marketing Board. </w:t>
      </w:r>
      <w:r w:rsidR="00D613FB">
        <w:rPr>
          <w:rFonts w:ascii="Times New Roman" w:hAnsi="Times New Roman" w:cs="Times New Roman"/>
          <w:snapToGrid w:val="0"/>
          <w:sz w:val="24"/>
          <w:szCs w:val="24"/>
        </w:rPr>
        <w:t>The applicant has not been in occupation of the farm</w:t>
      </w:r>
      <w:r w:rsidR="00AA08C2">
        <w:rPr>
          <w:rFonts w:ascii="Times New Roman" w:hAnsi="Times New Roman" w:cs="Times New Roman"/>
          <w:snapToGrid w:val="0"/>
          <w:sz w:val="24"/>
          <w:szCs w:val="24"/>
        </w:rPr>
        <w:t xml:space="preserve">, instead it is </w:t>
      </w:r>
      <w:r w:rsidR="008551BB">
        <w:rPr>
          <w:rFonts w:ascii="Times New Roman" w:hAnsi="Times New Roman" w:cs="Times New Roman"/>
          <w:snapToGrid w:val="0"/>
          <w:sz w:val="24"/>
          <w:szCs w:val="24"/>
        </w:rPr>
        <w:t>Jesca Dz</w:t>
      </w:r>
      <w:r w:rsidR="00F22D75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8551BB">
        <w:rPr>
          <w:rFonts w:ascii="Times New Roman" w:hAnsi="Times New Roman" w:cs="Times New Roman"/>
          <w:snapToGrid w:val="0"/>
          <w:sz w:val="24"/>
          <w:szCs w:val="24"/>
        </w:rPr>
        <w:t xml:space="preserve">ifu through the second respondent who is in occupation </w:t>
      </w:r>
      <w:r w:rsidR="00DA0B37">
        <w:rPr>
          <w:rFonts w:ascii="Times New Roman" w:hAnsi="Times New Roman" w:cs="Times New Roman"/>
          <w:snapToGrid w:val="0"/>
          <w:sz w:val="24"/>
          <w:szCs w:val="24"/>
        </w:rPr>
        <w:t xml:space="preserve">of the farm. </w:t>
      </w:r>
    </w:p>
    <w:p w14:paraId="7EB2BA93" w14:textId="66324BDA" w:rsidR="00DA0B37" w:rsidRPr="0073200E" w:rsidRDefault="00DA0B37" w:rsidP="00857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00E">
        <w:rPr>
          <w:rFonts w:ascii="Times New Roman" w:hAnsi="Times New Roman" w:cs="Times New Roman"/>
          <w:snapToGrid w:val="0"/>
          <w:sz w:val="24"/>
          <w:szCs w:val="24"/>
        </w:rPr>
        <w:t>[</w:t>
      </w:r>
      <w:r w:rsidR="002C165D"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73200E">
        <w:rPr>
          <w:rFonts w:ascii="Times New Roman" w:hAnsi="Times New Roman" w:cs="Times New Roman"/>
          <w:snapToGrid w:val="0"/>
          <w:sz w:val="24"/>
          <w:szCs w:val="24"/>
        </w:rPr>
        <w:t>]</w:t>
      </w:r>
      <w:r w:rsidR="0073200E" w:rsidRPr="0073200E">
        <w:rPr>
          <w:rFonts w:ascii="Times New Roman" w:hAnsi="Times New Roman" w:cs="Times New Roman"/>
          <w:sz w:val="24"/>
          <w:szCs w:val="24"/>
        </w:rPr>
        <w:t xml:space="preserve"> </w:t>
      </w:r>
      <w:r w:rsidR="00E5414C">
        <w:rPr>
          <w:rFonts w:ascii="Times New Roman" w:hAnsi="Times New Roman" w:cs="Times New Roman"/>
          <w:sz w:val="24"/>
          <w:szCs w:val="24"/>
        </w:rPr>
        <w:tab/>
      </w:r>
      <w:r w:rsidR="0073200E" w:rsidRPr="0073200E">
        <w:rPr>
          <w:rFonts w:ascii="Times New Roman" w:hAnsi="Times New Roman" w:cs="Times New Roman"/>
          <w:sz w:val="24"/>
          <w:szCs w:val="24"/>
        </w:rPr>
        <w:t>Both parties have presented</w:t>
      </w:r>
      <w:r w:rsidR="0073200E">
        <w:rPr>
          <w:rFonts w:ascii="Times New Roman" w:hAnsi="Times New Roman" w:cs="Times New Roman"/>
          <w:sz w:val="24"/>
          <w:szCs w:val="24"/>
        </w:rPr>
        <w:t xml:space="preserve"> </w:t>
      </w:r>
      <w:r w:rsidR="00676AAB">
        <w:rPr>
          <w:rFonts w:ascii="Times New Roman" w:hAnsi="Times New Roman" w:cs="Times New Roman"/>
          <w:sz w:val="24"/>
          <w:szCs w:val="24"/>
        </w:rPr>
        <w:t>offer letters in respect of the farm</w:t>
      </w:r>
      <w:r w:rsidR="0073200E" w:rsidRPr="0073200E">
        <w:rPr>
          <w:rFonts w:ascii="Times New Roman" w:hAnsi="Times New Roman" w:cs="Times New Roman"/>
          <w:sz w:val="24"/>
          <w:szCs w:val="24"/>
        </w:rPr>
        <w:t xml:space="preserve">. In such a case, the seat of the </w:t>
      </w:r>
      <w:r w:rsidR="0073200E" w:rsidRPr="0073200E">
        <w:rPr>
          <w:rFonts w:ascii="Times New Roman" w:hAnsi="Times New Roman" w:cs="Times New Roman"/>
          <w:i/>
          <w:iCs/>
          <w:sz w:val="24"/>
          <w:szCs w:val="24"/>
        </w:rPr>
        <w:t>onus</w:t>
      </w:r>
      <w:r w:rsidR="0073200E" w:rsidRPr="0073200E">
        <w:rPr>
          <w:rFonts w:ascii="Times New Roman" w:hAnsi="Times New Roman" w:cs="Times New Roman"/>
          <w:sz w:val="24"/>
          <w:szCs w:val="24"/>
        </w:rPr>
        <w:t xml:space="preserve"> becomes decisive, i.e., the party with the </w:t>
      </w:r>
      <w:r w:rsidR="0073200E" w:rsidRPr="0073200E">
        <w:rPr>
          <w:rFonts w:ascii="Times New Roman" w:hAnsi="Times New Roman" w:cs="Times New Roman"/>
          <w:i/>
          <w:iCs/>
          <w:sz w:val="24"/>
          <w:szCs w:val="24"/>
        </w:rPr>
        <w:t>onus</w:t>
      </w:r>
      <w:r w:rsidR="0073200E" w:rsidRPr="0073200E">
        <w:rPr>
          <w:rFonts w:ascii="Times New Roman" w:hAnsi="Times New Roman" w:cs="Times New Roman"/>
          <w:sz w:val="24"/>
          <w:szCs w:val="24"/>
        </w:rPr>
        <w:t xml:space="preserve"> would not have discharged it as required by the law. The applicant bears the burden of proof and in such a case cannot be said to have discharged such burden. In the circumstances, the applicant has not established</w:t>
      </w:r>
      <w:r w:rsidR="00676AAB">
        <w:rPr>
          <w:rFonts w:ascii="Times New Roman" w:hAnsi="Times New Roman" w:cs="Times New Roman"/>
          <w:sz w:val="24"/>
          <w:szCs w:val="24"/>
        </w:rPr>
        <w:t xml:space="preserve"> a clear right as required by the law. </w:t>
      </w:r>
      <w:r w:rsidR="0047578B">
        <w:rPr>
          <w:rFonts w:ascii="Times New Roman" w:hAnsi="Times New Roman" w:cs="Times New Roman"/>
          <w:sz w:val="24"/>
          <w:szCs w:val="24"/>
        </w:rPr>
        <w:t xml:space="preserve">The absence of a clear right signals the end of </w:t>
      </w:r>
      <w:r w:rsidR="00D317F1">
        <w:rPr>
          <w:rFonts w:ascii="Times New Roman" w:hAnsi="Times New Roman" w:cs="Times New Roman"/>
          <w:sz w:val="24"/>
          <w:szCs w:val="24"/>
        </w:rPr>
        <w:t>this matter</w:t>
      </w:r>
      <w:r w:rsidR="00E254D1">
        <w:rPr>
          <w:rFonts w:ascii="Times New Roman" w:hAnsi="Times New Roman" w:cs="Times New Roman"/>
          <w:sz w:val="24"/>
          <w:szCs w:val="24"/>
        </w:rPr>
        <w:t>, and no useful purpose would be served by dealing with the other</w:t>
      </w:r>
      <w:r w:rsidR="0093594C">
        <w:rPr>
          <w:rFonts w:ascii="Times New Roman" w:hAnsi="Times New Roman" w:cs="Times New Roman"/>
          <w:sz w:val="24"/>
          <w:szCs w:val="24"/>
        </w:rPr>
        <w:t xml:space="preserve"> requirement of an interdict. </w:t>
      </w:r>
    </w:p>
    <w:p w14:paraId="4EB83D5C" w14:textId="111194DB" w:rsidR="008B4973" w:rsidRDefault="00370088" w:rsidP="00BE1C6A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C165D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E541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42F9" w:rsidRPr="00370088">
        <w:rPr>
          <w:rFonts w:ascii="Times New Roman" w:hAnsi="Times New Roman" w:cs="Times New Roman"/>
          <w:sz w:val="24"/>
          <w:szCs w:val="24"/>
          <w:lang w:val="en-US"/>
        </w:rPr>
        <w:t xml:space="preserve">In addition, this application would still have failed on the basis that the </w:t>
      </w:r>
      <w:r w:rsidR="00020FC2" w:rsidRPr="00370088">
        <w:rPr>
          <w:rFonts w:ascii="Times New Roman" w:hAnsi="Times New Roman" w:cs="Times New Roman"/>
          <w:sz w:val="24"/>
          <w:szCs w:val="24"/>
          <w:lang w:val="en-US"/>
        </w:rPr>
        <w:t xml:space="preserve">second respondent is in occupation of the farm. </w:t>
      </w:r>
      <w:r w:rsidR="004D077E" w:rsidRPr="00370088">
        <w:rPr>
          <w:rFonts w:ascii="Times New Roman" w:hAnsi="Times New Roman" w:cs="Times New Roman"/>
          <w:iCs/>
          <w:sz w:val="24"/>
          <w:szCs w:val="24"/>
        </w:rPr>
        <w:t>It is trite that t</w:t>
      </w:r>
      <w:r w:rsidR="004D077E" w:rsidRPr="00370088">
        <w:rPr>
          <w:rFonts w:ascii="Times New Roman" w:hAnsi="Times New Roman" w:cs="Times New Roman"/>
          <w:sz w:val="24"/>
          <w:szCs w:val="24"/>
        </w:rPr>
        <w:t xml:space="preserve">he primary objective of interdictory relief is to prevent or prohibit future unlawful conduct. The courts have long recognized that an interdict </w:t>
      </w:r>
      <w:r w:rsidR="004D077E" w:rsidRPr="00370088">
        <w:rPr>
          <w:rFonts w:ascii="Times New Roman" w:hAnsi="Times New Roman" w:cs="Times New Roman"/>
          <w:bCs/>
          <w:snapToGrid w:val="0"/>
          <w:sz w:val="24"/>
          <w:szCs w:val="24"/>
        </w:rPr>
        <w:t>is</w:t>
      </w:r>
      <w:r w:rsidR="004D077E" w:rsidRPr="00370088">
        <w:rPr>
          <w:rFonts w:ascii="Times New Roman" w:hAnsi="Times New Roman" w:cs="Times New Roman"/>
          <w:bCs/>
          <w:snapToGrid w:val="0"/>
          <w:sz w:val="24"/>
          <w:szCs w:val="24"/>
          <w:rtl/>
        </w:rPr>
        <w:t xml:space="preserve"> </w:t>
      </w:r>
      <w:r w:rsidRPr="00370088">
        <w:rPr>
          <w:rFonts w:ascii="Times New Roman" w:hAnsi="Times New Roman" w:cs="Times New Roman"/>
          <w:bCs/>
          <w:snapToGrid w:val="0"/>
          <w:sz w:val="24"/>
          <w:szCs w:val="24"/>
        </w:rPr>
        <w:t>not</w:t>
      </w:r>
      <w:r w:rsidRPr="00370088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</w:t>
      </w:r>
      <w:r w:rsidRPr="00370088">
        <w:rPr>
          <w:rFonts w:ascii="Times New Roman" w:hAnsi="Times New Roman" w:cs="Times New Roman"/>
          <w:snapToGrid w:val="0"/>
          <w:sz w:val="24"/>
          <w:szCs w:val="24"/>
        </w:rPr>
        <w:t>an</w:t>
      </w:r>
      <w:r w:rsidR="004D077E" w:rsidRPr="00370088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appropriate remedy for the past</w:t>
      </w:r>
      <w:r w:rsidR="004D077E" w:rsidRPr="0037008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4D077E" w:rsidRPr="0037008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violation of rights but is aimed at preventing future unlawful conduct. In </w:t>
      </w:r>
      <w:r w:rsidR="004D077E" w:rsidRPr="00370088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 xml:space="preserve">National Council of Societies for the Prevention of Cruelty to Animals </w:t>
      </w:r>
      <w:r w:rsidR="004D077E" w:rsidRPr="00370088">
        <w:rPr>
          <w:rFonts w:ascii="Times New Roman" w:hAnsi="Times New Roman" w:cs="Times New Roman"/>
          <w:bCs/>
          <w:iCs/>
          <w:snapToGrid w:val="0"/>
          <w:sz w:val="24"/>
          <w:szCs w:val="24"/>
        </w:rPr>
        <w:t xml:space="preserve">v </w:t>
      </w:r>
      <w:r w:rsidRPr="00370088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 xml:space="preserve">Openshaw </w:t>
      </w:r>
      <w:r w:rsidRPr="00370088">
        <w:rPr>
          <w:rFonts w:ascii="Times New Roman" w:hAnsi="Times New Roman" w:cs="Times New Roman"/>
          <w:bCs/>
          <w:snapToGrid w:val="0"/>
          <w:sz w:val="24"/>
          <w:szCs w:val="24"/>
        </w:rPr>
        <w:t>2008</w:t>
      </w:r>
      <w:r w:rsidR="004D077E" w:rsidRPr="0037008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5 SA 339 (SCA) 346 H para 20 it was held that </w:t>
      </w:r>
      <w:r w:rsidR="004D077E" w:rsidRPr="00370088">
        <w:rPr>
          <w:rFonts w:ascii="Times New Roman" w:hAnsi="Times New Roman" w:cs="Times New Roman"/>
          <w:snapToGrid w:val="0"/>
          <w:sz w:val="24"/>
          <w:szCs w:val="24"/>
        </w:rPr>
        <w:t xml:space="preserve">an interdict is not a remedy for the past invasion of rights but is concerned with present or future infringements. It is appropriate only where future injury is feared, and where a wrongful act giving rise to the injury has already occurred, it must be of a continuing nature or there must be a reasonable apprehension that it will be repeated. The court noted that an interdict is meant to prevent future unlawful conduct. An interdict seeks preventive rather than retributive justice. </w:t>
      </w:r>
    </w:p>
    <w:p w14:paraId="2591121F" w14:textId="0CE78798" w:rsidR="00270909" w:rsidRDefault="008B4973" w:rsidP="00AF126D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[</w:t>
      </w:r>
      <w:r w:rsidR="002C165D">
        <w:rPr>
          <w:rFonts w:ascii="Times New Roman" w:hAnsi="Times New Roman" w:cs="Times New Roman"/>
          <w:snapToGrid w:val="0"/>
          <w:sz w:val="24"/>
          <w:szCs w:val="24"/>
        </w:rPr>
        <w:t>11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] </w:t>
      </w:r>
      <w:r w:rsidR="00E5414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93C1A">
        <w:rPr>
          <w:rFonts w:ascii="Times New Roman" w:hAnsi="Times New Roman" w:cs="Times New Roman"/>
          <w:snapToGrid w:val="0"/>
          <w:sz w:val="24"/>
          <w:szCs w:val="24"/>
        </w:rPr>
        <w:t xml:space="preserve">A closer scrutiny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of the applicant’s case shows that </w:t>
      </w:r>
      <w:r w:rsidR="00EC7633">
        <w:rPr>
          <w:rFonts w:ascii="Times New Roman" w:hAnsi="Times New Roman" w:cs="Times New Roman"/>
          <w:snapToGrid w:val="0"/>
          <w:sz w:val="24"/>
          <w:szCs w:val="24"/>
        </w:rPr>
        <w:t xml:space="preserve">he is seeking </w:t>
      </w:r>
      <w:r w:rsidR="00276D02">
        <w:rPr>
          <w:rFonts w:ascii="Times New Roman" w:hAnsi="Times New Roman" w:cs="Times New Roman"/>
          <w:snapToGrid w:val="0"/>
          <w:sz w:val="24"/>
          <w:szCs w:val="24"/>
        </w:rPr>
        <w:t xml:space="preserve">the eviction </w:t>
      </w:r>
      <w:r w:rsidR="00316BB7">
        <w:rPr>
          <w:rFonts w:ascii="Times New Roman" w:hAnsi="Times New Roman" w:cs="Times New Roman"/>
          <w:snapToGrid w:val="0"/>
          <w:sz w:val="24"/>
          <w:szCs w:val="24"/>
        </w:rPr>
        <w:t xml:space="preserve">of the </w:t>
      </w:r>
      <w:r w:rsidR="00276D02">
        <w:rPr>
          <w:rFonts w:ascii="Times New Roman" w:hAnsi="Times New Roman" w:cs="Times New Roman"/>
          <w:snapToGrid w:val="0"/>
          <w:sz w:val="24"/>
          <w:szCs w:val="24"/>
        </w:rPr>
        <w:t xml:space="preserve">second respondent </w:t>
      </w:r>
      <w:r w:rsidR="00EC7633">
        <w:rPr>
          <w:rFonts w:ascii="Times New Roman" w:hAnsi="Times New Roman" w:cs="Times New Roman"/>
          <w:snapToGrid w:val="0"/>
          <w:sz w:val="24"/>
          <w:szCs w:val="24"/>
        </w:rPr>
        <w:t xml:space="preserve">by means of an interdict. </w:t>
      </w:r>
      <w:r w:rsidR="00F22D75">
        <w:rPr>
          <w:rFonts w:ascii="Times New Roman" w:hAnsi="Times New Roman" w:cs="Times New Roman"/>
          <w:snapToGrid w:val="0"/>
          <w:sz w:val="24"/>
          <w:szCs w:val="24"/>
        </w:rPr>
        <w:t>A remedy of eviction cannot be obtained through an interdict</w:t>
      </w:r>
      <w:r w:rsidR="004521D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3B1263">
        <w:rPr>
          <w:rFonts w:ascii="Times New Roman" w:hAnsi="Times New Roman" w:cs="Times New Roman"/>
          <w:snapToGrid w:val="0"/>
          <w:sz w:val="24"/>
          <w:szCs w:val="24"/>
        </w:rPr>
        <w:t xml:space="preserve">Regarding the first respondent, the facts of this case shows that he is just a mere </w:t>
      </w:r>
      <w:r w:rsidR="00486D75">
        <w:rPr>
          <w:rFonts w:ascii="Times New Roman" w:hAnsi="Times New Roman" w:cs="Times New Roman"/>
          <w:snapToGrid w:val="0"/>
          <w:sz w:val="24"/>
          <w:szCs w:val="24"/>
        </w:rPr>
        <w:t xml:space="preserve">neighbour and has no interest in this matter. </w:t>
      </w:r>
      <w:r w:rsidR="00AF126D">
        <w:rPr>
          <w:rFonts w:ascii="Times New Roman" w:hAnsi="Times New Roman" w:cs="Times New Roman"/>
          <w:snapToGrid w:val="0"/>
          <w:sz w:val="24"/>
          <w:szCs w:val="24"/>
        </w:rPr>
        <w:t xml:space="preserve">It is for the above reasons that this application must fail. </w:t>
      </w:r>
    </w:p>
    <w:p w14:paraId="0F33142F" w14:textId="0752700B" w:rsidR="00F43EE7" w:rsidRPr="00F43EE7" w:rsidRDefault="006B5667" w:rsidP="00F43E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EE7">
        <w:rPr>
          <w:rFonts w:ascii="Times New Roman" w:hAnsi="Times New Roman" w:cs="Times New Roman"/>
          <w:snapToGrid w:val="0"/>
          <w:sz w:val="24"/>
          <w:szCs w:val="24"/>
        </w:rPr>
        <w:t>[1</w:t>
      </w:r>
      <w:r w:rsidR="002C165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F43EE7">
        <w:rPr>
          <w:rFonts w:ascii="Times New Roman" w:hAnsi="Times New Roman" w:cs="Times New Roman"/>
          <w:snapToGrid w:val="0"/>
          <w:sz w:val="24"/>
          <w:szCs w:val="24"/>
        </w:rPr>
        <w:t xml:space="preserve">] </w:t>
      </w:r>
      <w:r w:rsidR="00E5414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F43EE7" w:rsidRPr="00F43EE7">
        <w:rPr>
          <w:rFonts w:ascii="Times New Roman" w:hAnsi="Times New Roman" w:cs="Times New Roman"/>
          <w:sz w:val="24"/>
          <w:szCs w:val="24"/>
        </w:rPr>
        <w:t>The applicant has failed to obtain the relief he sought from this court. There are no special reasons warranting a departure from the general rule that costs should follow the result. The respondent</w:t>
      </w:r>
      <w:r w:rsidR="00F22D75">
        <w:rPr>
          <w:rFonts w:ascii="Times New Roman" w:hAnsi="Times New Roman" w:cs="Times New Roman"/>
          <w:sz w:val="24"/>
          <w:szCs w:val="24"/>
        </w:rPr>
        <w:t>s are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entitled to </w:t>
      </w:r>
      <w:r w:rsidR="00F22D75">
        <w:rPr>
          <w:rFonts w:ascii="Times New Roman" w:hAnsi="Times New Roman" w:cs="Times New Roman"/>
          <w:sz w:val="24"/>
          <w:szCs w:val="24"/>
        </w:rPr>
        <w:t>their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costs.  The respondent</w:t>
      </w:r>
      <w:r w:rsidR="000A7EFD">
        <w:rPr>
          <w:rFonts w:ascii="Times New Roman" w:hAnsi="Times New Roman" w:cs="Times New Roman"/>
          <w:sz w:val="24"/>
          <w:szCs w:val="24"/>
        </w:rPr>
        <w:t>s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sought costs on a legal practitioner</w:t>
      </w:r>
      <w:r w:rsidR="00F22D75">
        <w:rPr>
          <w:rFonts w:ascii="Times New Roman" w:hAnsi="Times New Roman" w:cs="Times New Roman"/>
          <w:sz w:val="24"/>
          <w:szCs w:val="24"/>
        </w:rPr>
        <w:t xml:space="preserve"> and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client scale. Such costs are not for the mere asking. Something more underlies the practice of awarding costs on a legal and practitioner scale, than the mere punishment of the losing party. In other words, a litigant is not mulct with costs on a legal practitioner and client scale for being unsuccessful in the litigation. Such costs require proper explanation grounded in the law.   See </w:t>
      </w:r>
      <w:r w:rsidR="00F43EE7" w:rsidRPr="00F43EE7">
        <w:rPr>
          <w:rFonts w:ascii="Times New Roman" w:hAnsi="Times New Roman" w:cs="Times New Roman"/>
          <w:i/>
          <w:iCs/>
          <w:sz w:val="24"/>
          <w:szCs w:val="24"/>
        </w:rPr>
        <w:t xml:space="preserve">Railings Enterprises (Pvt) </w:t>
      </w:r>
      <w:r w:rsidR="00F43EE7" w:rsidRPr="00FF46FF">
        <w:rPr>
          <w:rFonts w:ascii="Times New Roman" w:hAnsi="Times New Roman" w:cs="Times New Roman"/>
          <w:iCs/>
          <w:sz w:val="24"/>
          <w:szCs w:val="24"/>
        </w:rPr>
        <w:t>v</w:t>
      </w:r>
      <w:r w:rsidR="00F43EE7" w:rsidRPr="00F43EE7">
        <w:rPr>
          <w:rFonts w:ascii="Times New Roman" w:hAnsi="Times New Roman" w:cs="Times New Roman"/>
          <w:i/>
          <w:iCs/>
          <w:sz w:val="24"/>
          <w:szCs w:val="24"/>
        </w:rPr>
        <w:t xml:space="preserve"> Luwo &amp; Ors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2020 (2) ZLR 51 (H); </w:t>
      </w:r>
      <w:r w:rsidR="00F43EE7" w:rsidRPr="00F43EE7">
        <w:rPr>
          <w:rFonts w:ascii="Times New Roman" w:hAnsi="Times New Roman" w:cs="Times New Roman"/>
          <w:i/>
          <w:iCs/>
          <w:sz w:val="24"/>
          <w:szCs w:val="24"/>
        </w:rPr>
        <w:t xml:space="preserve">Kangai </w:t>
      </w:r>
      <w:r w:rsidR="00F43EE7" w:rsidRPr="00E5414C">
        <w:rPr>
          <w:rFonts w:ascii="Times New Roman" w:hAnsi="Times New Roman" w:cs="Times New Roman"/>
          <w:sz w:val="24"/>
          <w:szCs w:val="24"/>
        </w:rPr>
        <w:t>v</w:t>
      </w:r>
      <w:r w:rsidR="00F43EE7" w:rsidRPr="00F43EE7">
        <w:rPr>
          <w:rFonts w:ascii="Times New Roman" w:hAnsi="Times New Roman" w:cs="Times New Roman"/>
          <w:i/>
          <w:iCs/>
          <w:sz w:val="24"/>
          <w:szCs w:val="24"/>
        </w:rPr>
        <w:t xml:space="preserve"> Netone Cellular (Pvt) Ltd</w:t>
      </w:r>
      <w:r w:rsidR="00F43EE7" w:rsidRPr="00F43EE7">
        <w:rPr>
          <w:rFonts w:ascii="Times New Roman" w:hAnsi="Times New Roman" w:cs="Times New Roman"/>
          <w:sz w:val="24"/>
          <w:szCs w:val="24"/>
        </w:rPr>
        <w:t xml:space="preserve"> 2020 (1) ZLR 660 (H). No case has been made for such costs in this case. Costs on a party and party scale will meet the justice of the case. </w:t>
      </w:r>
    </w:p>
    <w:p w14:paraId="359A1788" w14:textId="5BBF4FA1" w:rsidR="00F43EE7" w:rsidRDefault="00F43EE7" w:rsidP="00F43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result, I order as follows:</w:t>
      </w:r>
    </w:p>
    <w:p w14:paraId="738588AE" w14:textId="555EB738" w:rsidR="00F43EE7" w:rsidRDefault="00F43EE7" w:rsidP="00F43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is dismissed with costs of suit. </w:t>
      </w:r>
    </w:p>
    <w:p w14:paraId="5D89D60C" w14:textId="77777777" w:rsidR="00E5414C" w:rsidRDefault="00E5414C" w:rsidP="00F43EE7">
      <w:pPr>
        <w:rPr>
          <w:rFonts w:ascii="Times New Roman" w:hAnsi="Times New Roman" w:cs="Times New Roman"/>
          <w:sz w:val="24"/>
          <w:szCs w:val="24"/>
        </w:rPr>
      </w:pPr>
    </w:p>
    <w:p w14:paraId="7E387C8B" w14:textId="77777777" w:rsidR="00E5414C" w:rsidRDefault="00E5414C" w:rsidP="00F43EE7">
      <w:pPr>
        <w:rPr>
          <w:rFonts w:ascii="Times New Roman" w:hAnsi="Times New Roman" w:cs="Times New Roman"/>
          <w:sz w:val="24"/>
          <w:szCs w:val="24"/>
        </w:rPr>
      </w:pPr>
    </w:p>
    <w:p w14:paraId="64D977F7" w14:textId="3182B8F9" w:rsidR="00F43EE7" w:rsidRPr="00E5414C" w:rsidRDefault="00E5414C" w:rsidP="00F43EE7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5414C">
        <w:rPr>
          <w:rFonts w:ascii="Times New Roman" w:hAnsi="Times New Roman" w:cs="Times New Roman"/>
          <w:b/>
          <w:bCs/>
          <w:smallCaps/>
          <w:sz w:val="24"/>
          <w:szCs w:val="24"/>
        </w:rPr>
        <w:t>Dube-Banda J:……………………………………</w:t>
      </w:r>
    </w:p>
    <w:p w14:paraId="69F2D6A2" w14:textId="2E531E3E" w:rsidR="009B4BB0" w:rsidRPr="00327B7F" w:rsidRDefault="009B4BB0" w:rsidP="00F22D75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27B7F">
        <w:rPr>
          <w:rFonts w:ascii="Times New Roman" w:hAnsi="Times New Roman" w:cs="Times New Roman"/>
          <w:i/>
          <w:iCs/>
          <w:snapToGrid w:val="0"/>
          <w:sz w:val="24"/>
          <w:szCs w:val="24"/>
        </w:rPr>
        <w:t>Mabulala &amp; Dembure,</w:t>
      </w:r>
      <w:r w:rsidRPr="00327B7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27B7F" w:rsidRPr="00327B7F">
        <w:rPr>
          <w:rFonts w:ascii="Times New Roman" w:hAnsi="Times New Roman" w:cs="Times New Roman"/>
          <w:snapToGrid w:val="0"/>
          <w:sz w:val="24"/>
          <w:szCs w:val="24"/>
        </w:rPr>
        <w:t>applicant’s legal practitioners</w:t>
      </w:r>
      <w:r w:rsidR="00327B7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7C2C494" w14:textId="76B1C30C" w:rsidR="00F43EE7" w:rsidRDefault="00CA7293" w:rsidP="00F22D75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27B7F">
        <w:rPr>
          <w:rFonts w:ascii="Times New Roman" w:hAnsi="Times New Roman" w:cs="Times New Roman"/>
          <w:i/>
          <w:iCs/>
          <w:snapToGrid w:val="0"/>
          <w:sz w:val="24"/>
          <w:szCs w:val="24"/>
        </w:rPr>
        <w:t>Nyamwanza &amp; Associates,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27B7F">
        <w:rPr>
          <w:rFonts w:ascii="Times New Roman" w:hAnsi="Times New Roman" w:cs="Times New Roman"/>
          <w:snapToGrid w:val="0"/>
          <w:sz w:val="24"/>
          <w:szCs w:val="24"/>
        </w:rPr>
        <w:t>respondents’</w:t>
      </w:r>
      <w:r w:rsidR="009B4BB0">
        <w:rPr>
          <w:rFonts w:ascii="Times New Roman" w:hAnsi="Times New Roman" w:cs="Times New Roman"/>
          <w:snapToGrid w:val="0"/>
          <w:sz w:val="24"/>
          <w:szCs w:val="24"/>
        </w:rPr>
        <w:t xml:space="preserve"> legal practitioners </w:t>
      </w:r>
    </w:p>
    <w:p w14:paraId="0867DC68" w14:textId="77777777" w:rsidR="00F43EE7" w:rsidRDefault="00F43EE7" w:rsidP="00F522A5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3250B66" w14:textId="77777777" w:rsidR="00F43EE7" w:rsidRDefault="00F43EE7" w:rsidP="00F522A5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F43EE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3469" w14:textId="77777777" w:rsidR="004E1C33" w:rsidRDefault="004E1C33" w:rsidP="00715CD4">
      <w:pPr>
        <w:spacing w:after="0" w:line="240" w:lineRule="auto"/>
      </w:pPr>
      <w:r>
        <w:separator/>
      </w:r>
    </w:p>
  </w:endnote>
  <w:endnote w:type="continuationSeparator" w:id="0">
    <w:p w14:paraId="3B11F2E2" w14:textId="77777777" w:rsidR="004E1C33" w:rsidRDefault="004E1C33" w:rsidP="0071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609C" w14:textId="77777777" w:rsidR="004E1C33" w:rsidRDefault="004E1C33" w:rsidP="00715CD4">
      <w:pPr>
        <w:spacing w:after="0" w:line="240" w:lineRule="auto"/>
      </w:pPr>
      <w:r>
        <w:separator/>
      </w:r>
    </w:p>
  </w:footnote>
  <w:footnote w:type="continuationSeparator" w:id="0">
    <w:p w14:paraId="675A1C65" w14:textId="77777777" w:rsidR="004E1C33" w:rsidRDefault="004E1C33" w:rsidP="0071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05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F2E1F58" w14:textId="17FCDA65" w:rsidR="00715CD4" w:rsidRDefault="00715CD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15C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5C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5C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400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5C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29F18D4" w14:textId="78161374" w:rsidR="008E6845" w:rsidRPr="00715CD4" w:rsidRDefault="001D23B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 xml:space="preserve">HH </w:t>
        </w:r>
        <w:r w:rsidR="008E6845">
          <w:rPr>
            <w:rFonts w:ascii="Times New Roman" w:hAnsi="Times New Roman" w:cs="Times New Roman"/>
            <w:noProof/>
            <w:sz w:val="24"/>
            <w:szCs w:val="24"/>
          </w:rPr>
          <w:t>347-25</w:t>
        </w:r>
      </w:p>
      <w:p w14:paraId="14A3CFDF" w14:textId="54CC5DE1" w:rsidR="00715CD4" w:rsidRPr="00715CD4" w:rsidRDefault="006F274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HCH 3380</w:t>
        </w:r>
        <w:r w:rsidR="00715CD4" w:rsidRPr="00715CD4">
          <w:rPr>
            <w:rFonts w:ascii="Times New Roman" w:hAnsi="Times New Roman" w:cs="Times New Roman"/>
            <w:noProof/>
            <w:sz w:val="24"/>
            <w:szCs w:val="24"/>
          </w:rPr>
          <w:t>/24</w:t>
        </w:r>
      </w:p>
    </w:sdtContent>
  </w:sdt>
  <w:p w14:paraId="6BBEA10A" w14:textId="77777777" w:rsidR="00715CD4" w:rsidRPr="00715CD4" w:rsidRDefault="00715CD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[%1]"/>
      <w:lvlJc w:val="left"/>
      <w:rPr>
        <w:rFonts w:cs="Times New Roman"/>
      </w:rPr>
    </w:lvl>
    <w:lvl w:ilvl="1">
      <w:start w:val="1"/>
      <w:numFmt w:val="decimal"/>
      <w:lvlText w:val="[%1.%2]"/>
      <w:lvlJc w:val="left"/>
      <w:rPr>
        <w:rFonts w:cs="Times New Roman"/>
      </w:rPr>
    </w:lvl>
    <w:lvl w:ilvl="2">
      <w:start w:val="1"/>
      <w:numFmt w:val="decimal"/>
      <w:lvlText w:val="[%1.%2.%3]"/>
      <w:lvlJc w:val="left"/>
      <w:rPr>
        <w:rFonts w:cs="Times New Roman"/>
      </w:rPr>
    </w:lvl>
    <w:lvl w:ilvl="3">
      <w:start w:val="1"/>
      <w:numFmt w:val="decimal"/>
      <w:lvlText w:val="[%1.%2.%3.%4]"/>
      <w:lvlJc w:val="left"/>
      <w:rPr>
        <w:rFonts w:cs="Times New Roman"/>
      </w:rPr>
    </w:lvl>
    <w:lvl w:ilvl="4">
      <w:start w:val="1"/>
      <w:numFmt w:val="decimal"/>
      <w:lvlText w:val="[%1.%2.%3.%4.%5]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2" w15:restartNumberingAfterBreak="0">
    <w:nsid w:val="09B22131"/>
    <w:multiLevelType w:val="hybridMultilevel"/>
    <w:tmpl w:val="401E0D6C"/>
    <w:lvl w:ilvl="0" w:tplc="074C511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04D02"/>
    <w:multiLevelType w:val="hybridMultilevel"/>
    <w:tmpl w:val="C5CCAB78"/>
    <w:lvl w:ilvl="0" w:tplc="074C511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05D"/>
    <w:multiLevelType w:val="hybridMultilevel"/>
    <w:tmpl w:val="5F105BD4"/>
    <w:lvl w:ilvl="0" w:tplc="074C511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F3AC7"/>
    <w:multiLevelType w:val="hybridMultilevel"/>
    <w:tmpl w:val="41F8493E"/>
    <w:lvl w:ilvl="0" w:tplc="3009001B">
      <w:start w:val="1"/>
      <w:numFmt w:val="lowerRoman"/>
      <w:pStyle w:val="a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0063"/>
    <w:multiLevelType w:val="hybridMultilevel"/>
    <w:tmpl w:val="F1D64104"/>
    <w:lvl w:ilvl="0" w:tplc="3009001B">
      <w:start w:val="1"/>
      <w:numFmt w:val="lowerRoman"/>
      <w:lvlText w:val="%1."/>
      <w:lvlJc w:val="righ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EB"/>
    <w:rsid w:val="0001716B"/>
    <w:rsid w:val="00020FC2"/>
    <w:rsid w:val="00030F87"/>
    <w:rsid w:val="00053424"/>
    <w:rsid w:val="00054477"/>
    <w:rsid w:val="000566A3"/>
    <w:rsid w:val="00063495"/>
    <w:rsid w:val="000A646E"/>
    <w:rsid w:val="000A7EFD"/>
    <w:rsid w:val="000F1FEB"/>
    <w:rsid w:val="00112D9D"/>
    <w:rsid w:val="001410EC"/>
    <w:rsid w:val="00142489"/>
    <w:rsid w:val="00146F00"/>
    <w:rsid w:val="0018093D"/>
    <w:rsid w:val="00196135"/>
    <w:rsid w:val="001C252C"/>
    <w:rsid w:val="001C3223"/>
    <w:rsid w:val="001D23B4"/>
    <w:rsid w:val="001F08F6"/>
    <w:rsid w:val="0021453B"/>
    <w:rsid w:val="00226646"/>
    <w:rsid w:val="00242A94"/>
    <w:rsid w:val="00251739"/>
    <w:rsid w:val="00256882"/>
    <w:rsid w:val="00270753"/>
    <w:rsid w:val="00270909"/>
    <w:rsid w:val="00276D02"/>
    <w:rsid w:val="00280B62"/>
    <w:rsid w:val="00284167"/>
    <w:rsid w:val="00296372"/>
    <w:rsid w:val="002A1CC0"/>
    <w:rsid w:val="002C165D"/>
    <w:rsid w:val="002D3670"/>
    <w:rsid w:val="002E5954"/>
    <w:rsid w:val="002E627E"/>
    <w:rsid w:val="002F67F3"/>
    <w:rsid w:val="00316BB7"/>
    <w:rsid w:val="00327B7F"/>
    <w:rsid w:val="00330586"/>
    <w:rsid w:val="00351314"/>
    <w:rsid w:val="0036579B"/>
    <w:rsid w:val="00366B5B"/>
    <w:rsid w:val="00370088"/>
    <w:rsid w:val="003749A6"/>
    <w:rsid w:val="00374B7B"/>
    <w:rsid w:val="0038774E"/>
    <w:rsid w:val="003A2B5E"/>
    <w:rsid w:val="003B1263"/>
    <w:rsid w:val="003B7160"/>
    <w:rsid w:val="003C756A"/>
    <w:rsid w:val="003D76FA"/>
    <w:rsid w:val="003E27C4"/>
    <w:rsid w:val="003E55A3"/>
    <w:rsid w:val="003F14AE"/>
    <w:rsid w:val="003F2385"/>
    <w:rsid w:val="003F2947"/>
    <w:rsid w:val="003F37BB"/>
    <w:rsid w:val="00436D4E"/>
    <w:rsid w:val="004521D9"/>
    <w:rsid w:val="004562BB"/>
    <w:rsid w:val="00466AE9"/>
    <w:rsid w:val="0047549F"/>
    <w:rsid w:val="0047578B"/>
    <w:rsid w:val="00475DD1"/>
    <w:rsid w:val="004777CD"/>
    <w:rsid w:val="0048685E"/>
    <w:rsid w:val="00486D75"/>
    <w:rsid w:val="00493E58"/>
    <w:rsid w:val="004B4D82"/>
    <w:rsid w:val="004D077E"/>
    <w:rsid w:val="004D5ADA"/>
    <w:rsid w:val="004E1C33"/>
    <w:rsid w:val="004F3432"/>
    <w:rsid w:val="004F75E8"/>
    <w:rsid w:val="00525ECB"/>
    <w:rsid w:val="00540790"/>
    <w:rsid w:val="005505C5"/>
    <w:rsid w:val="005A1FA6"/>
    <w:rsid w:val="005B3D95"/>
    <w:rsid w:val="005D42F9"/>
    <w:rsid w:val="005D70C5"/>
    <w:rsid w:val="005E0690"/>
    <w:rsid w:val="006054E5"/>
    <w:rsid w:val="00631FEC"/>
    <w:rsid w:val="00636CD4"/>
    <w:rsid w:val="00640AF3"/>
    <w:rsid w:val="006425BC"/>
    <w:rsid w:val="00643490"/>
    <w:rsid w:val="00643867"/>
    <w:rsid w:val="0065219C"/>
    <w:rsid w:val="00664198"/>
    <w:rsid w:val="006758D5"/>
    <w:rsid w:val="00676AAB"/>
    <w:rsid w:val="00684006"/>
    <w:rsid w:val="00695AC2"/>
    <w:rsid w:val="006B3864"/>
    <w:rsid w:val="006B3A42"/>
    <w:rsid w:val="006B5667"/>
    <w:rsid w:val="006C37FB"/>
    <w:rsid w:val="006D5B23"/>
    <w:rsid w:val="006F05A6"/>
    <w:rsid w:val="006F2746"/>
    <w:rsid w:val="00703801"/>
    <w:rsid w:val="00711CEC"/>
    <w:rsid w:val="00715CD4"/>
    <w:rsid w:val="0073200E"/>
    <w:rsid w:val="00742976"/>
    <w:rsid w:val="00742DB4"/>
    <w:rsid w:val="00743A3A"/>
    <w:rsid w:val="0079536F"/>
    <w:rsid w:val="007A39DC"/>
    <w:rsid w:val="007E189A"/>
    <w:rsid w:val="007E349D"/>
    <w:rsid w:val="008020EC"/>
    <w:rsid w:val="00802FEE"/>
    <w:rsid w:val="00805019"/>
    <w:rsid w:val="00817FE6"/>
    <w:rsid w:val="00825A75"/>
    <w:rsid w:val="00826C7B"/>
    <w:rsid w:val="0084420A"/>
    <w:rsid w:val="00844DE5"/>
    <w:rsid w:val="008500BB"/>
    <w:rsid w:val="00852B2F"/>
    <w:rsid w:val="008551BB"/>
    <w:rsid w:val="0085774B"/>
    <w:rsid w:val="008658EE"/>
    <w:rsid w:val="0088005E"/>
    <w:rsid w:val="00893C1A"/>
    <w:rsid w:val="00896273"/>
    <w:rsid w:val="008A6798"/>
    <w:rsid w:val="008B4973"/>
    <w:rsid w:val="008E0BBD"/>
    <w:rsid w:val="008E6845"/>
    <w:rsid w:val="008E72E6"/>
    <w:rsid w:val="008F10B4"/>
    <w:rsid w:val="009104F5"/>
    <w:rsid w:val="00921413"/>
    <w:rsid w:val="0093594C"/>
    <w:rsid w:val="00937423"/>
    <w:rsid w:val="009402EE"/>
    <w:rsid w:val="00945A29"/>
    <w:rsid w:val="00950E33"/>
    <w:rsid w:val="009705FF"/>
    <w:rsid w:val="009B18F0"/>
    <w:rsid w:val="009B4BB0"/>
    <w:rsid w:val="009B4BF8"/>
    <w:rsid w:val="009D649E"/>
    <w:rsid w:val="009F396B"/>
    <w:rsid w:val="00A10765"/>
    <w:rsid w:val="00A270FF"/>
    <w:rsid w:val="00A5277D"/>
    <w:rsid w:val="00A6420F"/>
    <w:rsid w:val="00A87467"/>
    <w:rsid w:val="00AA08C2"/>
    <w:rsid w:val="00AA51A3"/>
    <w:rsid w:val="00AD5599"/>
    <w:rsid w:val="00AF126D"/>
    <w:rsid w:val="00AF4B62"/>
    <w:rsid w:val="00AF5D38"/>
    <w:rsid w:val="00B14428"/>
    <w:rsid w:val="00B302C6"/>
    <w:rsid w:val="00B32A29"/>
    <w:rsid w:val="00B3544F"/>
    <w:rsid w:val="00B70E16"/>
    <w:rsid w:val="00BA3C10"/>
    <w:rsid w:val="00BC0B9E"/>
    <w:rsid w:val="00BC4E6C"/>
    <w:rsid w:val="00BC76B4"/>
    <w:rsid w:val="00BE1C6A"/>
    <w:rsid w:val="00BE429F"/>
    <w:rsid w:val="00BF088B"/>
    <w:rsid w:val="00BF20E7"/>
    <w:rsid w:val="00C27F2E"/>
    <w:rsid w:val="00C444F0"/>
    <w:rsid w:val="00C55B67"/>
    <w:rsid w:val="00C92E7F"/>
    <w:rsid w:val="00CA68C1"/>
    <w:rsid w:val="00CA7293"/>
    <w:rsid w:val="00CB651D"/>
    <w:rsid w:val="00CD625B"/>
    <w:rsid w:val="00CF125C"/>
    <w:rsid w:val="00D00E3E"/>
    <w:rsid w:val="00D20FD0"/>
    <w:rsid w:val="00D317F1"/>
    <w:rsid w:val="00D613FB"/>
    <w:rsid w:val="00D758D0"/>
    <w:rsid w:val="00D77561"/>
    <w:rsid w:val="00D83B4A"/>
    <w:rsid w:val="00DA0B37"/>
    <w:rsid w:val="00DC5C8A"/>
    <w:rsid w:val="00DD2153"/>
    <w:rsid w:val="00DE7CA4"/>
    <w:rsid w:val="00E037C9"/>
    <w:rsid w:val="00E168AF"/>
    <w:rsid w:val="00E22268"/>
    <w:rsid w:val="00E254D1"/>
    <w:rsid w:val="00E34B15"/>
    <w:rsid w:val="00E40A96"/>
    <w:rsid w:val="00E4491A"/>
    <w:rsid w:val="00E502AA"/>
    <w:rsid w:val="00E5414C"/>
    <w:rsid w:val="00E56330"/>
    <w:rsid w:val="00E61671"/>
    <w:rsid w:val="00E67157"/>
    <w:rsid w:val="00E67B86"/>
    <w:rsid w:val="00E839A8"/>
    <w:rsid w:val="00E96AAE"/>
    <w:rsid w:val="00E96F34"/>
    <w:rsid w:val="00EA4400"/>
    <w:rsid w:val="00EA4989"/>
    <w:rsid w:val="00EB24FE"/>
    <w:rsid w:val="00EC7633"/>
    <w:rsid w:val="00ED25F3"/>
    <w:rsid w:val="00ED7A5A"/>
    <w:rsid w:val="00EE022F"/>
    <w:rsid w:val="00F13F7F"/>
    <w:rsid w:val="00F22D75"/>
    <w:rsid w:val="00F36945"/>
    <w:rsid w:val="00F43EE7"/>
    <w:rsid w:val="00F522A5"/>
    <w:rsid w:val="00F55326"/>
    <w:rsid w:val="00F55BA8"/>
    <w:rsid w:val="00F72A5E"/>
    <w:rsid w:val="00FB6923"/>
    <w:rsid w:val="00FE068E"/>
    <w:rsid w:val="00FF46FF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36FA"/>
  <w15:chartTrackingRefBased/>
  <w15:docId w15:val="{E93879B4-7EF7-4F2A-97C7-15DEB0BF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F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1FEB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774B"/>
    <w:rPr>
      <w:color w:val="0563C1" w:themeColor="hyperlink"/>
      <w:u w:val="single"/>
    </w:rPr>
  </w:style>
  <w:style w:type="paragraph" w:customStyle="1" w:styleId="a">
    <w:name w:val="ö"/>
    <w:basedOn w:val="Normal"/>
    <w:uiPriority w:val="99"/>
    <w:rsid w:val="00270909"/>
    <w:pPr>
      <w:widowControl w:val="0"/>
      <w:numPr>
        <w:numId w:val="2"/>
      </w:numPr>
      <w:tabs>
        <w:tab w:val="left" w:pos="566"/>
        <w:tab w:val="left" w:pos="1132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  <w:tab w:val="left" w:pos="9056"/>
        <w:tab w:val="left" w:pos="9622"/>
      </w:tabs>
      <w:autoSpaceDE w:val="0"/>
      <w:autoSpaceDN w:val="0"/>
      <w:adjustRightInd w:val="0"/>
      <w:spacing w:after="0" w:line="240" w:lineRule="auto"/>
      <w:ind w:left="28"/>
      <w:outlineLvl w:val="0"/>
    </w:pPr>
    <w:rPr>
      <w:rFonts w:ascii="Arial" w:eastAsiaTheme="minorEastAsia" w:hAnsi="Arial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5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D4"/>
  </w:style>
  <w:style w:type="paragraph" w:styleId="Footer">
    <w:name w:val="footer"/>
    <w:basedOn w:val="Normal"/>
    <w:link w:val="FooterChar"/>
    <w:uiPriority w:val="99"/>
    <w:unhideWhenUsed/>
    <w:rsid w:val="00715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EAB1-3859-4C84-80A0-62ECD82C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Dube-Banda</dc:creator>
  <cp:keywords/>
  <dc:description/>
  <cp:lastModifiedBy>JSC</cp:lastModifiedBy>
  <cp:revision>2</cp:revision>
  <cp:lastPrinted>2025-06-09T13:43:00Z</cp:lastPrinted>
  <dcterms:created xsi:type="dcterms:W3CDTF">2025-06-13T12:04:00Z</dcterms:created>
  <dcterms:modified xsi:type="dcterms:W3CDTF">2025-06-13T12:04:00Z</dcterms:modified>
</cp:coreProperties>
</file>