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EA" w:rsidRPr="007D45BF" w:rsidRDefault="000314B6" w:rsidP="000314B6">
      <w:pPr>
        <w:spacing w:after="0" w:line="240" w:lineRule="auto"/>
        <w:rPr>
          <w:rFonts w:ascii="Times New Roman" w:hAnsi="Times New Roman" w:cs="Times New Roman"/>
          <w:b/>
          <w:sz w:val="24"/>
          <w:szCs w:val="24"/>
        </w:rPr>
      </w:pPr>
      <w:r w:rsidRPr="007D45BF">
        <w:rPr>
          <w:rFonts w:ascii="Times New Roman" w:hAnsi="Times New Roman" w:cs="Times New Roman"/>
          <w:b/>
          <w:sz w:val="24"/>
          <w:szCs w:val="24"/>
        </w:rPr>
        <w:t>IN THE LABOUR COURT OF ZIMBABWE</w:t>
      </w:r>
      <w:r w:rsidRPr="007D45BF">
        <w:rPr>
          <w:rFonts w:ascii="Times New Roman" w:hAnsi="Times New Roman" w:cs="Times New Roman"/>
          <w:b/>
          <w:sz w:val="24"/>
          <w:szCs w:val="24"/>
        </w:rPr>
        <w:tab/>
        <w:t xml:space="preserve"> </w:t>
      </w:r>
      <w:r w:rsidR="003700AC">
        <w:rPr>
          <w:rFonts w:ascii="Times New Roman" w:hAnsi="Times New Roman" w:cs="Times New Roman"/>
          <w:b/>
          <w:sz w:val="24"/>
          <w:szCs w:val="24"/>
        </w:rPr>
        <w:t xml:space="preserve">       </w:t>
      </w:r>
      <w:r w:rsidRPr="007D45BF">
        <w:rPr>
          <w:rFonts w:ascii="Times New Roman" w:hAnsi="Times New Roman" w:cs="Times New Roman"/>
          <w:b/>
          <w:sz w:val="24"/>
          <w:szCs w:val="24"/>
        </w:rPr>
        <w:t xml:space="preserve"> JUDGMENT NO LC/H/</w:t>
      </w:r>
      <w:r w:rsidR="00F10B30">
        <w:rPr>
          <w:rFonts w:ascii="Times New Roman" w:hAnsi="Times New Roman" w:cs="Times New Roman"/>
          <w:b/>
          <w:sz w:val="24"/>
          <w:szCs w:val="24"/>
        </w:rPr>
        <w:t>79</w:t>
      </w:r>
      <w:r w:rsidRPr="007D45BF">
        <w:rPr>
          <w:rFonts w:ascii="Times New Roman" w:hAnsi="Times New Roman" w:cs="Times New Roman"/>
          <w:b/>
          <w:sz w:val="24"/>
          <w:szCs w:val="24"/>
        </w:rPr>
        <w:t>/2016</w:t>
      </w:r>
    </w:p>
    <w:p w:rsidR="000314B6" w:rsidRPr="007D45BF" w:rsidRDefault="000314B6" w:rsidP="000314B6">
      <w:pPr>
        <w:spacing w:after="0" w:line="240" w:lineRule="auto"/>
        <w:rPr>
          <w:rFonts w:ascii="Times New Roman" w:hAnsi="Times New Roman" w:cs="Times New Roman"/>
          <w:b/>
          <w:sz w:val="24"/>
          <w:szCs w:val="24"/>
        </w:rPr>
      </w:pPr>
    </w:p>
    <w:p w:rsidR="000314B6" w:rsidRPr="007D45BF" w:rsidRDefault="000314B6" w:rsidP="000314B6">
      <w:pPr>
        <w:spacing w:after="0" w:line="240" w:lineRule="auto"/>
        <w:rPr>
          <w:rFonts w:ascii="Times New Roman" w:hAnsi="Times New Roman" w:cs="Times New Roman"/>
          <w:b/>
          <w:sz w:val="24"/>
          <w:szCs w:val="24"/>
        </w:rPr>
      </w:pPr>
      <w:r w:rsidRPr="007D45BF">
        <w:rPr>
          <w:rFonts w:ascii="Times New Roman" w:hAnsi="Times New Roman" w:cs="Times New Roman"/>
          <w:b/>
          <w:sz w:val="24"/>
          <w:szCs w:val="24"/>
        </w:rPr>
        <w:t xml:space="preserve">HARARE, </w:t>
      </w:r>
      <w:r w:rsidR="008F1051">
        <w:rPr>
          <w:rFonts w:ascii="Times New Roman" w:hAnsi="Times New Roman" w:cs="Times New Roman"/>
          <w:b/>
          <w:sz w:val="24"/>
          <w:szCs w:val="24"/>
        </w:rPr>
        <w:t>9</w:t>
      </w:r>
      <w:r w:rsidRPr="007D45BF">
        <w:rPr>
          <w:rFonts w:ascii="Times New Roman" w:hAnsi="Times New Roman" w:cs="Times New Roman"/>
          <w:b/>
          <w:sz w:val="24"/>
          <w:szCs w:val="24"/>
        </w:rPr>
        <w:t xml:space="preserve"> NOVEMBER 2015 &amp;</w:t>
      </w:r>
      <w:r w:rsidRPr="007D45BF">
        <w:rPr>
          <w:rFonts w:ascii="Times New Roman" w:hAnsi="Times New Roman" w:cs="Times New Roman"/>
          <w:b/>
          <w:sz w:val="24"/>
          <w:szCs w:val="24"/>
        </w:rPr>
        <w:tab/>
      </w:r>
      <w:r w:rsidRPr="007D45BF">
        <w:rPr>
          <w:rFonts w:ascii="Times New Roman" w:hAnsi="Times New Roman" w:cs="Times New Roman"/>
          <w:b/>
          <w:sz w:val="24"/>
          <w:szCs w:val="24"/>
        </w:rPr>
        <w:tab/>
        <w:t xml:space="preserve">           </w:t>
      </w:r>
      <w:r w:rsidR="00F10B30">
        <w:rPr>
          <w:rFonts w:ascii="Times New Roman" w:hAnsi="Times New Roman" w:cs="Times New Roman"/>
          <w:b/>
          <w:sz w:val="24"/>
          <w:szCs w:val="24"/>
        </w:rPr>
        <w:t xml:space="preserve">             </w:t>
      </w:r>
      <w:r w:rsidR="003700AC">
        <w:rPr>
          <w:rFonts w:ascii="Times New Roman" w:hAnsi="Times New Roman" w:cs="Times New Roman"/>
          <w:b/>
          <w:sz w:val="24"/>
          <w:szCs w:val="24"/>
        </w:rPr>
        <w:t xml:space="preserve">       </w:t>
      </w:r>
      <w:r w:rsidRPr="007D45BF">
        <w:rPr>
          <w:rFonts w:ascii="Times New Roman" w:hAnsi="Times New Roman" w:cs="Times New Roman"/>
          <w:b/>
          <w:sz w:val="24"/>
          <w:szCs w:val="24"/>
        </w:rPr>
        <w:t>CASE NO LC/H/338/2015</w:t>
      </w:r>
    </w:p>
    <w:p w:rsidR="000314B6" w:rsidRDefault="00F10B30" w:rsidP="000314B6">
      <w:pPr>
        <w:spacing w:after="0" w:line="240" w:lineRule="auto"/>
        <w:rPr>
          <w:rFonts w:ascii="Times New Roman" w:hAnsi="Times New Roman" w:cs="Times New Roman"/>
          <w:b/>
          <w:sz w:val="24"/>
          <w:szCs w:val="24"/>
        </w:rPr>
      </w:pPr>
      <w:r>
        <w:rPr>
          <w:rFonts w:ascii="Times New Roman" w:hAnsi="Times New Roman" w:cs="Times New Roman"/>
          <w:b/>
          <w:sz w:val="24"/>
          <w:szCs w:val="24"/>
        </w:rPr>
        <w:t>19 FEBRUARY 2016</w:t>
      </w:r>
    </w:p>
    <w:p w:rsidR="00F10B30" w:rsidRPr="007D45BF" w:rsidRDefault="00F10B30" w:rsidP="000314B6">
      <w:pPr>
        <w:spacing w:after="0" w:line="240" w:lineRule="auto"/>
        <w:rPr>
          <w:rFonts w:ascii="Times New Roman" w:hAnsi="Times New Roman" w:cs="Times New Roman"/>
          <w:b/>
          <w:sz w:val="24"/>
          <w:szCs w:val="24"/>
        </w:rPr>
      </w:pP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p>
    <w:p w:rsidR="000314B6" w:rsidRPr="007D45BF" w:rsidRDefault="000314B6" w:rsidP="000314B6">
      <w:pPr>
        <w:spacing w:after="0" w:line="240" w:lineRule="auto"/>
        <w:rPr>
          <w:rFonts w:ascii="Times New Roman" w:hAnsi="Times New Roman" w:cs="Times New Roman"/>
          <w:b/>
          <w:sz w:val="24"/>
          <w:szCs w:val="24"/>
        </w:rPr>
      </w:pPr>
      <w:r w:rsidRPr="007D45BF">
        <w:rPr>
          <w:rFonts w:ascii="Times New Roman" w:hAnsi="Times New Roman" w:cs="Times New Roman"/>
          <w:b/>
          <w:sz w:val="24"/>
          <w:szCs w:val="24"/>
        </w:rPr>
        <w:t>BRIGHTON SARUCHERA</w:t>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t>APPELLANT</w:t>
      </w: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p>
    <w:p w:rsidR="000314B6" w:rsidRPr="007D45BF" w:rsidRDefault="000314B6" w:rsidP="000314B6">
      <w:pPr>
        <w:spacing w:after="0" w:line="240" w:lineRule="auto"/>
        <w:rPr>
          <w:rFonts w:ascii="Times New Roman" w:hAnsi="Times New Roman" w:cs="Times New Roman"/>
          <w:b/>
          <w:sz w:val="24"/>
          <w:szCs w:val="24"/>
        </w:rPr>
      </w:pPr>
      <w:r w:rsidRPr="007D45BF">
        <w:rPr>
          <w:rFonts w:ascii="Times New Roman" w:hAnsi="Times New Roman" w:cs="Times New Roman"/>
          <w:b/>
          <w:sz w:val="24"/>
          <w:szCs w:val="24"/>
        </w:rPr>
        <w:t>CLOVER LEAF MOTORS GROUP</w:t>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r>
      <w:r w:rsidRPr="007D45BF">
        <w:rPr>
          <w:rFonts w:ascii="Times New Roman" w:hAnsi="Times New Roman" w:cs="Times New Roman"/>
          <w:b/>
          <w:sz w:val="24"/>
          <w:szCs w:val="24"/>
        </w:rPr>
        <w:tab/>
        <w:t>RESPONDENT</w:t>
      </w: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0314B6"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 </w:t>
      </w:r>
      <w:proofErr w:type="spellStart"/>
      <w:r>
        <w:rPr>
          <w:rFonts w:ascii="Times New Roman" w:hAnsi="Times New Roman" w:cs="Times New Roman"/>
          <w:sz w:val="24"/>
          <w:szCs w:val="24"/>
        </w:rPr>
        <w:t>Mareanadzo</w:t>
      </w:r>
      <w:proofErr w:type="spellEnd"/>
      <w:r>
        <w:rPr>
          <w:rFonts w:ascii="Times New Roman" w:hAnsi="Times New Roman" w:cs="Times New Roman"/>
          <w:sz w:val="24"/>
          <w:szCs w:val="24"/>
        </w:rPr>
        <w:t xml:space="preserve"> (Legal Practitioner)</w:t>
      </w:r>
    </w:p>
    <w:p w:rsidR="000314B6" w:rsidRPr="00722512" w:rsidRDefault="000314B6" w:rsidP="000314B6">
      <w:pPr>
        <w:spacing w:after="0" w:line="240" w:lineRule="auto"/>
        <w:rPr>
          <w:rFonts w:ascii="Times New Roman" w:hAnsi="Times New Roman" w:cs="Times New Roman"/>
          <w:sz w:val="24"/>
          <w:szCs w:val="24"/>
        </w:rPr>
      </w:pPr>
    </w:p>
    <w:p w:rsidR="000314B6" w:rsidRDefault="000314B6" w:rsidP="000314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G </w:t>
      </w:r>
      <w:proofErr w:type="spellStart"/>
      <w:proofErr w:type="gramStart"/>
      <w:r w:rsidR="002F3DC1">
        <w:rPr>
          <w:rFonts w:ascii="Times New Roman" w:hAnsi="Times New Roman" w:cs="Times New Roman"/>
          <w:sz w:val="24"/>
          <w:szCs w:val="24"/>
        </w:rPr>
        <w:t>J</w:t>
      </w:r>
      <w:r>
        <w:rPr>
          <w:rFonts w:ascii="Times New Roman" w:hAnsi="Times New Roman" w:cs="Times New Roman"/>
          <w:sz w:val="24"/>
          <w:szCs w:val="24"/>
        </w:rPr>
        <w:t>akuosi</w:t>
      </w:r>
      <w:proofErr w:type="spellEnd"/>
      <w:r>
        <w:rPr>
          <w:rFonts w:ascii="Times New Roman" w:hAnsi="Times New Roman" w:cs="Times New Roman"/>
          <w:sz w:val="24"/>
          <w:szCs w:val="24"/>
        </w:rPr>
        <w:t xml:space="preserve"> </w:t>
      </w:r>
      <w:r w:rsidR="006B7D2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Legal Practitioner)</w:t>
      </w:r>
    </w:p>
    <w:p w:rsidR="000314B6" w:rsidRDefault="000314B6" w:rsidP="000314B6">
      <w:pPr>
        <w:spacing w:after="0" w:line="240" w:lineRule="auto"/>
        <w:rPr>
          <w:rFonts w:ascii="Times New Roman" w:hAnsi="Times New Roman" w:cs="Times New Roman"/>
          <w:sz w:val="24"/>
          <w:szCs w:val="24"/>
        </w:rPr>
      </w:pPr>
      <w:bookmarkStart w:id="0" w:name="_GoBack"/>
      <w:bookmarkEnd w:id="0"/>
    </w:p>
    <w:p w:rsidR="000314B6" w:rsidRDefault="000314B6" w:rsidP="000314B6">
      <w:pPr>
        <w:spacing w:after="0" w:line="240" w:lineRule="auto"/>
        <w:rPr>
          <w:rFonts w:ascii="Times New Roman" w:hAnsi="Times New Roman" w:cs="Times New Roman"/>
          <w:sz w:val="24"/>
          <w:szCs w:val="24"/>
        </w:rPr>
      </w:pPr>
    </w:p>
    <w:p w:rsidR="000314B6" w:rsidRPr="007D45BF" w:rsidRDefault="000314B6" w:rsidP="000314B6">
      <w:pPr>
        <w:spacing w:after="0" w:line="240" w:lineRule="auto"/>
        <w:rPr>
          <w:rFonts w:ascii="Times New Roman" w:hAnsi="Times New Roman" w:cs="Times New Roman"/>
          <w:b/>
          <w:sz w:val="24"/>
          <w:szCs w:val="24"/>
        </w:rPr>
      </w:pPr>
      <w:r w:rsidRPr="007D45BF">
        <w:rPr>
          <w:rFonts w:ascii="Times New Roman" w:hAnsi="Times New Roman" w:cs="Times New Roman"/>
          <w:b/>
          <w:sz w:val="24"/>
          <w:szCs w:val="24"/>
        </w:rPr>
        <w:t>MAKAMURE J:</w:t>
      </w:r>
    </w:p>
    <w:p w:rsidR="000314B6" w:rsidRDefault="000314B6" w:rsidP="000314B6">
      <w:pPr>
        <w:spacing w:after="0" w:line="240" w:lineRule="auto"/>
        <w:rPr>
          <w:rFonts w:ascii="Times New Roman" w:hAnsi="Times New Roman" w:cs="Times New Roman"/>
          <w:sz w:val="24"/>
          <w:szCs w:val="24"/>
        </w:rPr>
      </w:pPr>
    </w:p>
    <w:p w:rsidR="000314B6" w:rsidRDefault="000314B6"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as a branch manager at its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Branch. Through his recommendation an order was made and resulted in the respondent company losing money in excess of two hundred and twenty one thousand United States </w:t>
      </w:r>
      <w:r w:rsidR="007D45BF">
        <w:rPr>
          <w:rFonts w:ascii="Times New Roman" w:hAnsi="Times New Roman" w:cs="Times New Roman"/>
          <w:sz w:val="24"/>
          <w:szCs w:val="24"/>
        </w:rPr>
        <w:t>d</w:t>
      </w:r>
      <w:r>
        <w:rPr>
          <w:rFonts w:ascii="Times New Roman" w:hAnsi="Times New Roman" w:cs="Times New Roman"/>
          <w:sz w:val="24"/>
          <w:szCs w:val="24"/>
        </w:rPr>
        <w:t>ollars.</w:t>
      </w:r>
    </w:p>
    <w:p w:rsidR="00B4453A" w:rsidRDefault="000314B6"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recommendation turned out to have emanated from a fraudulent deal. The appellant was unaware of the fraudulent nature of the transaction.</w:t>
      </w:r>
      <w:r w:rsidR="00B4453A">
        <w:rPr>
          <w:rFonts w:ascii="Times New Roman" w:hAnsi="Times New Roman" w:cs="Times New Roman"/>
          <w:sz w:val="24"/>
          <w:szCs w:val="24"/>
        </w:rPr>
        <w:t xml:space="preserve"> He was</w:t>
      </w:r>
      <w:r w:rsidR="008F1051">
        <w:rPr>
          <w:rFonts w:ascii="Times New Roman" w:hAnsi="Times New Roman" w:cs="Times New Roman"/>
          <w:sz w:val="24"/>
          <w:szCs w:val="24"/>
        </w:rPr>
        <w:t xml:space="preserve"> thereafter</w:t>
      </w:r>
      <w:r w:rsidR="00B4453A">
        <w:rPr>
          <w:rFonts w:ascii="Times New Roman" w:hAnsi="Times New Roman" w:cs="Times New Roman"/>
          <w:sz w:val="24"/>
          <w:szCs w:val="24"/>
        </w:rPr>
        <w:t xml:space="preserve"> charged with gross incompetence/inefficiency and was dismissed as a result. His internal appeal failed.</w:t>
      </w:r>
    </w:p>
    <w:p w:rsidR="000314B6" w:rsidRDefault="00B4453A"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appeals to this court on the basis that there was no sufficient evidence against him. </w:t>
      </w:r>
      <w:proofErr w:type="gramStart"/>
      <w:r>
        <w:rPr>
          <w:rFonts w:ascii="Times New Roman" w:hAnsi="Times New Roman" w:cs="Times New Roman"/>
          <w:sz w:val="24"/>
          <w:szCs w:val="24"/>
        </w:rPr>
        <w:t xml:space="preserve">However the earlier tribunal found the appellant not to have applied himself </w:t>
      </w:r>
      <w:r w:rsidR="008F1051">
        <w:rPr>
          <w:rFonts w:ascii="Times New Roman" w:hAnsi="Times New Roman" w:cs="Times New Roman"/>
          <w:sz w:val="24"/>
          <w:szCs w:val="24"/>
        </w:rPr>
        <w:t>to duty properly in that</w:t>
      </w:r>
      <w:r>
        <w:rPr>
          <w:rFonts w:ascii="Times New Roman" w:hAnsi="Times New Roman" w:cs="Times New Roman"/>
          <w:sz w:val="24"/>
          <w:szCs w:val="24"/>
        </w:rPr>
        <w:t xml:space="preserve"> he did not exercise due diligence</w:t>
      </w:r>
      <w:r w:rsidR="008F105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F1051">
        <w:rPr>
          <w:rFonts w:ascii="Times New Roman" w:hAnsi="Times New Roman" w:cs="Times New Roman"/>
          <w:sz w:val="24"/>
          <w:szCs w:val="24"/>
        </w:rPr>
        <w:t>In the circumstances he was found</w:t>
      </w:r>
      <w:r>
        <w:rPr>
          <w:rFonts w:ascii="Times New Roman" w:hAnsi="Times New Roman" w:cs="Times New Roman"/>
          <w:sz w:val="24"/>
          <w:szCs w:val="24"/>
        </w:rPr>
        <w:t xml:space="preserve"> negligent in the conduct of his duty. The appeal tribunal upheld the dismissal verdict.</w:t>
      </w:r>
    </w:p>
    <w:p w:rsidR="00B4453A" w:rsidRDefault="00B4453A"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common cause that the appellant did not exercise due diligence in how he handled the order in question. The circumstances are that an order was allegedly generated by one P </w:t>
      </w:r>
      <w:proofErr w:type="spellStart"/>
      <w:r>
        <w:rPr>
          <w:rFonts w:ascii="Times New Roman" w:hAnsi="Times New Roman" w:cs="Times New Roman"/>
          <w:sz w:val="24"/>
          <w:szCs w:val="24"/>
        </w:rPr>
        <w:t>Mabasa</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Murowa</w:t>
      </w:r>
      <w:proofErr w:type="spellEnd"/>
      <w:r>
        <w:rPr>
          <w:rFonts w:ascii="Times New Roman" w:hAnsi="Times New Roman" w:cs="Times New Roman"/>
          <w:sz w:val="24"/>
          <w:szCs w:val="24"/>
        </w:rPr>
        <w:t xml:space="preserve"> Mines. The appellant’s senior manager recommended it. The </w:t>
      </w:r>
      <w:r>
        <w:rPr>
          <w:rFonts w:ascii="Times New Roman" w:hAnsi="Times New Roman" w:cs="Times New Roman"/>
          <w:sz w:val="24"/>
          <w:szCs w:val="24"/>
        </w:rPr>
        <w:lastRenderedPageBreak/>
        <w:t xml:space="preserve">appellant in turn recommended to senior management without personally checking the credentials of this P </w:t>
      </w:r>
      <w:proofErr w:type="spellStart"/>
      <w:r>
        <w:rPr>
          <w:rFonts w:ascii="Times New Roman" w:hAnsi="Times New Roman" w:cs="Times New Roman"/>
          <w:sz w:val="24"/>
          <w:szCs w:val="24"/>
        </w:rPr>
        <w:t>Mabasa</w:t>
      </w:r>
      <w:proofErr w:type="spellEnd"/>
      <w:r>
        <w:rPr>
          <w:rFonts w:ascii="Times New Roman" w:hAnsi="Times New Roman" w:cs="Times New Roman"/>
          <w:sz w:val="24"/>
          <w:szCs w:val="24"/>
        </w:rPr>
        <w:t xml:space="preserve"> or his position at </w:t>
      </w:r>
      <w:proofErr w:type="spellStart"/>
      <w:r>
        <w:rPr>
          <w:rFonts w:ascii="Times New Roman" w:hAnsi="Times New Roman" w:cs="Times New Roman"/>
          <w:sz w:val="24"/>
          <w:szCs w:val="24"/>
        </w:rPr>
        <w:t>Murowa</w:t>
      </w:r>
      <w:proofErr w:type="spellEnd"/>
      <w:r>
        <w:rPr>
          <w:rFonts w:ascii="Times New Roman" w:hAnsi="Times New Roman" w:cs="Times New Roman"/>
          <w:sz w:val="24"/>
          <w:szCs w:val="24"/>
        </w:rPr>
        <w:t>. This resulted in the loss.</w:t>
      </w:r>
    </w:p>
    <w:p w:rsidR="008F1051" w:rsidRDefault="00B4453A"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on a balance of probabilities that the appellant </w:t>
      </w:r>
      <w:r w:rsidR="0071067A">
        <w:rPr>
          <w:rFonts w:ascii="Times New Roman" w:hAnsi="Times New Roman" w:cs="Times New Roman"/>
          <w:sz w:val="24"/>
          <w:szCs w:val="24"/>
        </w:rPr>
        <w:t>as</w:t>
      </w:r>
      <w:r>
        <w:rPr>
          <w:rFonts w:ascii="Times New Roman" w:hAnsi="Times New Roman" w:cs="Times New Roman"/>
          <w:sz w:val="24"/>
          <w:szCs w:val="24"/>
        </w:rPr>
        <w:t xml:space="preserve"> the responsible authority ought to have checked before making any recommendation. Thus he cannot say that the earlier tribunal erred.</w:t>
      </w:r>
      <w:r w:rsidR="008F1051">
        <w:rPr>
          <w:rFonts w:ascii="Times New Roman" w:hAnsi="Times New Roman" w:cs="Times New Roman"/>
          <w:sz w:val="24"/>
          <w:szCs w:val="24"/>
        </w:rPr>
        <w:t xml:space="preserve"> In </w:t>
      </w:r>
      <w:proofErr w:type="spellStart"/>
      <w:r w:rsidR="008F1051">
        <w:rPr>
          <w:rFonts w:ascii="Times New Roman" w:hAnsi="Times New Roman" w:cs="Times New Roman"/>
          <w:i/>
          <w:sz w:val="24"/>
          <w:szCs w:val="24"/>
        </w:rPr>
        <w:t>Passmore</w:t>
      </w:r>
      <w:proofErr w:type="spellEnd"/>
      <w:r w:rsidR="008F1051">
        <w:rPr>
          <w:rFonts w:ascii="Times New Roman" w:hAnsi="Times New Roman" w:cs="Times New Roman"/>
          <w:i/>
          <w:sz w:val="24"/>
          <w:szCs w:val="24"/>
        </w:rPr>
        <w:t xml:space="preserve"> </w:t>
      </w:r>
      <w:proofErr w:type="spellStart"/>
      <w:r w:rsidR="008F1051">
        <w:rPr>
          <w:rFonts w:ascii="Times New Roman" w:hAnsi="Times New Roman" w:cs="Times New Roman"/>
          <w:i/>
          <w:sz w:val="24"/>
          <w:szCs w:val="24"/>
        </w:rPr>
        <w:t>Malimanjani</w:t>
      </w:r>
      <w:proofErr w:type="spellEnd"/>
      <w:r w:rsidR="008F1051">
        <w:rPr>
          <w:rFonts w:ascii="Times New Roman" w:hAnsi="Times New Roman" w:cs="Times New Roman"/>
          <w:sz w:val="24"/>
          <w:szCs w:val="24"/>
        </w:rPr>
        <w:t xml:space="preserve"> v </w:t>
      </w:r>
      <w:r w:rsidR="008F1051">
        <w:rPr>
          <w:rFonts w:ascii="Times New Roman" w:hAnsi="Times New Roman" w:cs="Times New Roman"/>
          <w:i/>
          <w:sz w:val="24"/>
          <w:szCs w:val="24"/>
        </w:rPr>
        <w:t xml:space="preserve">Central Africa Building Society </w:t>
      </w:r>
      <w:r w:rsidR="008F1051" w:rsidRPr="008F1051">
        <w:rPr>
          <w:rFonts w:ascii="Times New Roman" w:hAnsi="Times New Roman" w:cs="Times New Roman"/>
          <w:sz w:val="24"/>
          <w:szCs w:val="24"/>
        </w:rPr>
        <w:t>(</w:t>
      </w:r>
      <w:r w:rsidR="008F1051">
        <w:rPr>
          <w:rFonts w:ascii="Times New Roman" w:hAnsi="Times New Roman" w:cs="Times New Roman"/>
          <w:i/>
          <w:sz w:val="24"/>
          <w:szCs w:val="24"/>
        </w:rPr>
        <w:t>CABS</w:t>
      </w:r>
      <w:r w:rsidR="008F1051" w:rsidRPr="008F1051">
        <w:rPr>
          <w:rFonts w:ascii="Times New Roman" w:hAnsi="Times New Roman" w:cs="Times New Roman"/>
          <w:sz w:val="24"/>
          <w:szCs w:val="24"/>
        </w:rPr>
        <w:t>)</w:t>
      </w:r>
      <w:r w:rsidR="008F1051">
        <w:rPr>
          <w:rFonts w:ascii="Times New Roman" w:hAnsi="Times New Roman" w:cs="Times New Roman"/>
          <w:i/>
          <w:sz w:val="24"/>
          <w:szCs w:val="24"/>
        </w:rPr>
        <w:t xml:space="preserve"> </w:t>
      </w:r>
      <w:r w:rsidR="008F1051" w:rsidRPr="008F1051">
        <w:rPr>
          <w:rFonts w:ascii="Times New Roman" w:hAnsi="Times New Roman" w:cs="Times New Roman"/>
          <w:sz w:val="24"/>
          <w:szCs w:val="24"/>
        </w:rPr>
        <w:t>SC</w:t>
      </w:r>
      <w:r w:rsidR="008F1051">
        <w:rPr>
          <w:rFonts w:ascii="Times New Roman" w:hAnsi="Times New Roman" w:cs="Times New Roman"/>
          <w:i/>
          <w:sz w:val="24"/>
          <w:szCs w:val="24"/>
        </w:rPr>
        <w:t xml:space="preserve"> </w:t>
      </w:r>
      <w:r w:rsidR="008F1051" w:rsidRPr="008F1051">
        <w:rPr>
          <w:rFonts w:ascii="Times New Roman" w:hAnsi="Times New Roman" w:cs="Times New Roman"/>
          <w:sz w:val="24"/>
          <w:szCs w:val="24"/>
        </w:rPr>
        <w:t>47-07,</w:t>
      </w:r>
      <w:r w:rsidR="008F1051">
        <w:rPr>
          <w:rFonts w:ascii="Times New Roman" w:hAnsi="Times New Roman" w:cs="Times New Roman"/>
          <w:i/>
          <w:sz w:val="24"/>
          <w:szCs w:val="24"/>
        </w:rPr>
        <w:t xml:space="preserve"> </w:t>
      </w:r>
      <w:r w:rsidR="008F1051" w:rsidRPr="008F1051">
        <w:rPr>
          <w:rFonts w:ascii="Times New Roman" w:hAnsi="Times New Roman" w:cs="Times New Roman"/>
          <w:sz w:val="24"/>
          <w:szCs w:val="24"/>
        </w:rPr>
        <w:t>the Sup</w:t>
      </w:r>
      <w:r w:rsidR="008F1051">
        <w:rPr>
          <w:rFonts w:ascii="Times New Roman" w:hAnsi="Times New Roman" w:cs="Times New Roman"/>
          <w:sz w:val="24"/>
          <w:szCs w:val="24"/>
        </w:rPr>
        <w:t>reme Court stated that:</w:t>
      </w:r>
    </w:p>
    <w:p w:rsidR="008F1051" w:rsidRDefault="008F1051" w:rsidP="008F1051">
      <w:pPr>
        <w:spacing w:after="0" w:line="240" w:lineRule="auto"/>
        <w:ind w:left="720"/>
        <w:jc w:val="both"/>
        <w:rPr>
          <w:rFonts w:ascii="Times New Roman" w:hAnsi="Times New Roman" w:cs="Times New Roman"/>
          <w:sz w:val="24"/>
          <w:szCs w:val="24"/>
        </w:rPr>
      </w:pPr>
    </w:p>
    <w:p w:rsidR="008F1051" w:rsidRDefault="008F1051" w:rsidP="008F10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trite that an appeal court does not interfere with the exercise of direction by a lower court unless it is shown that the discretion was improperly exercised.”</w:t>
      </w:r>
    </w:p>
    <w:p w:rsidR="008F1051" w:rsidRDefault="008F1051" w:rsidP="00C6574F">
      <w:pPr>
        <w:spacing w:after="0" w:line="240" w:lineRule="auto"/>
        <w:jc w:val="both"/>
        <w:rPr>
          <w:rFonts w:ascii="Times New Roman" w:hAnsi="Times New Roman" w:cs="Times New Roman"/>
          <w:sz w:val="24"/>
          <w:szCs w:val="24"/>
        </w:rPr>
      </w:pPr>
    </w:p>
    <w:p w:rsidR="008F1051" w:rsidRDefault="008F1051" w:rsidP="008F105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Bambe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Bambe</w:t>
      </w:r>
      <w:proofErr w:type="spellEnd"/>
      <w:r>
        <w:rPr>
          <w:rFonts w:ascii="Times New Roman" w:hAnsi="Times New Roman" w:cs="Times New Roman"/>
          <w:sz w:val="24"/>
          <w:szCs w:val="24"/>
        </w:rPr>
        <w:t xml:space="preserve"> SC 91-02 the Supreme Court stated that:</w:t>
      </w:r>
    </w:p>
    <w:p w:rsidR="008F1051" w:rsidRDefault="008F1051" w:rsidP="00C6574F">
      <w:pPr>
        <w:spacing w:after="0" w:line="240" w:lineRule="auto"/>
        <w:ind w:left="720"/>
        <w:jc w:val="both"/>
        <w:rPr>
          <w:rFonts w:ascii="Times New Roman" w:hAnsi="Times New Roman" w:cs="Times New Roman"/>
          <w:sz w:val="24"/>
          <w:szCs w:val="24"/>
        </w:rPr>
      </w:pPr>
    </w:p>
    <w:p w:rsidR="008F1051" w:rsidRDefault="00F34617" w:rsidP="008F10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6574F">
        <w:rPr>
          <w:rFonts w:ascii="Times New Roman" w:hAnsi="Times New Roman" w:cs="Times New Roman"/>
          <w:sz w:val="24"/>
          <w:szCs w:val="24"/>
        </w:rPr>
        <w:t>…. unless the decision is clearly wrong it cannot be interfered with …</w:t>
      </w:r>
      <w:r>
        <w:rPr>
          <w:rFonts w:ascii="Times New Roman" w:hAnsi="Times New Roman" w:cs="Times New Roman"/>
          <w:sz w:val="24"/>
          <w:szCs w:val="24"/>
        </w:rPr>
        <w:t xml:space="preserve">’  </w:t>
      </w:r>
      <w:r w:rsidR="00C6574F">
        <w:rPr>
          <w:rFonts w:ascii="Times New Roman" w:hAnsi="Times New Roman" w:cs="Times New Roman"/>
          <w:sz w:val="24"/>
          <w:szCs w:val="24"/>
        </w:rPr>
        <w:t xml:space="preserve">We are here concerned with a judicial discretion, and it is of the essence of such a discretion that on the same evidence two different minds might reach </w:t>
      </w:r>
      <w:r>
        <w:rPr>
          <w:rFonts w:ascii="Times New Roman" w:hAnsi="Times New Roman" w:cs="Times New Roman"/>
          <w:sz w:val="24"/>
          <w:szCs w:val="24"/>
        </w:rPr>
        <w:t>widely different decisions without either being appealable. It is only where the decision exceeds the generous ambit within which reasonable disagreement is possible, and is in fact plainly wrong, that an appellate body is entitled to interfere.</w:t>
      </w:r>
      <w:r w:rsidR="00097565">
        <w:rPr>
          <w:rFonts w:ascii="Times New Roman" w:hAnsi="Times New Roman" w:cs="Times New Roman"/>
          <w:sz w:val="24"/>
          <w:szCs w:val="24"/>
        </w:rPr>
        <w:t>”</w:t>
      </w:r>
      <w:r>
        <w:rPr>
          <w:rFonts w:ascii="Times New Roman" w:hAnsi="Times New Roman" w:cs="Times New Roman"/>
          <w:sz w:val="24"/>
          <w:szCs w:val="24"/>
        </w:rPr>
        <w:t xml:space="preserve"> (See also </w:t>
      </w:r>
      <w:r>
        <w:rPr>
          <w:rFonts w:ascii="Times New Roman" w:hAnsi="Times New Roman" w:cs="Times New Roman"/>
          <w:i/>
          <w:sz w:val="24"/>
          <w:szCs w:val="24"/>
        </w:rPr>
        <w:t>Bellenden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Satterthwaite</w:t>
      </w:r>
      <w:proofErr w:type="spellEnd"/>
      <w:r>
        <w:rPr>
          <w:rFonts w:ascii="Times New Roman" w:hAnsi="Times New Roman" w:cs="Times New Roman"/>
          <w:sz w:val="24"/>
          <w:szCs w:val="24"/>
        </w:rPr>
        <w:t xml:space="preserve"> [1948] ALL ER 343 at 345 BC)</w:t>
      </w:r>
    </w:p>
    <w:p w:rsidR="0071067A" w:rsidRDefault="0071067A" w:rsidP="0010280A">
      <w:pPr>
        <w:spacing w:after="0" w:line="240" w:lineRule="auto"/>
        <w:jc w:val="both"/>
        <w:rPr>
          <w:rFonts w:ascii="Times New Roman" w:hAnsi="Times New Roman" w:cs="Times New Roman"/>
          <w:sz w:val="24"/>
          <w:szCs w:val="24"/>
        </w:rPr>
      </w:pPr>
    </w:p>
    <w:p w:rsidR="0071067A" w:rsidRPr="00F34617" w:rsidRDefault="0071067A" w:rsidP="007106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respectfully associate myself with the above sentiments. I am of the view that the Managing Director as the appellate body exercised his discretion properly.</w:t>
      </w:r>
    </w:p>
    <w:p w:rsidR="00B4453A" w:rsidRDefault="00B4453A"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this court cannot interfere with the decision being appealed.</w:t>
      </w:r>
      <w:r w:rsidR="008F1051">
        <w:rPr>
          <w:rFonts w:ascii="Times New Roman" w:hAnsi="Times New Roman" w:cs="Times New Roman"/>
          <w:sz w:val="24"/>
          <w:szCs w:val="24"/>
        </w:rPr>
        <w:t xml:space="preserve"> </w:t>
      </w:r>
      <w:r>
        <w:rPr>
          <w:rFonts w:ascii="Times New Roman" w:hAnsi="Times New Roman" w:cs="Times New Roman"/>
          <w:sz w:val="24"/>
          <w:szCs w:val="24"/>
        </w:rPr>
        <w:t>The appellate court should be cautious in interfering with earlier decision and should only interfere where there has been a gross misdirection.</w:t>
      </w:r>
    </w:p>
    <w:p w:rsidR="00B4453A" w:rsidRDefault="00B4453A"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say that the appellate body grossly misdirected itself.</w:t>
      </w:r>
    </w:p>
    <w:p w:rsidR="00B4453A" w:rsidRDefault="00B4453A"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7D45BF">
        <w:rPr>
          <w:rFonts w:ascii="Times New Roman" w:hAnsi="Times New Roman" w:cs="Times New Roman"/>
          <w:sz w:val="24"/>
          <w:szCs w:val="24"/>
        </w:rPr>
        <w:t>view of the foregoing I find that there is no merit in the appeal. The appeal fails.</w:t>
      </w:r>
    </w:p>
    <w:p w:rsidR="007D45BF" w:rsidRDefault="007D45BF" w:rsidP="007D45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appeal be and is hereby dismissed</w:t>
      </w:r>
      <w:r w:rsidR="00D12608">
        <w:rPr>
          <w:rFonts w:ascii="Times New Roman" w:hAnsi="Times New Roman" w:cs="Times New Roman"/>
          <w:sz w:val="24"/>
          <w:szCs w:val="24"/>
        </w:rPr>
        <w:t xml:space="preserve"> with costs.</w:t>
      </w:r>
    </w:p>
    <w:p w:rsidR="007D45BF" w:rsidRDefault="007D45BF" w:rsidP="007D45BF">
      <w:pPr>
        <w:spacing w:after="0" w:line="360" w:lineRule="auto"/>
        <w:jc w:val="both"/>
        <w:rPr>
          <w:rFonts w:ascii="Times New Roman" w:hAnsi="Times New Roman" w:cs="Times New Roman"/>
          <w:sz w:val="24"/>
          <w:szCs w:val="24"/>
        </w:rPr>
      </w:pPr>
    </w:p>
    <w:p w:rsidR="007D45BF" w:rsidRDefault="007D45BF" w:rsidP="007D45BF">
      <w:pPr>
        <w:spacing w:after="0" w:line="360" w:lineRule="auto"/>
        <w:jc w:val="both"/>
        <w:rPr>
          <w:rFonts w:ascii="Times New Roman" w:hAnsi="Times New Roman" w:cs="Times New Roman"/>
          <w:sz w:val="24"/>
          <w:szCs w:val="24"/>
        </w:rPr>
      </w:pPr>
    </w:p>
    <w:p w:rsidR="007D45BF" w:rsidRDefault="007D45BF" w:rsidP="007D45BF">
      <w:pPr>
        <w:spacing w:after="0" w:line="360" w:lineRule="auto"/>
        <w:jc w:val="both"/>
        <w:rPr>
          <w:rFonts w:ascii="Times New Roman" w:hAnsi="Times New Roman" w:cs="Times New Roman"/>
          <w:sz w:val="24"/>
          <w:szCs w:val="24"/>
        </w:rPr>
      </w:pPr>
    </w:p>
    <w:p w:rsidR="007D45BF" w:rsidRDefault="007D45BF" w:rsidP="007D45B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Muringi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Kamdefwere</w:t>
      </w:r>
      <w:proofErr w:type="spellEnd"/>
      <w:r>
        <w:rPr>
          <w:rFonts w:ascii="Times New Roman" w:hAnsi="Times New Roman" w:cs="Times New Roman"/>
          <w:sz w:val="24"/>
          <w:szCs w:val="24"/>
        </w:rPr>
        <w:t>, appellant’s legal practitioners</w:t>
      </w:r>
    </w:p>
    <w:p w:rsidR="007D45BF" w:rsidRPr="007D45BF" w:rsidRDefault="007D45BF" w:rsidP="007D45B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p>
    <w:p w:rsidR="007D45BF" w:rsidRPr="000314B6" w:rsidRDefault="007D45BF" w:rsidP="007D45BF">
      <w:pPr>
        <w:spacing w:after="0" w:line="360" w:lineRule="auto"/>
        <w:rPr>
          <w:rFonts w:ascii="Times New Roman" w:hAnsi="Times New Roman" w:cs="Times New Roman"/>
          <w:sz w:val="24"/>
          <w:szCs w:val="24"/>
        </w:rPr>
      </w:pPr>
    </w:p>
    <w:sectPr w:rsidR="007D45BF" w:rsidRPr="000314B6" w:rsidSect="007D45BF">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72" w:rsidRDefault="00B74D72" w:rsidP="007D45BF">
      <w:pPr>
        <w:spacing w:after="0" w:line="240" w:lineRule="auto"/>
      </w:pPr>
      <w:r>
        <w:separator/>
      </w:r>
    </w:p>
  </w:endnote>
  <w:endnote w:type="continuationSeparator" w:id="0">
    <w:p w:rsidR="00B74D72" w:rsidRDefault="00B74D72" w:rsidP="007D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72" w:rsidRDefault="00B74D72" w:rsidP="007D45BF">
      <w:pPr>
        <w:spacing w:after="0" w:line="240" w:lineRule="auto"/>
      </w:pPr>
      <w:r>
        <w:separator/>
      </w:r>
    </w:p>
  </w:footnote>
  <w:footnote w:type="continuationSeparator" w:id="0">
    <w:p w:rsidR="00B74D72" w:rsidRDefault="00B74D72" w:rsidP="007D4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23312"/>
      <w:docPartObj>
        <w:docPartGallery w:val="Page Numbers (Top of Page)"/>
        <w:docPartUnique/>
      </w:docPartObj>
    </w:sdtPr>
    <w:sdtEndPr>
      <w:rPr>
        <w:noProof/>
      </w:rPr>
    </w:sdtEndPr>
    <w:sdtContent>
      <w:p w:rsidR="007D45BF" w:rsidRDefault="007D45BF">
        <w:pPr>
          <w:pStyle w:val="Header"/>
          <w:jc w:val="right"/>
          <w:rPr>
            <w:noProof/>
          </w:rPr>
        </w:pPr>
        <w:r>
          <w:fldChar w:fldCharType="begin"/>
        </w:r>
        <w:r>
          <w:instrText xml:space="preserve"> PAGE   \* MERGEFORMAT </w:instrText>
        </w:r>
        <w:r>
          <w:fldChar w:fldCharType="separate"/>
        </w:r>
        <w:r w:rsidR="00097565">
          <w:rPr>
            <w:noProof/>
          </w:rPr>
          <w:t>2</w:t>
        </w:r>
        <w:r>
          <w:rPr>
            <w:noProof/>
          </w:rPr>
          <w:fldChar w:fldCharType="end"/>
        </w:r>
      </w:p>
      <w:p w:rsidR="007D45BF" w:rsidRDefault="007D45BF">
        <w:pPr>
          <w:pStyle w:val="Header"/>
          <w:jc w:val="right"/>
          <w:rPr>
            <w:noProof/>
          </w:rPr>
        </w:pPr>
        <w:r>
          <w:rPr>
            <w:noProof/>
          </w:rPr>
          <w:t>JUDGMENT NO LC/H/</w:t>
        </w:r>
        <w:r w:rsidR="00F10B30">
          <w:rPr>
            <w:noProof/>
          </w:rPr>
          <w:t>79</w:t>
        </w:r>
        <w:r>
          <w:rPr>
            <w:noProof/>
          </w:rPr>
          <w:t>/2016</w:t>
        </w:r>
      </w:p>
      <w:p w:rsidR="007D45BF" w:rsidRDefault="007D45BF">
        <w:pPr>
          <w:pStyle w:val="Header"/>
          <w:jc w:val="right"/>
        </w:pPr>
        <w:r>
          <w:rPr>
            <w:noProof/>
          </w:rPr>
          <w:t>CASE NO LC/H/338/2015</w:t>
        </w:r>
      </w:p>
    </w:sdtContent>
  </w:sdt>
  <w:p w:rsidR="007D45BF" w:rsidRDefault="007D4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6"/>
    <w:rsid w:val="000314B6"/>
    <w:rsid w:val="00097565"/>
    <w:rsid w:val="0010280A"/>
    <w:rsid w:val="001469EA"/>
    <w:rsid w:val="00220869"/>
    <w:rsid w:val="002F3DC1"/>
    <w:rsid w:val="003700AC"/>
    <w:rsid w:val="004D4884"/>
    <w:rsid w:val="006B7D26"/>
    <w:rsid w:val="0071067A"/>
    <w:rsid w:val="00722512"/>
    <w:rsid w:val="007D45BF"/>
    <w:rsid w:val="008A6F72"/>
    <w:rsid w:val="008D123C"/>
    <w:rsid w:val="008F1051"/>
    <w:rsid w:val="00B4453A"/>
    <w:rsid w:val="00B74D72"/>
    <w:rsid w:val="00C6574F"/>
    <w:rsid w:val="00CB11AF"/>
    <w:rsid w:val="00D12608"/>
    <w:rsid w:val="00E023EA"/>
    <w:rsid w:val="00F10B30"/>
    <w:rsid w:val="00F346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5BF"/>
  </w:style>
  <w:style w:type="paragraph" w:styleId="Footer">
    <w:name w:val="footer"/>
    <w:basedOn w:val="Normal"/>
    <w:link w:val="FooterChar"/>
    <w:uiPriority w:val="99"/>
    <w:unhideWhenUsed/>
    <w:rsid w:val="007D4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5BF"/>
  </w:style>
  <w:style w:type="paragraph" w:styleId="Footer">
    <w:name w:val="footer"/>
    <w:basedOn w:val="Normal"/>
    <w:link w:val="FooterChar"/>
    <w:uiPriority w:val="99"/>
    <w:unhideWhenUsed/>
    <w:rsid w:val="007D4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11</cp:revision>
  <cp:lastPrinted>2016-02-16T14:27:00Z</cp:lastPrinted>
  <dcterms:created xsi:type="dcterms:W3CDTF">2016-01-06T12:04:00Z</dcterms:created>
  <dcterms:modified xsi:type="dcterms:W3CDTF">2016-02-16T14:31:00Z</dcterms:modified>
</cp:coreProperties>
</file>