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41" w:rsidRDefault="00C069F1">
      <w:pPr>
        <w:tabs>
          <w:tab w:val="right" w:pos="8194"/>
        </w:tabs>
        <w:spacing w:before="252" w:line="273" w:lineRule="exact"/>
        <w:rPr>
          <w:rFonts w:ascii="Times New Roman" w:hAnsi="Times New Roman"/>
          <w:b/>
          <w:color w:val="000000"/>
          <w:spacing w:val="-8"/>
          <w:w w:val="105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68.75pt;margin-top:104.8pt;width:458.4pt;height:11.7pt;z-index:-251658752;mso-wrap-distance-left:0;mso-wrap-distance-right:0;mso-position-horizontal-relative:page;mso-position-vertical-relative:page" filled="f" stroked="f">
            <v:textbox inset="0,0,0,0">
              <w:txbxContent>
                <w:p w:rsidR="009F0D41" w:rsidRDefault="00C069F1">
                  <w:pPr>
                    <w:tabs>
                      <w:tab w:val="right" w:pos="9163"/>
                    </w:tabs>
                    <w:spacing w:line="204" w:lineRule="auto"/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  <w:t>IN THE LABOUR COURT OF ZIMBABWE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05"/>
                      <w:sz w:val="24"/>
                    </w:rPr>
                    <w:t>JUDGMENT NO LC/H/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10"/>
                      <w:sz w:val="23"/>
                    </w:rPr>
                    <w:t>233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05"/>
                      <w:sz w:val="24"/>
                    </w:rPr>
                    <w:t>/2023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>HARARE, 21 JULY 2023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ab/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CASE NO LC/H/206/23</w:t>
      </w:r>
    </w:p>
    <w:p w:rsidR="009F0D41" w:rsidRDefault="00C069F1">
      <w:pPr>
        <w:spacing w:line="230" w:lineRule="exact"/>
        <w:rPr>
          <w:rFonts w:ascii="Times New Roman" w:hAnsi="Times New Roman"/>
          <w:b/>
          <w:color w:val="000000"/>
          <w:w w:val="105"/>
          <w:sz w:val="24"/>
        </w:rPr>
      </w:pPr>
      <w:r>
        <w:rPr>
          <w:rFonts w:ascii="Times New Roman" w:hAnsi="Times New Roman"/>
          <w:b/>
          <w:color w:val="000000"/>
          <w:w w:val="105"/>
          <w:sz w:val="24"/>
        </w:rPr>
        <w:t>28 JULY 2023</w:t>
      </w:r>
    </w:p>
    <w:p w:rsidR="009F0D41" w:rsidRDefault="00C069F1">
      <w:pPr>
        <w:tabs>
          <w:tab w:val="right" w:pos="7872"/>
        </w:tabs>
        <w:spacing w:before="720" w:line="230" w:lineRule="exact"/>
        <w:rPr>
          <w:rFonts w:ascii="Times New Roman" w:hAnsi="Times New Roman"/>
          <w:b/>
          <w:color w:val="000000"/>
          <w:spacing w:val="-8"/>
          <w:w w:val="105"/>
          <w:sz w:val="24"/>
        </w:rPr>
      </w:pPr>
      <w:r>
        <w:rPr>
          <w:rFonts w:ascii="Times New Roman" w:hAnsi="Times New Roman"/>
          <w:b/>
          <w:color w:val="000000"/>
          <w:spacing w:val="-8"/>
          <w:w w:val="105"/>
          <w:sz w:val="24"/>
        </w:rPr>
        <w:t>BRIGHTON BATSIRAI MUBVUMBI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ab/>
      </w:r>
      <w:r>
        <w:rPr>
          <w:rFonts w:ascii="Times New Roman" w:hAnsi="Times New Roman"/>
          <w:b/>
          <w:color w:val="000000"/>
          <w:w w:val="105"/>
          <w:sz w:val="24"/>
        </w:rPr>
        <w:t>APPLICANT</w:t>
      </w:r>
    </w:p>
    <w:p w:rsidR="009F0D41" w:rsidRDefault="00C069F1">
      <w:pPr>
        <w:tabs>
          <w:tab w:val="right" w:pos="8467"/>
        </w:tabs>
        <w:spacing w:before="576" w:line="286" w:lineRule="exact"/>
        <w:rPr>
          <w:rFonts w:ascii="Times New Roman" w:hAnsi="Times New Roman"/>
          <w:b/>
          <w:color w:val="000000"/>
          <w:spacing w:val="-12"/>
          <w:w w:val="105"/>
          <w:sz w:val="24"/>
        </w:rPr>
      </w:pPr>
      <w:r>
        <w:rPr>
          <w:rFonts w:ascii="Times New Roman" w:hAnsi="Times New Roman"/>
          <w:b/>
          <w:color w:val="000000"/>
          <w:spacing w:val="-12"/>
          <w:w w:val="105"/>
          <w:sz w:val="24"/>
        </w:rPr>
        <w:t>CHAIRPERSON, SGMRCD COMMITTEE</w:t>
      </w:r>
      <w:r>
        <w:rPr>
          <w:rFonts w:ascii="Times New Roman" w:hAnsi="Times New Roman"/>
          <w:b/>
          <w:color w:val="000000"/>
          <w:spacing w:val="-12"/>
          <w:w w:val="105"/>
          <w:sz w:val="24"/>
        </w:rPr>
        <w:tab/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>1</w:t>
      </w:r>
      <w:r>
        <w:rPr>
          <w:rFonts w:ascii="Times New Roman" w:hAnsi="Times New Roman"/>
          <w:b/>
          <w:color w:val="000000"/>
          <w:spacing w:val="-2"/>
          <w:w w:val="110"/>
          <w:sz w:val="24"/>
          <w:vertAlign w:val="superscript"/>
        </w:rPr>
        <w:t>st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 RESPONDENT</w:t>
      </w:r>
    </w:p>
    <w:p w:rsidR="009F0D41" w:rsidRDefault="00C069F1">
      <w:pPr>
        <w:tabs>
          <w:tab w:val="right" w:pos="8467"/>
        </w:tabs>
        <w:spacing w:before="324" w:line="259" w:lineRule="exact"/>
        <w:rPr>
          <w:rFonts w:ascii="Times New Roman" w:hAnsi="Times New Roman"/>
          <w:b/>
          <w:color w:val="000000"/>
          <w:spacing w:val="-10"/>
          <w:w w:val="105"/>
          <w:sz w:val="24"/>
        </w:rPr>
      </w:pPr>
      <w:r>
        <w:rPr>
          <w:rFonts w:ascii="Times New Roman" w:hAnsi="Times New Roman"/>
          <w:b/>
          <w:color w:val="000000"/>
          <w:spacing w:val="-10"/>
          <w:w w:val="105"/>
          <w:sz w:val="24"/>
        </w:rPr>
        <w:t>ST GILES MEDICAL REHABILITATION CENTER</w:t>
      </w:r>
      <w:r>
        <w:rPr>
          <w:rFonts w:ascii="Times New Roman" w:hAnsi="Times New Roman"/>
          <w:b/>
          <w:color w:val="000000"/>
          <w:spacing w:val="-10"/>
          <w:w w:val="105"/>
          <w:sz w:val="24"/>
        </w:rPr>
        <w:tab/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2</w:t>
      </w:r>
      <w:r>
        <w:rPr>
          <w:rFonts w:ascii="Times New Roman" w:hAnsi="Times New Roman"/>
          <w:b/>
          <w:color w:val="000000"/>
          <w:spacing w:val="-4"/>
          <w:w w:val="110"/>
          <w:sz w:val="24"/>
          <w:vertAlign w:val="superscript"/>
        </w:rPr>
        <w:t>nd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RESPONDENT</w:t>
      </w:r>
    </w:p>
    <w:p w:rsidR="009F0D41" w:rsidRDefault="00C069F1">
      <w:pPr>
        <w:spacing w:before="396" w:line="283" w:lineRule="exact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Before the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Honourable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G.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Musariri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Judge:</w:t>
      </w:r>
    </w:p>
    <w:p w:rsidR="009F0D41" w:rsidRDefault="00C069F1">
      <w:pPr>
        <w:tabs>
          <w:tab w:val="left" w:pos="2170"/>
          <w:tab w:val="right" w:pos="6552"/>
        </w:tabs>
        <w:spacing w:before="216" w:line="283" w:lineRule="exact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>For Applicant</w:t>
      </w:r>
      <w:r>
        <w:rPr>
          <w:rFonts w:ascii="Times New Roman" w:hAnsi="Times New Roman"/>
          <w:color w:val="000000"/>
          <w:spacing w:val="-6"/>
          <w:w w:val="105"/>
          <w:sz w:val="24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4"/>
        </w:rPr>
        <w:t>Mr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G.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4"/>
        </w:rPr>
        <w:t>Sithole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4"/>
        </w:rPr>
        <w:t>, Advocate</w:t>
      </w:r>
      <w:r>
        <w:rPr>
          <w:rFonts w:ascii="Times New Roman" w:hAnsi="Times New Roman"/>
          <w:color w:val="000000"/>
          <w:spacing w:val="-6"/>
          <w:w w:val="105"/>
          <w:sz w:val="24"/>
        </w:rPr>
        <w:tab/>
      </w:r>
      <w:r>
        <w:rPr>
          <w:rFonts w:ascii="Times New Roman" w:hAnsi="Times New Roman"/>
          <w:color w:val="000000"/>
          <w:w w:val="105"/>
          <w:sz w:val="24"/>
        </w:rPr>
        <w:t>-</w:t>
      </w:r>
    </w:p>
    <w:p w:rsidR="009F0D41" w:rsidRDefault="00C069F1">
      <w:pPr>
        <w:tabs>
          <w:tab w:val="right" w:pos="4594"/>
        </w:tabs>
        <w:spacing w:before="108" w:line="287" w:lineRule="exact"/>
        <w:rPr>
          <w:rFonts w:ascii="Times New Roman" w:hAnsi="Times New Roman"/>
          <w:color w:val="000000"/>
          <w:spacing w:val="-10"/>
          <w:w w:val="105"/>
          <w:sz w:val="24"/>
        </w:rPr>
      </w:pPr>
      <w:r>
        <w:rPr>
          <w:rFonts w:ascii="Times New Roman" w:hAnsi="Times New Roman"/>
          <w:color w:val="000000"/>
          <w:spacing w:val="-10"/>
          <w:w w:val="105"/>
          <w:sz w:val="24"/>
        </w:rPr>
        <w:t>For Respondent</w:t>
      </w:r>
      <w:r>
        <w:rPr>
          <w:rFonts w:ascii="Times New Roman" w:hAnsi="Times New Roman"/>
          <w:color w:val="000000"/>
          <w:spacing w:val="-10"/>
          <w:w w:val="105"/>
          <w:sz w:val="24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Mr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B.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Mahuni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Attorney</w:t>
      </w:r>
    </w:p>
    <w:p w:rsidR="009F0D41" w:rsidRDefault="00C069F1">
      <w:pPr>
        <w:spacing w:before="288" w:line="273" w:lineRule="exact"/>
        <w:rPr>
          <w:rFonts w:ascii="Times New Roman" w:hAnsi="Times New Roman"/>
          <w:b/>
          <w:color w:val="000000"/>
          <w:w w:val="105"/>
          <w:sz w:val="24"/>
        </w:rPr>
      </w:pPr>
      <w:r>
        <w:rPr>
          <w:rFonts w:ascii="Times New Roman" w:hAnsi="Times New Roman"/>
          <w:b/>
          <w:color w:val="000000"/>
          <w:w w:val="105"/>
          <w:sz w:val="24"/>
        </w:rPr>
        <w:t>MUSARIRI, J:</w:t>
      </w:r>
    </w:p>
    <w:p w:rsidR="009F0D41" w:rsidRDefault="00C069F1">
      <w:pPr>
        <w:spacing w:before="288" w:line="348" w:lineRule="exact"/>
        <w:ind w:firstLine="72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At the onset of oral argument in this Court respondents raised a point </w:t>
      </w:r>
      <w:r>
        <w:rPr>
          <w:rFonts w:ascii="Times New Roman" w:hAnsi="Times New Roman"/>
          <w:i/>
          <w:color w:val="000000"/>
          <w:spacing w:val="-8"/>
          <w:w w:val="110"/>
          <w:sz w:val="24"/>
        </w:rPr>
        <w:t xml:space="preserve">in </w:t>
      </w:r>
      <w:proofErr w:type="spellStart"/>
      <w:r>
        <w:rPr>
          <w:rFonts w:ascii="Times New Roman" w:hAnsi="Times New Roman"/>
          <w:i/>
          <w:color w:val="000000"/>
          <w:spacing w:val="-8"/>
          <w:w w:val="110"/>
          <w:sz w:val="24"/>
        </w:rPr>
        <w:t>limine</w:t>
      </w:r>
      <w:proofErr w:type="spellEnd"/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 which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applicant opposed.</w:t>
      </w:r>
    </w:p>
    <w:p w:rsidR="009F0D41" w:rsidRDefault="00C069F1">
      <w:pPr>
        <w:spacing w:before="108" w:line="278" w:lineRule="exact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The point is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summarised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in respondents opposing affidavit as follows</w:t>
      </w:r>
    </w:p>
    <w:p w:rsidR="009F0D41" w:rsidRDefault="00C069F1">
      <w:pPr>
        <w:spacing w:before="108" w:line="235" w:lineRule="exact"/>
        <w:ind w:left="720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“2. In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limine</w:t>
      </w:r>
      <w:proofErr w:type="spellEnd"/>
    </w:p>
    <w:p w:rsidR="009F0D41" w:rsidRDefault="00C069F1">
      <w:pPr>
        <w:spacing w:before="144" w:line="278" w:lineRule="exact"/>
        <w:ind w:left="720"/>
        <w:jc w:val="both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The Applicant is approaching this Court without exhausting the Appeals process in that he applied for review of this to this Court without exhausting the remedies provided for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in section 10 of the Welfare and Educational Institutions Employers Association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Code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of conduct which the authority which was used to charge the Applicant.”</w:t>
      </w:r>
    </w:p>
    <w:p w:rsidR="009F0D41" w:rsidRDefault="00C069F1">
      <w:pPr>
        <w:spacing w:before="216" w:line="392" w:lineRule="exact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Disciplinary proceedings by respondents against applicant were conducted and determined by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the Hearing Authority (P.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Chikoore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>) on the 15</w:t>
      </w:r>
      <w:r>
        <w:rPr>
          <w:rFonts w:ascii="Times New Roman" w:hAnsi="Times New Roman"/>
          <w:color w:val="000000"/>
          <w:spacing w:val="-4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February 2023. On the 20</w:t>
      </w:r>
      <w:r>
        <w:rPr>
          <w:rFonts w:ascii="Times New Roman" w:hAnsi="Times New Roman"/>
          <w:color w:val="000000"/>
          <w:spacing w:val="-4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March 2023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ap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plicant appealed the determination to respondent’s Chief Executive Officer (C.EO.). Whilst that appeal was pending applicant filed the present application for review by this Court on the </w:t>
      </w:r>
      <w:r>
        <w:rPr>
          <w:rFonts w:ascii="Times New Roman" w:hAnsi="Times New Roman"/>
          <w:color w:val="000000"/>
          <w:w w:val="105"/>
          <w:sz w:val="24"/>
        </w:rPr>
        <w:t>22</w:t>
      </w:r>
      <w:r>
        <w:rPr>
          <w:rFonts w:ascii="Times New Roman" w:hAnsi="Times New Roman"/>
          <w:color w:val="000000"/>
          <w:sz w:val="24"/>
          <w:vertAlign w:val="superscript"/>
        </w:rPr>
        <w:t>nd</w:t>
      </w:r>
      <w:r>
        <w:rPr>
          <w:rFonts w:ascii="Times New Roman" w:hAnsi="Times New Roman"/>
          <w:color w:val="000000"/>
          <w:w w:val="105"/>
          <w:sz w:val="24"/>
        </w:rPr>
        <w:t xml:space="preserve"> March 2023. In this Court applicant prays that </w:t>
      </w:r>
      <w:proofErr w:type="spellStart"/>
      <w:r>
        <w:rPr>
          <w:rFonts w:ascii="Times New Roman" w:hAnsi="Times New Roman"/>
          <w:color w:val="000000"/>
          <w:w w:val="105"/>
          <w:sz w:val="24"/>
        </w:rPr>
        <w:t>Chikoore’s</w:t>
      </w:r>
      <w:proofErr w:type="spellEnd"/>
      <w:r>
        <w:rPr>
          <w:rFonts w:ascii="Times New Roman" w:hAnsi="Times New Roman"/>
          <w:color w:val="000000"/>
          <w:w w:val="105"/>
          <w:sz w:val="24"/>
        </w:rPr>
        <w:t xml:space="preserve"> decisi</w:t>
      </w:r>
      <w:r>
        <w:rPr>
          <w:rFonts w:ascii="Times New Roman" w:hAnsi="Times New Roman"/>
          <w:color w:val="000000"/>
          <w:w w:val="105"/>
          <w:sz w:val="24"/>
        </w:rPr>
        <w:t xml:space="preserve">on be set aside.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Apparently that is the same or similar relief he seeks in the appeal to the CEO.</w:t>
      </w:r>
    </w:p>
    <w:p w:rsidR="009F0D41" w:rsidRDefault="009F0D41">
      <w:pPr>
        <w:sectPr w:rsidR="009F0D41">
          <w:pgSz w:w="11918" w:h="16854"/>
          <w:pgMar w:top="2330" w:right="1443" w:bottom="1708" w:left="1375" w:header="720" w:footer="720" w:gutter="0"/>
          <w:cols w:space="720"/>
        </w:sectPr>
      </w:pPr>
    </w:p>
    <w:p w:rsidR="009F0D41" w:rsidRDefault="00C069F1">
      <w:pPr>
        <w:spacing w:line="248" w:lineRule="exact"/>
        <w:jc w:val="right"/>
        <w:rPr>
          <w:rFonts w:ascii="Calibri" w:hAnsi="Calibri"/>
          <w:color w:val="000000"/>
          <w:w w:val="110"/>
        </w:rPr>
      </w:pPr>
      <w:r>
        <w:rPr>
          <w:rFonts w:ascii="Calibri" w:hAnsi="Calibri"/>
          <w:color w:val="000000"/>
          <w:w w:val="110"/>
        </w:rPr>
        <w:lastRenderedPageBreak/>
        <w:t>2</w:t>
      </w:r>
    </w:p>
    <w:p w:rsidR="009F0D41" w:rsidRDefault="00C069F1">
      <w:pPr>
        <w:spacing w:before="216" w:line="687" w:lineRule="exact"/>
        <w:ind w:firstLine="7848"/>
        <w:jc w:val="both"/>
        <w:rPr>
          <w:rFonts w:ascii="Calibri" w:hAnsi="Calibri"/>
          <w:color w:val="000000"/>
          <w:spacing w:val="-12"/>
          <w:w w:val="110"/>
        </w:rPr>
      </w:pPr>
      <w:r>
        <w:rPr>
          <w:rFonts w:ascii="Calibri" w:hAnsi="Calibri"/>
          <w:color w:val="000000"/>
          <w:spacing w:val="-12"/>
          <w:w w:val="110"/>
        </w:rPr>
        <w:t xml:space="preserve">LC/H/206/23 </w:t>
      </w:r>
      <w:r>
        <w:rPr>
          <w:rFonts w:ascii="Times New Roman" w:hAnsi="Times New Roman"/>
          <w:color w:val="000000"/>
          <w:spacing w:val="-14"/>
          <w:w w:val="110"/>
          <w:sz w:val="24"/>
        </w:rPr>
        <w:t xml:space="preserve">In his application </w:t>
      </w:r>
      <w:r>
        <w:rPr>
          <w:rFonts w:ascii="Times New Roman" w:hAnsi="Times New Roman"/>
          <w:i/>
          <w:color w:val="000000"/>
          <w:spacing w:val="-14"/>
          <w:w w:val="110"/>
          <w:sz w:val="24"/>
        </w:rPr>
        <w:t xml:space="preserve">in </w:t>
      </w:r>
      <w:proofErr w:type="spellStart"/>
      <w:r>
        <w:rPr>
          <w:rFonts w:ascii="Times New Roman" w:hAnsi="Times New Roman"/>
          <w:i/>
          <w:color w:val="000000"/>
          <w:spacing w:val="-14"/>
          <w:w w:val="110"/>
          <w:sz w:val="24"/>
        </w:rPr>
        <w:t>casu</w:t>
      </w:r>
      <w:proofErr w:type="spellEnd"/>
      <w:r>
        <w:rPr>
          <w:rFonts w:ascii="Times New Roman" w:hAnsi="Times New Roman"/>
          <w:color w:val="000000"/>
          <w:spacing w:val="-14"/>
          <w:w w:val="110"/>
          <w:sz w:val="24"/>
        </w:rPr>
        <w:t xml:space="preserve"> applicant did not disclose that he had appealed to the Chief Executive </w:t>
      </w:r>
      <w:r>
        <w:rPr>
          <w:rFonts w:ascii="Times New Roman" w:hAnsi="Times New Roman"/>
          <w:color w:val="000000"/>
          <w:w w:val="110"/>
          <w:sz w:val="24"/>
        </w:rPr>
        <w:t>Officer.</w:t>
      </w:r>
    </w:p>
    <w:p w:rsidR="009F0D41" w:rsidRDefault="00C069F1">
      <w:pPr>
        <w:spacing w:before="144" w:line="350" w:lineRule="exact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Respondent argued that applicant’s conduct violates the provisions of section 124 (1) of the </w:t>
      </w:r>
      <w:proofErr w:type="spellStart"/>
      <w:r>
        <w:rPr>
          <w:rFonts w:ascii="Times New Roman" w:hAnsi="Times New Roman"/>
          <w:color w:val="000000"/>
          <w:spacing w:val="-7"/>
          <w:w w:val="110"/>
          <w:sz w:val="24"/>
          <w:u w:val="single"/>
        </w:rPr>
        <w:t>Labour</w:t>
      </w:r>
      <w:proofErr w:type="spellEnd"/>
      <w:r>
        <w:rPr>
          <w:rFonts w:ascii="Times New Roman" w:hAnsi="Times New Roman"/>
          <w:color w:val="000000"/>
          <w:spacing w:val="-7"/>
          <w:w w:val="110"/>
          <w:sz w:val="24"/>
          <w:u w:val="single"/>
        </w:rPr>
        <w:t xml:space="preserve"> Act</w:t>
      </w:r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 Chapter 28:01 </w:t>
      </w:r>
      <w:r>
        <w:rPr>
          <w:rFonts w:ascii="Times New Roman" w:hAnsi="Times New Roman"/>
          <w:color w:val="000000"/>
          <w:spacing w:val="-7"/>
          <w:w w:val="105"/>
          <w:sz w:val="24"/>
        </w:rPr>
        <w:t>hereafter called “the Act”</w:t>
      </w:r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 which reads,</w:t>
      </w:r>
    </w:p>
    <w:p w:rsidR="009F0D41" w:rsidRDefault="00C069F1">
      <w:pPr>
        <w:spacing w:before="108" w:line="277" w:lineRule="exact"/>
        <w:ind w:left="72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>“(1) Where any p</w:t>
      </w:r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roceedings in respect of any matter have been instituted, completed </w:t>
      </w:r>
      <w:r>
        <w:rPr>
          <w:rFonts w:ascii="Times New Roman" w:hAnsi="Times New Roman"/>
          <w:color w:val="000000"/>
          <w:spacing w:val="-8"/>
          <w:w w:val="110"/>
          <w:sz w:val="24"/>
        </w:rPr>
        <w:t xml:space="preserve">or determined in terms of this Act, no person who is aware thereof </w:t>
      </w:r>
      <w:r>
        <w:rPr>
          <w:rFonts w:ascii="Times New Roman" w:hAnsi="Times New Roman"/>
          <w:color w:val="000000"/>
          <w:spacing w:val="-8"/>
          <w:w w:val="110"/>
          <w:sz w:val="24"/>
          <w:u w:val="single"/>
        </w:rPr>
        <w:t>shall institute</w:t>
      </w:r>
      <w:r>
        <w:rPr>
          <w:rFonts w:ascii="Times New Roman" w:hAnsi="Times New Roman"/>
          <w:color w:val="000000"/>
          <w:spacing w:val="-8"/>
          <w:w w:val="110"/>
          <w:sz w:val="24"/>
        </w:rPr>
        <w:t xml:space="preserve"> or cause to be instituted, or shall continue any other proceedings, in respect of the same 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or any related matter, without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first advising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the authority,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court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or tribunal whi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ch is </w:t>
      </w:r>
      <w:r>
        <w:rPr>
          <w:rFonts w:ascii="Times New Roman" w:hAnsi="Times New Roman"/>
          <w:color w:val="000000"/>
          <w:spacing w:val="-12"/>
          <w:w w:val="110"/>
          <w:sz w:val="24"/>
        </w:rPr>
        <w:t xml:space="preserve">responsible for or concerned with the second-mentioned proceedings of the </w:t>
      </w:r>
      <w:r>
        <w:rPr>
          <w:rFonts w:ascii="Times New Roman" w:hAnsi="Times New Roman"/>
          <w:color w:val="000000"/>
          <w:spacing w:val="-12"/>
          <w:w w:val="110"/>
          <w:sz w:val="24"/>
          <w:u w:val="single"/>
        </w:rPr>
        <w:t>fact</w:t>
      </w:r>
      <w:r>
        <w:rPr>
          <w:rFonts w:ascii="Times New Roman" w:hAnsi="Times New Roman"/>
          <w:color w:val="000000"/>
          <w:spacing w:val="-12"/>
          <w:w w:val="110"/>
          <w:sz w:val="24"/>
        </w:rPr>
        <w:t xml:space="preserve"> of the </w:t>
      </w:r>
      <w:r>
        <w:rPr>
          <w:rFonts w:ascii="Times New Roman" w:hAnsi="Times New Roman"/>
          <w:color w:val="000000"/>
          <w:spacing w:val="-9"/>
          <w:w w:val="110"/>
          <w:sz w:val="24"/>
          <w:u w:val="single"/>
        </w:rPr>
        <w:t>earlier proceedings</w:t>
      </w:r>
      <w:r>
        <w:rPr>
          <w:rFonts w:ascii="Times New Roman" w:hAnsi="Times New Roman"/>
          <w:color w:val="000000"/>
          <w:spacing w:val="-9"/>
          <w:w w:val="105"/>
          <w:sz w:val="24"/>
        </w:rPr>
        <w:t>.”</w:t>
      </w:r>
      <w:r>
        <w:rPr>
          <w:rFonts w:ascii="Times New Roman" w:hAnsi="Times New Roman"/>
          <w:color w:val="000000"/>
          <w:spacing w:val="-9"/>
          <w:w w:val="110"/>
          <w:sz w:val="24"/>
        </w:rPr>
        <w:t xml:space="preserve"> (</w:t>
      </w:r>
      <w:proofErr w:type="gramStart"/>
      <w:r>
        <w:rPr>
          <w:rFonts w:ascii="Times New Roman" w:hAnsi="Times New Roman"/>
          <w:color w:val="000000"/>
          <w:spacing w:val="-9"/>
          <w:w w:val="110"/>
          <w:sz w:val="24"/>
        </w:rPr>
        <w:t>underlined</w:t>
      </w:r>
      <w:proofErr w:type="gramEnd"/>
      <w:r>
        <w:rPr>
          <w:rFonts w:ascii="Times New Roman" w:hAnsi="Times New Roman"/>
          <w:color w:val="000000"/>
          <w:spacing w:val="-9"/>
          <w:w w:val="110"/>
          <w:sz w:val="24"/>
        </w:rPr>
        <w:t xml:space="preserve"> for emphasis.)</w:t>
      </w:r>
    </w:p>
    <w:p w:rsidR="009F0D41" w:rsidRDefault="00C069F1">
      <w:pPr>
        <w:spacing w:before="216" w:line="392" w:lineRule="exact"/>
        <w:jc w:val="both"/>
        <w:rPr>
          <w:rFonts w:ascii="Times New Roman" w:hAnsi="Times New Roman"/>
          <w:color w:val="000000"/>
          <w:spacing w:val="-11"/>
          <w:w w:val="110"/>
          <w:sz w:val="24"/>
        </w:rPr>
      </w:pPr>
      <w:r>
        <w:rPr>
          <w:rFonts w:ascii="Times New Roman" w:hAnsi="Times New Roman"/>
          <w:color w:val="000000"/>
          <w:spacing w:val="-11"/>
          <w:w w:val="110"/>
          <w:sz w:val="24"/>
        </w:rPr>
        <w:t xml:space="preserve">Applicant clearly violated the provision by his failure to inform the Court of his appeal to the 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Chief Executive Officer which he admits. However he sought to argue from the bar that the </w:t>
      </w:r>
      <w:r>
        <w:rPr>
          <w:rFonts w:ascii="Times New Roman" w:hAnsi="Times New Roman"/>
          <w:color w:val="000000"/>
          <w:spacing w:val="-14"/>
          <w:w w:val="110"/>
          <w:sz w:val="24"/>
        </w:rPr>
        <w:t xml:space="preserve">appeal has since been determined and therefore the point is now moot. As correctly argued by 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respondent what weighs in such a matter is the position as at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the time th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 xml:space="preserve">e application was filed </w:t>
      </w:r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in this Court. At that point in time his application was invalid for failure to comply with </w:t>
      </w:r>
      <w:r>
        <w:rPr>
          <w:rFonts w:ascii="Times New Roman" w:hAnsi="Times New Roman"/>
          <w:color w:val="000000"/>
          <w:spacing w:val="-9"/>
          <w:w w:val="110"/>
          <w:sz w:val="24"/>
        </w:rPr>
        <w:t>peremptory provisions of section 124 of the Act.</w:t>
      </w:r>
    </w:p>
    <w:p w:rsidR="009F0D41" w:rsidRDefault="00C069F1">
      <w:pPr>
        <w:spacing w:before="360" w:line="348" w:lineRule="exact"/>
        <w:rPr>
          <w:rFonts w:ascii="Times New Roman" w:hAnsi="Times New Roman"/>
          <w:color w:val="000000"/>
          <w:spacing w:val="-12"/>
          <w:w w:val="110"/>
          <w:sz w:val="24"/>
        </w:rPr>
      </w:pPr>
      <w:r>
        <w:rPr>
          <w:rFonts w:ascii="Times New Roman" w:hAnsi="Times New Roman"/>
          <w:color w:val="000000"/>
          <w:spacing w:val="-12"/>
          <w:w w:val="110"/>
          <w:sz w:val="24"/>
        </w:rPr>
        <w:t>Alternatively applicant was obliged to exhaust his domestic remedies before approaching the</w:t>
      </w:r>
      <w:r>
        <w:rPr>
          <w:rFonts w:ascii="Times New Roman" w:hAnsi="Times New Roman"/>
          <w:color w:val="000000"/>
          <w:spacing w:val="-1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7"/>
          <w:w w:val="110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 Court. That position was affirmed in the case of</w:t>
      </w:r>
    </w:p>
    <w:p w:rsidR="009F0D41" w:rsidRDefault="00C069F1">
      <w:pPr>
        <w:spacing w:before="108" w:line="282" w:lineRule="exact"/>
        <w:ind w:left="720"/>
        <w:rPr>
          <w:rFonts w:ascii="Times New Roman" w:hAnsi="Times New Roman"/>
          <w:color w:val="000000"/>
          <w:spacing w:val="-10"/>
          <w:w w:val="110"/>
          <w:sz w:val="24"/>
          <w:u w:val="single"/>
        </w:rPr>
      </w:pPr>
      <w:proofErr w:type="spellStart"/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Muzengi</w:t>
      </w:r>
      <w:proofErr w:type="spellEnd"/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v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Standard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2002(1</w:t>
      </w:r>
      <w:proofErr w:type="gramStart"/>
      <w:r>
        <w:rPr>
          <w:rFonts w:ascii="Times New Roman" w:hAnsi="Times New Roman"/>
          <w:color w:val="000000"/>
          <w:spacing w:val="-10"/>
          <w:w w:val="110"/>
          <w:sz w:val="24"/>
        </w:rPr>
        <w:t>)ZLR</w:t>
      </w:r>
      <w:proofErr w:type="gramEnd"/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334(S) by </w:t>
      </w:r>
      <w:proofErr w:type="spellStart"/>
      <w:r>
        <w:rPr>
          <w:rFonts w:ascii="Times New Roman" w:hAnsi="Times New Roman"/>
          <w:color w:val="000000"/>
          <w:spacing w:val="-10"/>
          <w:w w:val="110"/>
          <w:sz w:val="24"/>
        </w:rPr>
        <w:t>Ziyambi</w:t>
      </w:r>
      <w:proofErr w:type="spellEnd"/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JA at 338C</w:t>
      </w:r>
    </w:p>
    <w:p w:rsidR="009F0D41" w:rsidRDefault="00C069F1">
      <w:pPr>
        <w:spacing w:before="108" w:line="277" w:lineRule="exact"/>
        <w:ind w:left="720" w:right="144"/>
        <w:jc w:val="both"/>
        <w:rPr>
          <w:rFonts w:ascii="Times New Roman" w:hAnsi="Times New Roman"/>
          <w:color w:val="000000"/>
          <w:spacing w:val="-10"/>
          <w:w w:val="50"/>
          <w:sz w:val="23"/>
        </w:rPr>
      </w:pPr>
      <w:r>
        <w:rPr>
          <w:rFonts w:ascii="Times New Roman" w:hAnsi="Times New Roman"/>
          <w:color w:val="000000"/>
          <w:spacing w:val="-10"/>
          <w:w w:val="50"/>
          <w:sz w:val="23"/>
        </w:rPr>
        <w:t>&lt;&lt;</w:t>
      </w:r>
      <w:r>
        <w:rPr>
          <w:rFonts w:ascii="Times New Roman" w:hAnsi="Times New Roman"/>
          <w:color w:val="000000"/>
          <w:spacing w:val="-10"/>
          <w:w w:val="105"/>
          <w:sz w:val="24"/>
        </w:rPr>
        <w:t xml:space="preserve">“...No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special circumstances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or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good reason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having been shown by the appellant to </w:t>
      </w:r>
      <w:r>
        <w:rPr>
          <w:rFonts w:ascii="Times New Roman" w:hAnsi="Times New Roman"/>
          <w:color w:val="000000"/>
          <w:spacing w:val="-7"/>
          <w:w w:val="110"/>
          <w:sz w:val="24"/>
        </w:rPr>
        <w:t xml:space="preserve">exist justifying his approach to the High Court, the </w:t>
      </w:r>
      <w:r>
        <w:rPr>
          <w:rFonts w:ascii="Times New Roman" w:hAnsi="Times New Roman"/>
          <w:color w:val="000000"/>
          <w:spacing w:val="-7"/>
          <w:w w:val="105"/>
          <w:sz w:val="24"/>
          <w:u w:val="single"/>
        </w:rPr>
        <w:t>appellant’s obligation to exhaust</w:t>
      </w:r>
      <w:r>
        <w:rPr>
          <w:rFonts w:ascii="Times New Roman" w:hAnsi="Times New Roman"/>
          <w:color w:val="000000"/>
          <w:spacing w:val="-7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10"/>
          <w:w w:val="110"/>
          <w:sz w:val="24"/>
          <w:u w:val="single"/>
        </w:rPr>
        <w:t>his domestic remedies was peremptory.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Accordingly the application ought</w:t>
      </w:r>
      <w:proofErr w:type="gramStart"/>
      <w:r>
        <w:rPr>
          <w:rFonts w:ascii="Times New Roman" w:hAnsi="Times New Roman"/>
          <w:color w:val="000000"/>
          <w:spacing w:val="-10"/>
          <w:w w:val="110"/>
          <w:sz w:val="24"/>
        </w:rPr>
        <w:t>,</w:t>
      </w:r>
      <w:proofErr w:type="gramEnd"/>
      <w:r>
        <w:rPr>
          <w:rFonts w:ascii="Times New Roman" w:hAnsi="Times New Roman"/>
          <w:color w:val="000000"/>
          <w:spacing w:val="-10"/>
          <w:w w:val="110"/>
          <w:sz w:val="24"/>
        </w:rPr>
        <w:t xml:space="preserve"> on this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ground alone, to have been dismissed.”</w:t>
      </w:r>
    </w:p>
    <w:p w:rsidR="009F0D41" w:rsidRDefault="00C069F1">
      <w:pPr>
        <w:spacing w:before="216" w:line="381" w:lineRule="exact"/>
        <w:jc w:val="both"/>
        <w:rPr>
          <w:rFonts w:ascii="Times New Roman" w:hAnsi="Times New Roman"/>
          <w:color w:val="000000"/>
          <w:spacing w:val="-6"/>
          <w:w w:val="110"/>
          <w:sz w:val="24"/>
        </w:rPr>
      </w:pPr>
      <w:r>
        <w:rPr>
          <w:rFonts w:ascii="Times New Roman" w:hAnsi="Times New Roman"/>
          <w:color w:val="000000"/>
          <w:spacing w:val="-6"/>
          <w:w w:val="110"/>
          <w:sz w:val="24"/>
        </w:rPr>
        <w:t xml:space="preserve">Applicant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did not show the requisite “special circumstances or good reason” and thus </w:t>
      </w:r>
      <w:r>
        <w:rPr>
          <w:rFonts w:ascii="Times New Roman" w:hAnsi="Times New Roman"/>
          <w:color w:val="000000"/>
          <w:spacing w:val="-6"/>
          <w:w w:val="110"/>
          <w:sz w:val="24"/>
        </w:rPr>
        <w:t xml:space="preserve">should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have awaited the Chief Executive Officer’s decision</w:t>
      </w:r>
      <w:r>
        <w:rPr>
          <w:rFonts w:ascii="Times New Roman" w:hAnsi="Times New Roman"/>
          <w:color w:val="000000"/>
          <w:spacing w:val="-6"/>
          <w:w w:val="110"/>
          <w:sz w:val="24"/>
        </w:rPr>
        <w:t xml:space="preserve"> on his appeal, before approaching this </w:t>
      </w: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Court. It is therefore concluded that respondents’ point </w:t>
      </w:r>
      <w:r>
        <w:rPr>
          <w:rFonts w:ascii="Times New Roman" w:hAnsi="Times New Roman"/>
          <w:i/>
          <w:color w:val="000000"/>
          <w:spacing w:val="-9"/>
          <w:w w:val="110"/>
          <w:sz w:val="24"/>
        </w:rPr>
        <w:t xml:space="preserve">in </w:t>
      </w:r>
      <w:proofErr w:type="spellStart"/>
      <w:r>
        <w:rPr>
          <w:rFonts w:ascii="Times New Roman" w:hAnsi="Times New Roman"/>
          <w:i/>
          <w:color w:val="000000"/>
          <w:spacing w:val="-9"/>
          <w:w w:val="110"/>
          <w:sz w:val="24"/>
        </w:rPr>
        <w:t>limine</w:t>
      </w:r>
      <w:proofErr w:type="spellEnd"/>
      <w:r>
        <w:rPr>
          <w:rFonts w:ascii="Times New Roman" w:hAnsi="Times New Roman"/>
          <w:color w:val="000000"/>
          <w:spacing w:val="-9"/>
          <w:w w:val="110"/>
          <w:sz w:val="24"/>
        </w:rPr>
        <w:t xml:space="preserve"> is well-founded in both statute </w:t>
      </w:r>
      <w:r>
        <w:rPr>
          <w:rFonts w:ascii="Times New Roman" w:hAnsi="Times New Roman"/>
          <w:color w:val="000000"/>
          <w:spacing w:val="-10"/>
          <w:w w:val="110"/>
          <w:sz w:val="24"/>
        </w:rPr>
        <w:t>and precedent.</w:t>
      </w:r>
    </w:p>
    <w:p w:rsidR="009F0D41" w:rsidRDefault="009F0D41">
      <w:pPr>
        <w:sectPr w:rsidR="009F0D41">
          <w:pgSz w:w="11918" w:h="16854"/>
          <w:pgMar w:top="736" w:right="1384" w:bottom="3188" w:left="1434" w:header="720" w:footer="720" w:gutter="0"/>
          <w:cols w:space="720"/>
        </w:sectPr>
      </w:pPr>
    </w:p>
    <w:p w:rsidR="009F0D41" w:rsidRDefault="00C069F1">
      <w:pPr>
        <w:jc w:val="right"/>
        <w:rPr>
          <w:rFonts w:ascii="Calibri" w:hAnsi="Calibri"/>
          <w:color w:val="000000"/>
          <w:w w:val="105"/>
        </w:rPr>
      </w:pPr>
      <w:r>
        <w:rPr>
          <w:rFonts w:ascii="Calibri" w:hAnsi="Calibri"/>
          <w:color w:val="000000"/>
          <w:w w:val="105"/>
        </w:rPr>
        <w:lastRenderedPageBreak/>
        <w:t>3</w:t>
      </w:r>
    </w:p>
    <w:p w:rsidR="009F0D41" w:rsidRDefault="00C069F1">
      <w:pPr>
        <w:spacing w:before="252" w:line="264" w:lineRule="auto"/>
        <w:jc w:val="right"/>
        <w:rPr>
          <w:rFonts w:ascii="Calibri" w:hAnsi="Calibri"/>
          <w:color w:val="000000"/>
          <w:w w:val="105"/>
        </w:rPr>
      </w:pPr>
      <w:r>
        <w:rPr>
          <w:rFonts w:ascii="Calibri" w:hAnsi="Calibri"/>
          <w:color w:val="000000"/>
          <w:w w:val="105"/>
        </w:rPr>
        <w:t>LC/H/206/23</w:t>
      </w:r>
    </w:p>
    <w:p w:rsidR="009F0D41" w:rsidRDefault="00C069F1">
      <w:pPr>
        <w:spacing w:before="1476"/>
        <w:rPr>
          <w:rFonts w:ascii="Times New Roman" w:hAnsi="Times New Roman"/>
          <w:b/>
          <w:color w:val="000000"/>
          <w:spacing w:val="-10"/>
          <w:w w:val="110"/>
          <w:sz w:val="24"/>
        </w:rPr>
      </w:pPr>
      <w:r>
        <w:rPr>
          <w:rFonts w:ascii="Times New Roman" w:hAnsi="Times New Roman"/>
          <w:b/>
          <w:color w:val="000000"/>
          <w:spacing w:val="-10"/>
          <w:w w:val="110"/>
          <w:sz w:val="24"/>
        </w:rPr>
        <w:t>Wherefore it is ordered that;</w:t>
      </w:r>
    </w:p>
    <w:p w:rsidR="009F0D41" w:rsidRDefault="00C069F1">
      <w:pPr>
        <w:numPr>
          <w:ilvl w:val="0"/>
          <w:numId w:val="1"/>
        </w:numPr>
        <w:tabs>
          <w:tab w:val="clear" w:pos="360"/>
          <w:tab w:val="decimal" w:pos="792"/>
          <w:tab w:val="right" w:pos="6606"/>
        </w:tabs>
        <w:spacing w:before="576"/>
        <w:ind w:left="792" w:hanging="360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>7 IHU1S14</w:t>
      </w:r>
      <w:r>
        <w:rPr>
          <w:rFonts w:ascii="Times New Roman" w:hAnsi="Times New Roman"/>
          <w:b/>
          <w:color w:val="000000"/>
          <w:sz w:val="23"/>
        </w:rPr>
        <w:tab/>
      </w:r>
      <w:r>
        <w:rPr>
          <w:rFonts w:ascii="Times New Roman" w:hAnsi="Times New Roman"/>
          <w:b/>
          <w:color w:val="000000"/>
          <w:spacing w:val="18"/>
          <w:sz w:val="23"/>
        </w:rPr>
        <w:t>S1IQQ1J If199XllYKILW LXSI1W</w:t>
      </w:r>
    </w:p>
    <w:p w:rsidR="009F0D41" w:rsidRDefault="00C069F1">
      <w:pPr>
        <w:numPr>
          <w:ilvl w:val="0"/>
          <w:numId w:val="1"/>
        </w:numPr>
        <w:tabs>
          <w:tab w:val="clear" w:pos="360"/>
          <w:tab w:val="decimal" w:pos="792"/>
        </w:tabs>
        <w:spacing w:before="972" w:line="360" w:lineRule="auto"/>
        <w:ind w:left="792" w:hanging="360"/>
        <w:rPr>
          <w:rFonts w:ascii="Times New Roman" w:hAnsi="Times New Roman"/>
          <w:b/>
          <w:color w:val="000000"/>
          <w:spacing w:val="-9"/>
          <w:w w:val="110"/>
          <w:sz w:val="24"/>
        </w:rPr>
      </w:pPr>
      <w:r>
        <w:rPr>
          <w:rFonts w:ascii="Times New Roman" w:hAnsi="Times New Roman"/>
          <w:b/>
          <w:color w:val="000000"/>
          <w:spacing w:val="-9"/>
          <w:w w:val="110"/>
          <w:sz w:val="24"/>
        </w:rPr>
        <w:t>The application for review is struck off the roll for violation of section 124(1) of</w:t>
      </w:r>
      <w:r>
        <w:rPr>
          <w:rFonts w:ascii="Times New Roman" w:hAnsi="Times New Roman"/>
          <w:b/>
          <w:color w:val="000000"/>
          <w:spacing w:val="-9"/>
          <w:sz w:val="6"/>
        </w:rPr>
        <w:t xml:space="preserve"> </w:t>
      </w:r>
      <w:r>
        <w:rPr>
          <w:rFonts w:ascii="Times New Roman" w:hAnsi="Times New Roman"/>
          <w:b/>
          <w:color w:val="000000"/>
          <w:spacing w:val="-10"/>
          <w:w w:val="110"/>
          <w:sz w:val="24"/>
        </w:rPr>
        <w:t xml:space="preserve">the </w:t>
      </w:r>
      <w:proofErr w:type="spellStart"/>
      <w:r>
        <w:rPr>
          <w:rFonts w:ascii="Times New Roman" w:hAnsi="Times New Roman"/>
          <w:b/>
          <w:color w:val="000000"/>
          <w:spacing w:val="-10"/>
          <w:w w:val="110"/>
          <w:sz w:val="24"/>
        </w:rPr>
        <w:t>Labour</w:t>
      </w:r>
      <w:proofErr w:type="spellEnd"/>
      <w:r>
        <w:rPr>
          <w:rFonts w:ascii="Times New Roman" w:hAnsi="Times New Roman"/>
          <w:b/>
          <w:color w:val="000000"/>
          <w:spacing w:val="-10"/>
          <w:w w:val="110"/>
          <w:sz w:val="24"/>
        </w:rPr>
        <w:t xml:space="preserve"> Act Chapter 28:01; and</w:t>
      </w:r>
    </w:p>
    <w:p w:rsidR="009F0D41" w:rsidRDefault="00C069F1">
      <w:pPr>
        <w:numPr>
          <w:ilvl w:val="0"/>
          <w:numId w:val="1"/>
        </w:numPr>
        <w:tabs>
          <w:tab w:val="clear" w:pos="360"/>
          <w:tab w:val="decimal" w:pos="792"/>
        </w:tabs>
        <w:spacing w:before="792" w:after="2520"/>
        <w:ind w:left="792" w:hanging="360"/>
        <w:rPr>
          <w:rFonts w:ascii="Times New Roman" w:hAnsi="Times New Roman"/>
          <w:b/>
          <w:color w:val="000000"/>
          <w:spacing w:val="-4"/>
          <w:w w:val="110"/>
          <w:sz w:val="24"/>
        </w:rPr>
      </w:pPr>
      <w:r>
        <w:rPr>
          <w:rFonts w:ascii="Times New Roman" w:hAnsi="Times New Roman"/>
          <w:b/>
          <w:color w:val="000000"/>
          <w:spacing w:val="-4"/>
          <w:w w:val="110"/>
          <w:sz w:val="24"/>
        </w:rPr>
        <w:t>Each party shall bear its own costs.</w:t>
      </w:r>
    </w:p>
    <w:p w:rsidR="009F0D41" w:rsidRDefault="009F0D41">
      <w:pPr>
        <w:spacing w:after="108"/>
        <w:ind w:left="3630" w:right="3740"/>
        <w:jc w:val="center"/>
      </w:pPr>
      <w:bookmarkStart w:id="0" w:name="_GoBack"/>
      <w:bookmarkEnd w:id="0"/>
    </w:p>
    <w:p w:rsidR="009F0D41" w:rsidRDefault="00C069F1">
      <w:pPr>
        <w:spacing w:line="323" w:lineRule="exact"/>
        <w:ind w:left="3888" w:right="3888" w:hanging="216"/>
        <w:rPr>
          <w:rFonts w:ascii="Times New Roman" w:hAnsi="Times New Roman"/>
          <w:b/>
          <w:color w:val="000000"/>
          <w:spacing w:val="-20"/>
          <w:w w:val="110"/>
          <w:sz w:val="24"/>
        </w:rPr>
      </w:pPr>
      <w:r>
        <w:rPr>
          <w:rFonts w:ascii="Times New Roman" w:hAnsi="Times New Roman"/>
          <w:b/>
          <w:color w:val="000000"/>
          <w:spacing w:val="-20"/>
          <w:w w:val="110"/>
          <w:sz w:val="24"/>
        </w:rPr>
        <w:t xml:space="preserve">G MUSARIRI </w:t>
      </w:r>
      <w:r>
        <w:rPr>
          <w:rFonts w:ascii="Times New Roman" w:hAnsi="Times New Roman"/>
          <w:b/>
          <w:color w:val="000000"/>
          <w:spacing w:val="-4"/>
          <w:w w:val="110"/>
          <w:sz w:val="24"/>
        </w:rPr>
        <w:t>J-U-D-G-E</w:t>
      </w:r>
    </w:p>
    <w:sectPr w:rsidR="009F0D41">
      <w:pgSz w:w="11918" w:h="16854"/>
      <w:pgMar w:top="736" w:right="1402" w:bottom="530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85686"/>
    <w:multiLevelType w:val="multilevel"/>
    <w:tmpl w:val="3216EFB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D41"/>
    <w:rsid w:val="009F0D41"/>
    <w:rsid w:val="00C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D091FA1-88F0-47E4-8AC6-09CBF406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2023-09-18T13:46:00Z</dcterms:created>
  <dcterms:modified xsi:type="dcterms:W3CDTF">2023-09-18T13:46:00Z</dcterms:modified>
</cp:coreProperties>
</file>