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F7E" w:rsidRDefault="003B0F7E" w:rsidP="00EC6EDF">
      <w:pPr>
        <w:spacing w:after="0" w:line="240" w:lineRule="auto"/>
        <w:jc w:val="both"/>
        <w:rPr>
          <w:rFonts w:ascii="Times New Roman" w:hAnsi="Times New Roman" w:cs="Times New Roman"/>
          <w:sz w:val="24"/>
          <w:szCs w:val="24"/>
        </w:rPr>
      </w:pPr>
      <w:bookmarkStart w:id="0" w:name="_GoBack"/>
      <w:bookmarkEnd w:id="0"/>
    </w:p>
    <w:p w:rsidR="00BD45EB" w:rsidRDefault="008E2AB4" w:rsidP="00EC6E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BLUMO TRADING (PRIVATE) LIMITED</w:t>
      </w:r>
    </w:p>
    <w:p w:rsidR="008E2AB4" w:rsidRDefault="008E2AB4" w:rsidP="00EC6E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 COLCOM COMMODITIES</w:t>
      </w:r>
    </w:p>
    <w:p w:rsidR="008E2AB4" w:rsidRDefault="008E2AB4" w:rsidP="00EC6E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8E2AB4" w:rsidRDefault="008E2AB4" w:rsidP="00EC6E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MORGAN MUDUVURI</w:t>
      </w:r>
    </w:p>
    <w:p w:rsidR="008E2AB4" w:rsidRDefault="008E2AB4" w:rsidP="00EC6EDF">
      <w:pPr>
        <w:spacing w:after="0" w:line="240" w:lineRule="auto"/>
        <w:jc w:val="both"/>
        <w:rPr>
          <w:rFonts w:ascii="Times New Roman" w:hAnsi="Times New Roman" w:cs="Times New Roman"/>
          <w:sz w:val="24"/>
          <w:szCs w:val="24"/>
        </w:rPr>
      </w:pPr>
    </w:p>
    <w:p w:rsidR="008E2AB4" w:rsidRDefault="008E2AB4" w:rsidP="00EC6EDF">
      <w:pPr>
        <w:spacing w:after="0" w:line="240" w:lineRule="auto"/>
        <w:jc w:val="both"/>
        <w:rPr>
          <w:rFonts w:ascii="Times New Roman" w:hAnsi="Times New Roman" w:cs="Times New Roman"/>
          <w:sz w:val="24"/>
          <w:szCs w:val="24"/>
        </w:rPr>
      </w:pPr>
    </w:p>
    <w:p w:rsidR="008E2AB4" w:rsidRDefault="008E2AB4" w:rsidP="00EC6E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8E2AB4" w:rsidRDefault="008E2AB4" w:rsidP="00EC6E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MATHONSI J</w:t>
      </w:r>
    </w:p>
    <w:p w:rsidR="008E2AB4" w:rsidRDefault="008E2AB4" w:rsidP="00EC6E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1A745D">
        <w:rPr>
          <w:rFonts w:ascii="Times New Roman" w:hAnsi="Times New Roman" w:cs="Times New Roman"/>
          <w:sz w:val="24"/>
          <w:szCs w:val="24"/>
        </w:rPr>
        <w:t>3 February 2012</w:t>
      </w:r>
    </w:p>
    <w:p w:rsidR="008E2AB4" w:rsidRDefault="008E2AB4" w:rsidP="00EC6EDF">
      <w:pPr>
        <w:spacing w:after="0" w:line="240" w:lineRule="auto"/>
        <w:jc w:val="both"/>
        <w:rPr>
          <w:rFonts w:ascii="Times New Roman" w:hAnsi="Times New Roman" w:cs="Times New Roman"/>
          <w:sz w:val="24"/>
          <w:szCs w:val="24"/>
        </w:rPr>
      </w:pPr>
    </w:p>
    <w:p w:rsidR="008E2AB4" w:rsidRDefault="008E2AB4" w:rsidP="00EC6EDF">
      <w:pPr>
        <w:spacing w:after="0" w:line="240" w:lineRule="auto"/>
        <w:jc w:val="both"/>
        <w:rPr>
          <w:rFonts w:ascii="Times New Roman" w:hAnsi="Times New Roman" w:cs="Times New Roman"/>
          <w:sz w:val="24"/>
          <w:szCs w:val="24"/>
        </w:rPr>
      </w:pPr>
    </w:p>
    <w:p w:rsidR="008E2AB4" w:rsidRPr="003B0F7E" w:rsidRDefault="008E2AB4" w:rsidP="00EC6EDF">
      <w:pPr>
        <w:spacing w:after="0" w:line="240" w:lineRule="auto"/>
        <w:jc w:val="both"/>
        <w:rPr>
          <w:rFonts w:ascii="Times New Roman" w:hAnsi="Times New Roman" w:cs="Times New Roman"/>
          <w:b/>
          <w:sz w:val="24"/>
          <w:szCs w:val="24"/>
        </w:rPr>
      </w:pPr>
      <w:r w:rsidRPr="003B0F7E">
        <w:rPr>
          <w:rFonts w:ascii="Times New Roman" w:hAnsi="Times New Roman" w:cs="Times New Roman"/>
          <w:b/>
          <w:sz w:val="24"/>
          <w:szCs w:val="24"/>
        </w:rPr>
        <w:t>Opposed Application</w:t>
      </w:r>
    </w:p>
    <w:p w:rsidR="008E2AB4" w:rsidRDefault="008E2AB4" w:rsidP="00EC6EDF">
      <w:pPr>
        <w:spacing w:after="0" w:line="240" w:lineRule="auto"/>
        <w:jc w:val="both"/>
        <w:rPr>
          <w:rFonts w:ascii="Times New Roman" w:hAnsi="Times New Roman" w:cs="Times New Roman"/>
          <w:sz w:val="24"/>
          <w:szCs w:val="24"/>
        </w:rPr>
      </w:pPr>
    </w:p>
    <w:p w:rsidR="008E2AB4" w:rsidRDefault="008E2AB4" w:rsidP="00EC6EDF">
      <w:pPr>
        <w:spacing w:after="0" w:line="240" w:lineRule="auto"/>
        <w:jc w:val="both"/>
        <w:rPr>
          <w:rFonts w:ascii="Times New Roman" w:hAnsi="Times New Roman" w:cs="Times New Roman"/>
          <w:sz w:val="24"/>
          <w:szCs w:val="24"/>
        </w:rPr>
      </w:pPr>
    </w:p>
    <w:p w:rsidR="008E2AB4" w:rsidRDefault="003B0F7E" w:rsidP="003B0F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Pr>
          <w:rFonts w:ascii="Times New Roman" w:hAnsi="Times New Roman" w:cs="Times New Roman"/>
          <w:i/>
          <w:sz w:val="24"/>
          <w:szCs w:val="24"/>
        </w:rPr>
        <w:t>R Taran</w:t>
      </w:r>
      <w:r w:rsidR="008E2AB4">
        <w:rPr>
          <w:rFonts w:ascii="Times New Roman" w:hAnsi="Times New Roman" w:cs="Times New Roman"/>
          <w:sz w:val="24"/>
          <w:szCs w:val="24"/>
        </w:rPr>
        <w:t>, for the applicant</w:t>
      </w:r>
    </w:p>
    <w:p w:rsidR="008E2AB4" w:rsidRDefault="0012560C" w:rsidP="003B0F7E">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R Cha</w:t>
      </w:r>
      <w:r w:rsidR="003B0F7E">
        <w:rPr>
          <w:rFonts w:ascii="Times New Roman" w:hAnsi="Times New Roman" w:cs="Times New Roman"/>
          <w:i/>
          <w:sz w:val="24"/>
          <w:szCs w:val="24"/>
        </w:rPr>
        <w:t>v</w:t>
      </w:r>
      <w:r>
        <w:rPr>
          <w:rFonts w:ascii="Times New Roman" w:hAnsi="Times New Roman" w:cs="Times New Roman"/>
          <w:i/>
          <w:sz w:val="24"/>
          <w:szCs w:val="24"/>
        </w:rPr>
        <w:t>i</w:t>
      </w:r>
      <w:r w:rsidR="008E2AB4">
        <w:rPr>
          <w:rFonts w:ascii="Times New Roman" w:hAnsi="Times New Roman" w:cs="Times New Roman"/>
          <w:sz w:val="24"/>
          <w:szCs w:val="24"/>
        </w:rPr>
        <w:t>, for the respondent</w:t>
      </w:r>
    </w:p>
    <w:p w:rsidR="008E2AB4" w:rsidRDefault="008E2AB4" w:rsidP="00EC6EDF">
      <w:pPr>
        <w:spacing w:after="0" w:line="240" w:lineRule="auto"/>
        <w:jc w:val="both"/>
        <w:rPr>
          <w:rFonts w:ascii="Times New Roman" w:hAnsi="Times New Roman" w:cs="Times New Roman"/>
          <w:sz w:val="24"/>
          <w:szCs w:val="24"/>
        </w:rPr>
      </w:pPr>
    </w:p>
    <w:p w:rsidR="008E2AB4" w:rsidRDefault="008E2AB4" w:rsidP="00EC6EDF">
      <w:pPr>
        <w:spacing w:after="0" w:line="240" w:lineRule="auto"/>
        <w:jc w:val="both"/>
        <w:rPr>
          <w:rFonts w:ascii="Times New Roman" w:hAnsi="Times New Roman" w:cs="Times New Roman"/>
          <w:sz w:val="24"/>
          <w:szCs w:val="24"/>
        </w:rPr>
      </w:pPr>
    </w:p>
    <w:p w:rsidR="0012560C" w:rsidRDefault="008E2AB4" w:rsidP="00EC6E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MATHONSI J:  The respondent was served with the applicant’s heads of argument on 23 May</w:t>
      </w:r>
      <w:r w:rsidR="0012560C">
        <w:rPr>
          <w:rFonts w:ascii="Times New Roman" w:hAnsi="Times New Roman" w:cs="Times New Roman"/>
          <w:sz w:val="24"/>
          <w:szCs w:val="24"/>
        </w:rPr>
        <w:t xml:space="preserve"> 2011. In terms of r 238 (2a) of the High Court Rules, as the respondent is represented by a legal practitioner, the said legal practitioner was required to file heads of argument not more than ten days after receiving the applicant’s heads of argument.</w:t>
      </w:r>
    </w:p>
    <w:p w:rsidR="0012560C" w:rsidRDefault="0012560C" w:rsidP="00EC6E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provision is peremptory and in terms of subrule (2 b) of r 238 a respondent who fails to file heads of argument within the prescribed period of time is automatically barred and the court is entitled to deal with the matter on the merits or direct that it be set down unopposed.</w:t>
      </w:r>
    </w:p>
    <w:p w:rsidR="0012560C" w:rsidRDefault="0012560C" w:rsidP="00EC6E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Pr>
          <w:rFonts w:ascii="Times New Roman" w:hAnsi="Times New Roman" w:cs="Times New Roman"/>
          <w:i/>
          <w:sz w:val="24"/>
          <w:szCs w:val="24"/>
        </w:rPr>
        <w:t>Cha</w:t>
      </w:r>
      <w:r w:rsidR="003B0F7E">
        <w:rPr>
          <w:rFonts w:ascii="Times New Roman" w:hAnsi="Times New Roman" w:cs="Times New Roman"/>
          <w:i/>
          <w:sz w:val="24"/>
          <w:szCs w:val="24"/>
        </w:rPr>
        <w:t>v</w:t>
      </w:r>
      <w:r>
        <w:rPr>
          <w:rFonts w:ascii="Times New Roman" w:hAnsi="Times New Roman" w:cs="Times New Roman"/>
          <w:i/>
          <w:sz w:val="24"/>
          <w:szCs w:val="24"/>
        </w:rPr>
        <w:t xml:space="preserve">i </w:t>
      </w:r>
      <w:r>
        <w:rPr>
          <w:rFonts w:ascii="Times New Roman" w:hAnsi="Times New Roman" w:cs="Times New Roman"/>
          <w:sz w:val="24"/>
          <w:szCs w:val="24"/>
        </w:rPr>
        <w:t xml:space="preserve"> appearing on behalf of the respondent conceded that the respondent’s heads were not filed on time. In fact they were only filed on 16 January 2012 well out of time. No application for condonation was made and as such the respondent has no right of audience.</w:t>
      </w:r>
    </w:p>
    <w:p w:rsidR="00140E78" w:rsidRDefault="0012560C" w:rsidP="00EC6E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intend therefore to deal with the matter on the merits. I have </w:t>
      </w:r>
      <w:r w:rsidR="00EC6EDF">
        <w:rPr>
          <w:rFonts w:ascii="Times New Roman" w:hAnsi="Times New Roman" w:cs="Times New Roman"/>
          <w:sz w:val="24"/>
          <w:szCs w:val="24"/>
        </w:rPr>
        <w:t>studiously</w:t>
      </w:r>
      <w:r w:rsidR="00140E78">
        <w:rPr>
          <w:rFonts w:ascii="Times New Roman" w:hAnsi="Times New Roman" w:cs="Times New Roman"/>
          <w:sz w:val="24"/>
          <w:szCs w:val="24"/>
        </w:rPr>
        <w:t xml:space="preserve"> gone through the papers filed of record and I am of the view that a good case has been made for an order of summary judgment.</w:t>
      </w:r>
    </w:p>
    <w:p w:rsidR="00140E78" w:rsidRDefault="001A745D" w:rsidP="00EC6E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140E78">
        <w:rPr>
          <w:rFonts w:ascii="Times New Roman" w:hAnsi="Times New Roman" w:cs="Times New Roman"/>
          <w:sz w:val="24"/>
          <w:szCs w:val="24"/>
        </w:rPr>
        <w:t>n order to defeat an application for summary judgment</w:t>
      </w:r>
      <w:r>
        <w:rPr>
          <w:rFonts w:ascii="Times New Roman" w:hAnsi="Times New Roman" w:cs="Times New Roman"/>
          <w:sz w:val="24"/>
          <w:szCs w:val="24"/>
        </w:rPr>
        <w:t xml:space="preserve"> the respondent is required</w:t>
      </w:r>
      <w:r w:rsidR="00140E78">
        <w:rPr>
          <w:rFonts w:ascii="Times New Roman" w:hAnsi="Times New Roman" w:cs="Times New Roman"/>
          <w:sz w:val="24"/>
          <w:szCs w:val="24"/>
        </w:rPr>
        <w:t xml:space="preserve"> to satisfy the court that he has a good </w:t>
      </w:r>
      <w:r w:rsidR="00140E78">
        <w:rPr>
          <w:rFonts w:ascii="Times New Roman" w:hAnsi="Times New Roman" w:cs="Times New Roman"/>
          <w:i/>
          <w:sz w:val="24"/>
          <w:szCs w:val="24"/>
        </w:rPr>
        <w:t>prima facie</w:t>
      </w:r>
      <w:r w:rsidR="00140E78">
        <w:rPr>
          <w:rFonts w:ascii="Times New Roman" w:hAnsi="Times New Roman" w:cs="Times New Roman"/>
          <w:sz w:val="24"/>
          <w:szCs w:val="24"/>
        </w:rPr>
        <w:t xml:space="preserve"> defence. He must allege facts that if proved at the trial would entitle him to succeed at the trial.</w:t>
      </w:r>
    </w:p>
    <w:p w:rsidR="00140E78" w:rsidRDefault="00140E78" w:rsidP="00EC6E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 am of the view that the respondent has failed to do so. What he has done is to dispute the purchase price of the maize that he delivered to the applicant when in fact the price was agreed upon between the parties and he appended his signature on the various documents signifying delivery.</w:t>
      </w:r>
    </w:p>
    <w:p w:rsidR="00EC6EDF" w:rsidRDefault="00140E78" w:rsidP="00EC6E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remains for me to deal with the penalty stipulation of 10% monthly interest. I do not agree with Ms </w:t>
      </w:r>
      <w:r>
        <w:rPr>
          <w:rFonts w:ascii="Times New Roman" w:hAnsi="Times New Roman" w:cs="Times New Roman"/>
          <w:i/>
          <w:sz w:val="24"/>
          <w:szCs w:val="24"/>
        </w:rPr>
        <w:t>Taran</w:t>
      </w:r>
      <w:r>
        <w:rPr>
          <w:rFonts w:ascii="Times New Roman" w:hAnsi="Times New Roman" w:cs="Times New Roman"/>
          <w:sz w:val="24"/>
          <w:szCs w:val="24"/>
        </w:rPr>
        <w:t xml:space="preserve"> that it does not violate the provisions of the Contract</w:t>
      </w:r>
      <w:r w:rsidR="001A745D">
        <w:rPr>
          <w:rFonts w:ascii="Times New Roman" w:hAnsi="Times New Roman" w:cs="Times New Roman"/>
          <w:sz w:val="24"/>
          <w:szCs w:val="24"/>
        </w:rPr>
        <w:t>u</w:t>
      </w:r>
      <w:r>
        <w:rPr>
          <w:rFonts w:ascii="Times New Roman" w:hAnsi="Times New Roman" w:cs="Times New Roman"/>
          <w:sz w:val="24"/>
          <w:szCs w:val="24"/>
        </w:rPr>
        <w:t>al Penalties Act [</w:t>
      </w:r>
      <w:r>
        <w:rPr>
          <w:rFonts w:ascii="Times New Roman" w:hAnsi="Times New Roman" w:cs="Times New Roman"/>
          <w:i/>
          <w:sz w:val="24"/>
          <w:szCs w:val="24"/>
        </w:rPr>
        <w:t>Cap</w:t>
      </w:r>
      <w:r w:rsidR="00EC6EDF">
        <w:rPr>
          <w:rFonts w:ascii="Times New Roman" w:hAnsi="Times New Roman" w:cs="Times New Roman"/>
          <w:i/>
          <w:sz w:val="24"/>
          <w:szCs w:val="24"/>
        </w:rPr>
        <w:t xml:space="preserve"> 804</w:t>
      </w:r>
      <w:r w:rsidR="00EC6EDF">
        <w:rPr>
          <w:rFonts w:ascii="Times New Roman" w:hAnsi="Times New Roman" w:cs="Times New Roman"/>
          <w:sz w:val="24"/>
          <w:szCs w:val="24"/>
        </w:rPr>
        <w:t>]. To me 10% interest a month is excessive.</w:t>
      </w:r>
    </w:p>
    <w:p w:rsidR="00EC6EDF" w:rsidRDefault="00EC6EDF" w:rsidP="00EC6E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s 4 (2) as read with s 4 (4) of the Act, if it appears to a court that the penalty is out of proportion to any prejudice suffered by the creditor as a result of the breach, the court may reduce the penalty and grant what is fair and just in the circumstances.</w:t>
      </w:r>
    </w:p>
    <w:p w:rsidR="00EC6EDF" w:rsidRDefault="00EC6EDF" w:rsidP="00EC6E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Without going into the </w:t>
      </w:r>
      <w:proofErr w:type="spellStart"/>
      <w:r>
        <w:rPr>
          <w:rFonts w:ascii="Times New Roman" w:hAnsi="Times New Roman" w:cs="Times New Roman"/>
          <w:sz w:val="24"/>
          <w:szCs w:val="24"/>
        </w:rPr>
        <w:t>arithmetics</w:t>
      </w:r>
      <w:proofErr w:type="spellEnd"/>
      <w:r>
        <w:rPr>
          <w:rFonts w:ascii="Times New Roman" w:hAnsi="Times New Roman" w:cs="Times New Roman"/>
          <w:sz w:val="24"/>
          <w:szCs w:val="24"/>
        </w:rPr>
        <w:t xml:space="preserve"> of the debt I am of the view that the computation made by the applicant to justify the penalty is not convincing as it exaggerates the prejudice suffered. It is best practice, where interest is to be reckoned on a monthly basis</w:t>
      </w:r>
      <w:r w:rsidR="001A745D">
        <w:rPr>
          <w:rFonts w:ascii="Times New Roman" w:hAnsi="Times New Roman" w:cs="Times New Roman"/>
          <w:sz w:val="24"/>
          <w:szCs w:val="24"/>
        </w:rPr>
        <w:t>,</w:t>
      </w:r>
      <w:r>
        <w:rPr>
          <w:rFonts w:ascii="Times New Roman" w:hAnsi="Times New Roman" w:cs="Times New Roman"/>
          <w:sz w:val="24"/>
          <w:szCs w:val="24"/>
        </w:rPr>
        <w:t xml:space="preserve"> to place it at about 3 to 5%. I am of the view that in </w:t>
      </w:r>
      <w:r>
        <w:rPr>
          <w:rFonts w:ascii="Times New Roman" w:hAnsi="Times New Roman" w:cs="Times New Roman"/>
          <w:i/>
          <w:sz w:val="24"/>
          <w:szCs w:val="24"/>
        </w:rPr>
        <w:t>casu</w:t>
      </w:r>
      <w:r>
        <w:rPr>
          <w:rFonts w:ascii="Times New Roman" w:hAnsi="Times New Roman" w:cs="Times New Roman"/>
          <w:sz w:val="24"/>
          <w:szCs w:val="24"/>
        </w:rPr>
        <w:t xml:space="preserve"> it should be pegged at 5% per month.</w:t>
      </w:r>
    </w:p>
    <w:p w:rsidR="00EC6EDF" w:rsidRDefault="00EC6EDF" w:rsidP="00EC6EDF">
      <w:pPr>
        <w:spacing w:after="0" w:line="360" w:lineRule="auto"/>
        <w:ind w:firstLine="720"/>
        <w:jc w:val="both"/>
        <w:rPr>
          <w:rFonts w:ascii="Times New Roman" w:hAnsi="Times New Roman" w:cs="Times New Roman"/>
          <w:sz w:val="24"/>
          <w:szCs w:val="24"/>
        </w:rPr>
      </w:pPr>
    </w:p>
    <w:p w:rsidR="00EC6EDF" w:rsidRDefault="00EC6EDF" w:rsidP="00EC6E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 make the following order that:</w:t>
      </w:r>
    </w:p>
    <w:p w:rsidR="00EC6EDF" w:rsidRDefault="00EC6EDF" w:rsidP="00EC6EDF">
      <w:pPr>
        <w:spacing w:after="0" w:line="360" w:lineRule="auto"/>
        <w:jc w:val="both"/>
        <w:rPr>
          <w:rFonts w:ascii="Times New Roman" w:hAnsi="Times New Roman" w:cs="Times New Roman"/>
          <w:sz w:val="24"/>
          <w:szCs w:val="24"/>
        </w:rPr>
      </w:pPr>
    </w:p>
    <w:p w:rsidR="00EC6EDF" w:rsidRDefault="00EC6EDF" w:rsidP="00EC6ED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for summary judgment is hereby granted.</w:t>
      </w:r>
    </w:p>
    <w:p w:rsidR="00EC6EDF" w:rsidRDefault="00EC6EDF" w:rsidP="00EC6ED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shall pay the applicant the sum of US$27224-19.</w:t>
      </w:r>
    </w:p>
    <w:p w:rsidR="00EC6EDF" w:rsidRDefault="00EC6EDF" w:rsidP="00EC6ED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shall pay the applicant interest on the aforesaid amount at the rate of 5% per annum from 2 December 2010 until date of full and final payment.</w:t>
      </w:r>
    </w:p>
    <w:p w:rsidR="00EC6EDF" w:rsidRDefault="00EC6EDF" w:rsidP="00EC6ED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shall pay the applicant a penalty amount on both the capital and the interest amount aforesaid on a compounded basis at the rate of 5% per month from 12 January 2011 until date of full and final payment.</w:t>
      </w:r>
    </w:p>
    <w:p w:rsidR="00EC6EDF" w:rsidRDefault="00EC6EDF" w:rsidP="00EC6ED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shall pay costs of suit on a legal practitioner and client scale.</w:t>
      </w:r>
      <w:r w:rsidR="00140E78" w:rsidRPr="00EC6EDF">
        <w:rPr>
          <w:rFonts w:ascii="Times New Roman" w:hAnsi="Times New Roman" w:cs="Times New Roman"/>
          <w:sz w:val="24"/>
          <w:szCs w:val="24"/>
        </w:rPr>
        <w:t xml:space="preserve">   </w:t>
      </w:r>
    </w:p>
    <w:p w:rsidR="00EC6EDF" w:rsidRDefault="00EC6EDF" w:rsidP="00EC6EDF">
      <w:pPr>
        <w:spacing w:after="0" w:line="360" w:lineRule="auto"/>
        <w:jc w:val="both"/>
        <w:rPr>
          <w:rFonts w:ascii="Times New Roman" w:hAnsi="Times New Roman" w:cs="Times New Roman"/>
          <w:sz w:val="24"/>
          <w:szCs w:val="24"/>
        </w:rPr>
      </w:pPr>
    </w:p>
    <w:p w:rsidR="00EC6EDF" w:rsidRDefault="00EC6EDF" w:rsidP="00EC6EDF">
      <w:pPr>
        <w:spacing w:after="0" w:line="360" w:lineRule="auto"/>
        <w:jc w:val="both"/>
        <w:rPr>
          <w:rFonts w:ascii="Times New Roman" w:hAnsi="Times New Roman" w:cs="Times New Roman"/>
          <w:sz w:val="24"/>
          <w:szCs w:val="24"/>
        </w:rPr>
      </w:pPr>
    </w:p>
    <w:p w:rsidR="00EC6EDF" w:rsidRDefault="00EC6EDF" w:rsidP="00EC6EDF">
      <w:pPr>
        <w:spacing w:after="0" w:line="360" w:lineRule="auto"/>
        <w:jc w:val="both"/>
        <w:rPr>
          <w:rFonts w:ascii="Times New Roman" w:hAnsi="Times New Roman" w:cs="Times New Roman"/>
          <w:sz w:val="24"/>
          <w:szCs w:val="24"/>
        </w:rPr>
      </w:pPr>
    </w:p>
    <w:p w:rsidR="003B0F7E" w:rsidRDefault="003B0F7E" w:rsidP="00EC6EDF">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Scanlen</w:t>
      </w:r>
      <w:proofErr w:type="spellEnd"/>
      <w:r>
        <w:rPr>
          <w:rFonts w:ascii="Times New Roman" w:hAnsi="Times New Roman" w:cs="Times New Roman"/>
          <w:i/>
          <w:sz w:val="24"/>
          <w:szCs w:val="24"/>
        </w:rPr>
        <w:t xml:space="preserve">  Holderness</w:t>
      </w:r>
      <w:r>
        <w:rPr>
          <w:rFonts w:ascii="Times New Roman" w:hAnsi="Times New Roman" w:cs="Times New Roman"/>
          <w:sz w:val="24"/>
          <w:szCs w:val="24"/>
        </w:rPr>
        <w:t>, applicant’s legal practitioners</w:t>
      </w:r>
    </w:p>
    <w:p w:rsidR="008E2AB4" w:rsidRPr="00EC6EDF" w:rsidRDefault="003B0F7E" w:rsidP="00EC6EDF">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I </w:t>
      </w:r>
      <w:proofErr w:type="spellStart"/>
      <w:r>
        <w:rPr>
          <w:rFonts w:ascii="Times New Roman" w:hAnsi="Times New Roman" w:cs="Times New Roman"/>
          <w:i/>
          <w:sz w:val="24"/>
          <w:szCs w:val="24"/>
        </w:rPr>
        <w:t>Murambasvina</w:t>
      </w:r>
      <w:proofErr w:type="spellEnd"/>
      <w:r>
        <w:rPr>
          <w:rFonts w:ascii="Times New Roman" w:hAnsi="Times New Roman" w:cs="Times New Roman"/>
          <w:i/>
          <w:sz w:val="24"/>
          <w:szCs w:val="24"/>
        </w:rPr>
        <w:t xml:space="preserve"> Legal Practitioners</w:t>
      </w:r>
      <w:r>
        <w:rPr>
          <w:rFonts w:ascii="Times New Roman" w:hAnsi="Times New Roman" w:cs="Times New Roman"/>
          <w:sz w:val="24"/>
          <w:szCs w:val="24"/>
        </w:rPr>
        <w:t>, respondent’s legal practitioners</w:t>
      </w:r>
      <w:r w:rsidR="0012560C" w:rsidRPr="00EC6EDF">
        <w:rPr>
          <w:rFonts w:ascii="Times New Roman" w:hAnsi="Times New Roman" w:cs="Times New Roman"/>
          <w:sz w:val="24"/>
          <w:szCs w:val="24"/>
        </w:rPr>
        <w:t xml:space="preserve"> </w:t>
      </w:r>
      <w:r w:rsidR="008E2AB4" w:rsidRPr="00EC6EDF">
        <w:rPr>
          <w:rFonts w:ascii="Times New Roman" w:hAnsi="Times New Roman" w:cs="Times New Roman"/>
          <w:sz w:val="24"/>
          <w:szCs w:val="24"/>
        </w:rPr>
        <w:tab/>
      </w:r>
    </w:p>
    <w:sectPr w:rsidR="008E2AB4" w:rsidRPr="00EC6EDF">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B81" w:rsidRDefault="00014B81" w:rsidP="003B0F7E">
      <w:pPr>
        <w:spacing w:after="0" w:line="240" w:lineRule="auto"/>
      </w:pPr>
      <w:r>
        <w:separator/>
      </w:r>
    </w:p>
  </w:endnote>
  <w:endnote w:type="continuationSeparator" w:id="0">
    <w:p w:rsidR="00014B81" w:rsidRDefault="00014B81" w:rsidP="003B0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B81" w:rsidRDefault="00014B81" w:rsidP="003B0F7E">
      <w:pPr>
        <w:spacing w:after="0" w:line="240" w:lineRule="auto"/>
      </w:pPr>
      <w:r>
        <w:separator/>
      </w:r>
    </w:p>
  </w:footnote>
  <w:footnote w:type="continuationSeparator" w:id="0">
    <w:p w:rsidR="00014B81" w:rsidRDefault="00014B81" w:rsidP="003B0F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1045082"/>
      <w:docPartObj>
        <w:docPartGallery w:val="Page Numbers (Top of Page)"/>
        <w:docPartUnique/>
      </w:docPartObj>
    </w:sdtPr>
    <w:sdtEndPr>
      <w:rPr>
        <w:noProof/>
      </w:rPr>
    </w:sdtEndPr>
    <w:sdtContent>
      <w:p w:rsidR="003B0F7E" w:rsidRDefault="003B0F7E">
        <w:pPr>
          <w:pStyle w:val="Header"/>
          <w:jc w:val="right"/>
          <w:rPr>
            <w:noProof/>
          </w:rPr>
        </w:pPr>
        <w:r>
          <w:fldChar w:fldCharType="begin"/>
        </w:r>
        <w:r>
          <w:instrText xml:space="preserve"> PAGE   \* MERGEFORMAT </w:instrText>
        </w:r>
        <w:r>
          <w:fldChar w:fldCharType="separate"/>
        </w:r>
        <w:r w:rsidR="00140502">
          <w:rPr>
            <w:noProof/>
          </w:rPr>
          <w:t>1</w:t>
        </w:r>
        <w:r>
          <w:rPr>
            <w:noProof/>
          </w:rPr>
          <w:fldChar w:fldCharType="end"/>
        </w:r>
      </w:p>
      <w:p w:rsidR="003B0F7E" w:rsidRDefault="003B0F7E">
        <w:pPr>
          <w:pStyle w:val="Header"/>
          <w:jc w:val="right"/>
          <w:rPr>
            <w:noProof/>
          </w:rPr>
        </w:pPr>
        <w:r>
          <w:rPr>
            <w:noProof/>
          </w:rPr>
          <w:t>HH 88-2012</w:t>
        </w:r>
      </w:p>
      <w:p w:rsidR="003B0F7E" w:rsidRDefault="003B0F7E">
        <w:pPr>
          <w:pStyle w:val="Header"/>
          <w:jc w:val="right"/>
        </w:pPr>
        <w:r>
          <w:rPr>
            <w:noProof/>
          </w:rPr>
          <w:t>HC 1861/11</w:t>
        </w:r>
      </w:p>
    </w:sdtContent>
  </w:sdt>
  <w:p w:rsidR="003B0F7E" w:rsidRDefault="003B0F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14AFA"/>
    <w:multiLevelType w:val="hybridMultilevel"/>
    <w:tmpl w:val="8EBAEA5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AB4"/>
    <w:rsid w:val="00014B81"/>
    <w:rsid w:val="0012560C"/>
    <w:rsid w:val="00140502"/>
    <w:rsid w:val="00140E78"/>
    <w:rsid w:val="001A745D"/>
    <w:rsid w:val="003B0F7E"/>
    <w:rsid w:val="008E2AB4"/>
    <w:rsid w:val="008F37FD"/>
    <w:rsid w:val="00A82767"/>
    <w:rsid w:val="00BD45EB"/>
    <w:rsid w:val="00EC6ED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EDF"/>
    <w:pPr>
      <w:ind w:left="720"/>
      <w:contextualSpacing/>
    </w:pPr>
  </w:style>
  <w:style w:type="paragraph" w:styleId="Header">
    <w:name w:val="header"/>
    <w:basedOn w:val="Normal"/>
    <w:link w:val="HeaderChar"/>
    <w:uiPriority w:val="99"/>
    <w:unhideWhenUsed/>
    <w:rsid w:val="003B0F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F7E"/>
  </w:style>
  <w:style w:type="paragraph" w:styleId="Footer">
    <w:name w:val="footer"/>
    <w:basedOn w:val="Normal"/>
    <w:link w:val="FooterChar"/>
    <w:uiPriority w:val="99"/>
    <w:unhideWhenUsed/>
    <w:rsid w:val="003B0F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F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EDF"/>
    <w:pPr>
      <w:ind w:left="720"/>
      <w:contextualSpacing/>
    </w:pPr>
  </w:style>
  <w:style w:type="paragraph" w:styleId="Header">
    <w:name w:val="header"/>
    <w:basedOn w:val="Normal"/>
    <w:link w:val="HeaderChar"/>
    <w:uiPriority w:val="99"/>
    <w:unhideWhenUsed/>
    <w:rsid w:val="003B0F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F7E"/>
  </w:style>
  <w:style w:type="paragraph" w:styleId="Footer">
    <w:name w:val="footer"/>
    <w:basedOn w:val="Normal"/>
    <w:link w:val="FooterChar"/>
    <w:uiPriority w:val="99"/>
    <w:unhideWhenUsed/>
    <w:rsid w:val="003B0F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2012-04-04T12:43:00Z</dcterms:created>
  <dcterms:modified xsi:type="dcterms:W3CDTF">2012-04-04T12:43:00Z</dcterms:modified>
</cp:coreProperties>
</file>