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99" w:rsidRDefault="002B5399" w:rsidP="002B5399">
      <w:pPr>
        <w:pStyle w:val="NoSpacing"/>
        <w:rPr>
          <w:b/>
        </w:rPr>
      </w:pPr>
      <w:r>
        <w:rPr>
          <w:b/>
        </w:rPr>
        <w:t>BLOODWELL NYAWO</w:t>
      </w:r>
    </w:p>
    <w:p w:rsidR="002B5399" w:rsidRDefault="002B5399" w:rsidP="002B5399">
      <w:pPr>
        <w:pStyle w:val="NoSpacing"/>
        <w:rPr>
          <w:b/>
        </w:rPr>
      </w:pPr>
    </w:p>
    <w:p w:rsidR="002B5399" w:rsidRDefault="002B5399" w:rsidP="002B5399">
      <w:pPr>
        <w:pStyle w:val="NoSpacing"/>
        <w:rPr>
          <w:b/>
        </w:rPr>
      </w:pPr>
      <w:r>
        <w:rPr>
          <w:b/>
        </w:rPr>
        <w:t>Versus</w:t>
      </w:r>
    </w:p>
    <w:p w:rsidR="002B5399" w:rsidRDefault="002B5399" w:rsidP="002B5399">
      <w:pPr>
        <w:pStyle w:val="NoSpacing"/>
        <w:rPr>
          <w:b/>
        </w:rPr>
      </w:pPr>
    </w:p>
    <w:p w:rsidR="002B5399" w:rsidRDefault="002B5399" w:rsidP="002B5399">
      <w:pPr>
        <w:pStyle w:val="NoSpacing"/>
        <w:rPr>
          <w:b/>
        </w:rPr>
      </w:pPr>
      <w:r>
        <w:rPr>
          <w:b/>
        </w:rPr>
        <w:t>THE STATE</w:t>
      </w:r>
    </w:p>
    <w:p w:rsidR="002B5399" w:rsidRDefault="002B5399" w:rsidP="002B5399">
      <w:pPr>
        <w:pStyle w:val="NoSpacing"/>
        <w:rPr>
          <w:b/>
        </w:rPr>
      </w:pPr>
    </w:p>
    <w:p w:rsidR="002B5399" w:rsidRDefault="002B5399" w:rsidP="002B5399">
      <w:pPr>
        <w:pStyle w:val="NoSpacing"/>
      </w:pPr>
      <w:r>
        <w:t>IN THE HIGH COURT OF ZIMBABWE</w:t>
      </w:r>
    </w:p>
    <w:p w:rsidR="002B5399" w:rsidRDefault="002B5399" w:rsidP="002B5399">
      <w:pPr>
        <w:pStyle w:val="NoSpacing"/>
      </w:pPr>
      <w:r>
        <w:t>MAKONESE &amp; KABASA JJ</w:t>
      </w:r>
    </w:p>
    <w:p w:rsidR="002B5399" w:rsidRDefault="002B5399" w:rsidP="002B5399">
      <w:pPr>
        <w:pStyle w:val="NoSpacing"/>
      </w:pPr>
      <w:r>
        <w:t>BULAWAYO 26 &amp; 29 OCTOBER 2020</w:t>
      </w:r>
    </w:p>
    <w:p w:rsidR="002B5399" w:rsidRDefault="002B5399" w:rsidP="002B5399">
      <w:pPr>
        <w:pStyle w:val="NoSpacing"/>
      </w:pPr>
    </w:p>
    <w:p w:rsidR="002B5399" w:rsidRDefault="002B5399" w:rsidP="002B5399">
      <w:pPr>
        <w:pStyle w:val="NoSpacing"/>
        <w:rPr>
          <w:b/>
        </w:rPr>
      </w:pPr>
      <w:r>
        <w:rPr>
          <w:b/>
        </w:rPr>
        <w:t>Criminal Appeal</w:t>
      </w:r>
    </w:p>
    <w:p w:rsidR="002B5399" w:rsidRDefault="002B5399" w:rsidP="002B5399">
      <w:pPr>
        <w:pStyle w:val="NoSpacing"/>
      </w:pPr>
    </w:p>
    <w:p w:rsidR="002B5399" w:rsidRDefault="002B5399" w:rsidP="002B5399">
      <w:pPr>
        <w:pStyle w:val="NoSpacing"/>
      </w:pPr>
      <w:r w:rsidRPr="002B5399">
        <w:rPr>
          <w:i/>
        </w:rPr>
        <w:t>K. Madzikur</w:t>
      </w:r>
      <w:r w:rsidR="00A0183F">
        <w:rPr>
          <w:i/>
        </w:rPr>
        <w:t>a</w:t>
      </w:r>
      <w:r>
        <w:t xml:space="preserve"> for the appellant</w:t>
      </w:r>
    </w:p>
    <w:p w:rsidR="002B5399" w:rsidRDefault="002B5399" w:rsidP="002B5399">
      <w:pPr>
        <w:pStyle w:val="NoSpacing"/>
      </w:pPr>
      <w:r w:rsidRPr="002B5399">
        <w:rPr>
          <w:i/>
        </w:rPr>
        <w:t>B. Gundani</w:t>
      </w:r>
      <w:r>
        <w:t xml:space="preserve"> for the respondent</w:t>
      </w:r>
    </w:p>
    <w:p w:rsidR="002B5399" w:rsidRDefault="002B5399" w:rsidP="002B5399">
      <w:pPr>
        <w:pStyle w:val="NoSpacing"/>
      </w:pPr>
    </w:p>
    <w:p w:rsidR="002B5399" w:rsidRPr="005F2031" w:rsidRDefault="002B5399" w:rsidP="005F2031">
      <w:pPr>
        <w:jc w:val="both"/>
        <w:rPr>
          <w:szCs w:val="24"/>
        </w:rPr>
      </w:pPr>
      <w:r w:rsidRPr="005F2031">
        <w:rPr>
          <w:szCs w:val="24"/>
        </w:rPr>
        <w:tab/>
      </w:r>
      <w:r w:rsidRPr="005F2031">
        <w:rPr>
          <w:b/>
          <w:szCs w:val="24"/>
        </w:rPr>
        <w:t>MAKONESE J:</w:t>
      </w:r>
      <w:r w:rsidRPr="005F2031">
        <w:rPr>
          <w:b/>
          <w:szCs w:val="24"/>
        </w:rPr>
        <w:tab/>
      </w:r>
      <w:r w:rsidRPr="005F2031">
        <w:rPr>
          <w:szCs w:val="24"/>
        </w:rPr>
        <w:t>The appellant appeared before a magistrate sitting at Bulawayo on the 18</w:t>
      </w:r>
      <w:r w:rsidRPr="005F2031">
        <w:rPr>
          <w:szCs w:val="24"/>
          <w:vertAlign w:val="superscript"/>
        </w:rPr>
        <w:t>th</w:t>
      </w:r>
      <w:r w:rsidRPr="005F2031">
        <w:rPr>
          <w:szCs w:val="24"/>
        </w:rPr>
        <w:t xml:space="preserve"> of November 2018 facing two counts of contravening section 89</w:t>
      </w:r>
      <w:r w:rsidR="00CB61C3">
        <w:rPr>
          <w:szCs w:val="24"/>
        </w:rPr>
        <w:t xml:space="preserve"> (</w:t>
      </w:r>
      <w:r w:rsidR="00222878">
        <w:rPr>
          <w:szCs w:val="24"/>
        </w:rPr>
        <w:t xml:space="preserve">1) (a) </w:t>
      </w:r>
      <w:r w:rsidRPr="005F2031">
        <w:rPr>
          <w:szCs w:val="24"/>
        </w:rPr>
        <w:t>of the Criminal Law (Codification and Reform) Act (Chapter 9:23), that is assault.  Appellant pleaded</w:t>
      </w:r>
      <w:r w:rsidR="00305F99">
        <w:rPr>
          <w:szCs w:val="24"/>
        </w:rPr>
        <w:t xml:space="preserve"> not</w:t>
      </w:r>
      <w:r w:rsidRPr="005F2031">
        <w:rPr>
          <w:szCs w:val="24"/>
        </w:rPr>
        <w:t xml:space="preserve"> guilty </w:t>
      </w:r>
      <w:r w:rsidRPr="00294FF5">
        <w:rPr>
          <w:szCs w:val="24"/>
        </w:rPr>
        <w:t>to both</w:t>
      </w:r>
      <w:r w:rsidR="00294FF5" w:rsidRPr="00294FF5">
        <w:rPr>
          <w:szCs w:val="24"/>
        </w:rPr>
        <w:t xml:space="preserve"> </w:t>
      </w:r>
      <w:r w:rsidRPr="00294FF5">
        <w:rPr>
          <w:szCs w:val="24"/>
        </w:rPr>
        <w:t>counts but f</w:t>
      </w:r>
      <w:r w:rsidR="00EE04B9" w:rsidRPr="00294FF5">
        <w:rPr>
          <w:szCs w:val="24"/>
        </w:rPr>
        <w:t>o</w:t>
      </w:r>
      <w:r w:rsidRPr="00294FF5">
        <w:rPr>
          <w:szCs w:val="24"/>
        </w:rPr>
        <w:t xml:space="preserve">llowing a full trial </w:t>
      </w:r>
      <w:r w:rsidR="001B054E" w:rsidRPr="00294FF5">
        <w:rPr>
          <w:szCs w:val="24"/>
        </w:rPr>
        <w:t>he</w:t>
      </w:r>
      <w:bookmarkStart w:id="0" w:name="_GoBack"/>
      <w:bookmarkEnd w:id="0"/>
      <w:r w:rsidR="00294FF5" w:rsidRPr="00294FF5">
        <w:rPr>
          <w:szCs w:val="24"/>
        </w:rPr>
        <w:t xml:space="preserve"> </w:t>
      </w:r>
      <w:r w:rsidRPr="00294FF5">
        <w:rPr>
          <w:szCs w:val="24"/>
        </w:rPr>
        <w:t xml:space="preserve">was convicted and sentenced to 48 months </w:t>
      </w:r>
      <w:r w:rsidRPr="005F2031">
        <w:rPr>
          <w:szCs w:val="24"/>
        </w:rPr>
        <w:t>imprisonment of which 12 months was suspended for 5 years on the usual conditions of good behaviour.</w:t>
      </w:r>
    </w:p>
    <w:p w:rsidR="002B5399" w:rsidRPr="005F2031" w:rsidRDefault="002B5399" w:rsidP="005F2031">
      <w:pPr>
        <w:jc w:val="both"/>
        <w:rPr>
          <w:szCs w:val="24"/>
        </w:rPr>
      </w:pPr>
      <w:r w:rsidRPr="005F2031">
        <w:rPr>
          <w:szCs w:val="24"/>
        </w:rPr>
        <w:tab/>
        <w:t xml:space="preserve">Dissatisfied with the outcome of the proceedings in the court </w:t>
      </w:r>
      <w:r w:rsidRPr="005F2031">
        <w:rPr>
          <w:i/>
          <w:szCs w:val="24"/>
        </w:rPr>
        <w:t>a quo</w:t>
      </w:r>
      <w:r w:rsidR="00C53CA6">
        <w:rPr>
          <w:szCs w:val="24"/>
        </w:rPr>
        <w:t xml:space="preserve">, appellant lodged an appeal </w:t>
      </w:r>
      <w:r w:rsidRPr="005F2031">
        <w:rPr>
          <w:szCs w:val="24"/>
        </w:rPr>
        <w:t>against both conviction and sentence.</w:t>
      </w:r>
    </w:p>
    <w:p w:rsidR="002B5399" w:rsidRPr="005F2031" w:rsidRDefault="002B5399" w:rsidP="005F2031">
      <w:pPr>
        <w:jc w:val="both"/>
        <w:rPr>
          <w:szCs w:val="24"/>
        </w:rPr>
      </w:pPr>
      <w:r w:rsidRPr="005F2031">
        <w:rPr>
          <w:szCs w:val="24"/>
        </w:rPr>
        <w:tab/>
        <w:t>In his grounds of appeal, appellant argued that:</w:t>
      </w:r>
    </w:p>
    <w:p w:rsidR="002B5399" w:rsidRPr="005F2031" w:rsidRDefault="002B5399" w:rsidP="005F2031">
      <w:pPr>
        <w:pStyle w:val="ListParagraph"/>
        <w:numPr>
          <w:ilvl w:val="0"/>
          <w:numId w:val="1"/>
        </w:numPr>
        <w:jc w:val="both"/>
        <w:rPr>
          <w:szCs w:val="24"/>
        </w:rPr>
      </w:pPr>
      <w:r w:rsidRPr="005F2031">
        <w:rPr>
          <w:szCs w:val="24"/>
        </w:rPr>
        <w:t xml:space="preserve">The court </w:t>
      </w:r>
      <w:r w:rsidRPr="005F2031">
        <w:rPr>
          <w:i/>
          <w:szCs w:val="24"/>
        </w:rPr>
        <w:t>a quo</w:t>
      </w:r>
      <w:r w:rsidRPr="005F2031">
        <w:rPr>
          <w:szCs w:val="24"/>
        </w:rPr>
        <w:t xml:space="preserve"> failed to warn itself against the dangers of accomplice evidence as the witness did not identify themselves.</w:t>
      </w:r>
    </w:p>
    <w:p w:rsidR="002B5399" w:rsidRPr="005F2031" w:rsidRDefault="002B29D8" w:rsidP="005F2031">
      <w:pPr>
        <w:pStyle w:val="ListParagraph"/>
        <w:numPr>
          <w:ilvl w:val="0"/>
          <w:numId w:val="1"/>
        </w:numPr>
        <w:jc w:val="both"/>
        <w:rPr>
          <w:szCs w:val="24"/>
        </w:rPr>
      </w:pPr>
      <w:r w:rsidRPr="005F2031">
        <w:rPr>
          <w:szCs w:val="24"/>
        </w:rPr>
        <w:t xml:space="preserve">The court </w:t>
      </w:r>
      <w:r w:rsidRPr="005F2031">
        <w:rPr>
          <w:i/>
          <w:szCs w:val="24"/>
        </w:rPr>
        <w:t>a quo</w:t>
      </w:r>
      <w:r w:rsidRPr="005F2031">
        <w:rPr>
          <w:szCs w:val="24"/>
        </w:rPr>
        <w:t xml:space="preserve"> misdirected itself by convicting him without evidence linking the appellant to the offence.</w:t>
      </w:r>
    </w:p>
    <w:p w:rsidR="002B29D8" w:rsidRPr="005F2031" w:rsidRDefault="002B29D8" w:rsidP="005F2031">
      <w:pPr>
        <w:pStyle w:val="ListParagraph"/>
        <w:numPr>
          <w:ilvl w:val="0"/>
          <w:numId w:val="1"/>
        </w:numPr>
        <w:jc w:val="both"/>
        <w:rPr>
          <w:szCs w:val="24"/>
        </w:rPr>
      </w:pPr>
      <w:r w:rsidRPr="005F2031">
        <w:rPr>
          <w:szCs w:val="24"/>
        </w:rPr>
        <w:t xml:space="preserve">The court </w:t>
      </w:r>
      <w:r w:rsidRPr="005F2031">
        <w:rPr>
          <w:i/>
          <w:szCs w:val="24"/>
        </w:rPr>
        <w:t>a quo</w:t>
      </w:r>
      <w:r w:rsidRPr="005F2031">
        <w:rPr>
          <w:szCs w:val="24"/>
        </w:rPr>
        <w:t xml:space="preserve">  failed to take into account that the two witnesses did not identify themselves as workers of ZETDC by providing i</w:t>
      </w:r>
      <w:r w:rsidR="00EE04B9" w:rsidRPr="005F2031">
        <w:rPr>
          <w:szCs w:val="24"/>
        </w:rPr>
        <w:t>d</w:t>
      </w:r>
      <w:r w:rsidRPr="005F2031">
        <w:rPr>
          <w:szCs w:val="24"/>
        </w:rPr>
        <w:t>entity documents</w:t>
      </w:r>
    </w:p>
    <w:p w:rsidR="002B29D8" w:rsidRPr="005F2031" w:rsidRDefault="002B29D8" w:rsidP="005F2031">
      <w:pPr>
        <w:pStyle w:val="ListParagraph"/>
        <w:numPr>
          <w:ilvl w:val="0"/>
          <w:numId w:val="1"/>
        </w:numPr>
        <w:jc w:val="both"/>
        <w:rPr>
          <w:szCs w:val="24"/>
        </w:rPr>
      </w:pPr>
      <w:r w:rsidRPr="005F2031">
        <w:rPr>
          <w:szCs w:val="24"/>
        </w:rPr>
        <w:t xml:space="preserve">The court </w:t>
      </w:r>
      <w:r w:rsidRPr="005F2031">
        <w:rPr>
          <w:i/>
          <w:szCs w:val="24"/>
        </w:rPr>
        <w:t>a quo</w:t>
      </w:r>
      <w:r w:rsidRPr="005F2031">
        <w:rPr>
          <w:szCs w:val="24"/>
        </w:rPr>
        <w:t xml:space="preserve"> failed to take into account that their clothes were not identifiable with ZETDC.</w:t>
      </w:r>
    </w:p>
    <w:p w:rsidR="002B29D8" w:rsidRPr="005F2031" w:rsidRDefault="002B29D8" w:rsidP="005F2031">
      <w:pPr>
        <w:pStyle w:val="ListParagraph"/>
        <w:numPr>
          <w:ilvl w:val="0"/>
          <w:numId w:val="1"/>
        </w:numPr>
        <w:jc w:val="both"/>
        <w:rPr>
          <w:szCs w:val="24"/>
        </w:rPr>
      </w:pPr>
      <w:r w:rsidRPr="005F2031">
        <w:rPr>
          <w:szCs w:val="24"/>
        </w:rPr>
        <w:lastRenderedPageBreak/>
        <w:t xml:space="preserve">The court </w:t>
      </w:r>
      <w:r w:rsidRPr="005F2031">
        <w:rPr>
          <w:i/>
          <w:szCs w:val="24"/>
        </w:rPr>
        <w:t>a quo</w:t>
      </w:r>
      <w:r w:rsidRPr="005F2031">
        <w:rPr>
          <w:szCs w:val="24"/>
        </w:rPr>
        <w:t xml:space="preserve"> did not fully take into account that the complainants should procedurally be accompanied by police officials.</w:t>
      </w:r>
    </w:p>
    <w:p w:rsidR="002B29D8" w:rsidRPr="005F2031" w:rsidRDefault="002B29D8" w:rsidP="005F2031">
      <w:pPr>
        <w:pStyle w:val="ListParagraph"/>
        <w:numPr>
          <w:ilvl w:val="0"/>
          <w:numId w:val="1"/>
        </w:numPr>
        <w:jc w:val="both"/>
        <w:rPr>
          <w:szCs w:val="24"/>
        </w:rPr>
      </w:pPr>
      <w:r w:rsidRPr="005F2031">
        <w:rPr>
          <w:szCs w:val="24"/>
        </w:rPr>
        <w:t>In the absence of other evidence the court drew unwarranted inference.</w:t>
      </w:r>
    </w:p>
    <w:p w:rsidR="002B29D8" w:rsidRPr="005F2031" w:rsidRDefault="002B29D8" w:rsidP="005F2031">
      <w:pPr>
        <w:pStyle w:val="ListParagraph"/>
        <w:numPr>
          <w:ilvl w:val="0"/>
          <w:numId w:val="1"/>
        </w:numPr>
        <w:jc w:val="both"/>
        <w:rPr>
          <w:szCs w:val="24"/>
        </w:rPr>
      </w:pPr>
      <w:r w:rsidRPr="005F2031">
        <w:rPr>
          <w:szCs w:val="24"/>
        </w:rPr>
        <w:t xml:space="preserve">The court </w:t>
      </w:r>
      <w:r w:rsidRPr="005F2031">
        <w:rPr>
          <w:i/>
          <w:szCs w:val="24"/>
        </w:rPr>
        <w:t>a quo</w:t>
      </w:r>
      <w:r w:rsidRPr="005F2031">
        <w:rPr>
          <w:szCs w:val="24"/>
        </w:rPr>
        <w:t xml:space="preserve"> failed to take into account that the appellant’s evidence was never disputed.</w:t>
      </w:r>
    </w:p>
    <w:p w:rsidR="002B29D8" w:rsidRPr="005F2031" w:rsidRDefault="00AC11A9" w:rsidP="005F2031">
      <w:pPr>
        <w:pStyle w:val="ListParagraph"/>
        <w:numPr>
          <w:ilvl w:val="0"/>
          <w:numId w:val="1"/>
        </w:numPr>
        <w:jc w:val="both"/>
        <w:rPr>
          <w:szCs w:val="24"/>
        </w:rPr>
      </w:pPr>
      <w:r>
        <w:rPr>
          <w:szCs w:val="24"/>
        </w:rPr>
        <w:t>The trial court desce</w:t>
      </w:r>
      <w:r w:rsidR="002B29D8" w:rsidRPr="005F2031">
        <w:rPr>
          <w:szCs w:val="24"/>
        </w:rPr>
        <w:t>n</w:t>
      </w:r>
      <w:r>
        <w:rPr>
          <w:szCs w:val="24"/>
        </w:rPr>
        <w:t>d</w:t>
      </w:r>
      <w:r w:rsidR="002B29D8" w:rsidRPr="005F2031">
        <w:rPr>
          <w:szCs w:val="24"/>
        </w:rPr>
        <w:t>ed into the arena and appeared to pre-judge the case.</w:t>
      </w:r>
    </w:p>
    <w:p w:rsidR="002B29D8" w:rsidRPr="005F2031" w:rsidRDefault="002B29D8" w:rsidP="005F2031">
      <w:pPr>
        <w:ind w:firstLine="720"/>
        <w:jc w:val="both"/>
        <w:rPr>
          <w:szCs w:val="24"/>
        </w:rPr>
      </w:pPr>
      <w:r w:rsidRPr="005F2031">
        <w:rPr>
          <w:szCs w:val="24"/>
        </w:rPr>
        <w:t>As regards sentence the appellant contended that the sentence was manifestly excessive and induced a sense of shock.  It was argued that the trial magistrate did not take into consideration the possibility of community service.</w:t>
      </w:r>
    </w:p>
    <w:p w:rsidR="002B29D8" w:rsidRPr="005F2031" w:rsidRDefault="002B29D8" w:rsidP="005F2031">
      <w:pPr>
        <w:jc w:val="both"/>
        <w:rPr>
          <w:b/>
          <w:szCs w:val="24"/>
        </w:rPr>
      </w:pPr>
      <w:r w:rsidRPr="005F2031">
        <w:rPr>
          <w:b/>
          <w:szCs w:val="24"/>
        </w:rPr>
        <w:t>Factual background</w:t>
      </w:r>
    </w:p>
    <w:p w:rsidR="002B29D8" w:rsidRPr="005F2031" w:rsidRDefault="00EE04B9" w:rsidP="005F2031">
      <w:pPr>
        <w:ind w:firstLine="720"/>
        <w:jc w:val="both"/>
        <w:rPr>
          <w:szCs w:val="24"/>
        </w:rPr>
      </w:pPr>
      <w:r w:rsidRPr="005F2031">
        <w:rPr>
          <w:szCs w:val="24"/>
        </w:rPr>
        <w:t>T</w:t>
      </w:r>
      <w:r w:rsidR="002B29D8" w:rsidRPr="005F2031">
        <w:rPr>
          <w:szCs w:val="24"/>
        </w:rPr>
        <w:t>he facts of this matter are these.  On 31</w:t>
      </w:r>
      <w:r w:rsidR="002B29D8" w:rsidRPr="005F2031">
        <w:rPr>
          <w:szCs w:val="24"/>
          <w:vertAlign w:val="superscript"/>
        </w:rPr>
        <w:t>st</w:t>
      </w:r>
      <w:r w:rsidR="002B29D8" w:rsidRPr="005F2031">
        <w:rPr>
          <w:szCs w:val="24"/>
        </w:rPr>
        <w:t xml:space="preserve"> July 2018 </w:t>
      </w:r>
      <w:r w:rsidR="00AC11A9">
        <w:rPr>
          <w:szCs w:val="24"/>
        </w:rPr>
        <w:t>at around 0345</w:t>
      </w:r>
      <w:r w:rsidR="002B29D8" w:rsidRPr="005F2031">
        <w:rPr>
          <w:szCs w:val="24"/>
        </w:rPr>
        <w:t xml:space="preserve"> complainant and his workmates received a call from their control room</w:t>
      </w:r>
      <w:r w:rsidR="00E016E7">
        <w:rPr>
          <w:szCs w:val="24"/>
        </w:rPr>
        <w:t xml:space="preserve"> indicating</w:t>
      </w:r>
      <w:r w:rsidR="002B29D8" w:rsidRPr="005F2031">
        <w:rPr>
          <w:szCs w:val="24"/>
        </w:rPr>
        <w:t xml:space="preserve"> that the Woodville electricity line in Bulawayo had tripped off.  The complainants a</w:t>
      </w:r>
      <w:r w:rsidRPr="005F2031">
        <w:rPr>
          <w:szCs w:val="24"/>
        </w:rPr>
        <w:t>re</w:t>
      </w:r>
      <w:r w:rsidR="002B29D8" w:rsidRPr="005F2031">
        <w:rPr>
          <w:szCs w:val="24"/>
        </w:rPr>
        <w:t xml:space="preserve"> employees of ZETDC (Zimbabwe Electricity Transmission of Distribu</w:t>
      </w:r>
      <w:r w:rsidR="00153C35">
        <w:rPr>
          <w:szCs w:val="24"/>
        </w:rPr>
        <w:t>tion Company).  The complainant, Edgar Tshuma</w:t>
      </w:r>
      <w:r w:rsidR="002B29D8" w:rsidRPr="005F2031">
        <w:rPr>
          <w:szCs w:val="24"/>
        </w:rPr>
        <w:t xml:space="preserve"> proc</w:t>
      </w:r>
      <w:r w:rsidRPr="005F2031">
        <w:rPr>
          <w:szCs w:val="24"/>
        </w:rPr>
        <w:t>e</w:t>
      </w:r>
      <w:r w:rsidR="002B29D8" w:rsidRPr="005F2031">
        <w:rPr>
          <w:szCs w:val="24"/>
        </w:rPr>
        <w:t>eded to Woodville in the company of Zibusiso</w:t>
      </w:r>
      <w:r w:rsidR="004D1F27">
        <w:rPr>
          <w:szCs w:val="24"/>
        </w:rPr>
        <w:t xml:space="preserve"> </w:t>
      </w:r>
      <w:r w:rsidR="002B29D8" w:rsidRPr="005F2031">
        <w:rPr>
          <w:szCs w:val="24"/>
        </w:rPr>
        <w:t>Dube and Victor Nkala.  Upon reaching the Woodvil</w:t>
      </w:r>
      <w:r w:rsidR="00294FF5">
        <w:rPr>
          <w:szCs w:val="24"/>
        </w:rPr>
        <w:t>l</w:t>
      </w:r>
      <w:r w:rsidR="002B29D8" w:rsidRPr="005F2031">
        <w:rPr>
          <w:szCs w:val="24"/>
        </w:rPr>
        <w:t>e</w:t>
      </w:r>
      <w:r w:rsidR="00294FF5">
        <w:rPr>
          <w:szCs w:val="24"/>
        </w:rPr>
        <w:t xml:space="preserve"> </w:t>
      </w:r>
      <w:r w:rsidR="002B29D8" w:rsidRPr="005F2031">
        <w:rPr>
          <w:szCs w:val="24"/>
        </w:rPr>
        <w:t>area, the complainant</w:t>
      </w:r>
      <w:r w:rsidR="00B30874">
        <w:rPr>
          <w:szCs w:val="24"/>
        </w:rPr>
        <w:t>s</w:t>
      </w:r>
      <w:r w:rsidR="002B29D8" w:rsidRPr="005F2031">
        <w:rPr>
          <w:szCs w:val="24"/>
        </w:rPr>
        <w:t xml:space="preserve"> observed t</w:t>
      </w:r>
      <w:r w:rsidRPr="005F2031">
        <w:rPr>
          <w:szCs w:val="24"/>
        </w:rPr>
        <w:t>hat electric</w:t>
      </w:r>
      <w:r w:rsidR="002B29D8" w:rsidRPr="005F2031">
        <w:rPr>
          <w:szCs w:val="24"/>
        </w:rPr>
        <w:t xml:space="preserve"> cables had been cut.  Complainants checked the area and phone</w:t>
      </w:r>
      <w:r w:rsidRPr="005F2031">
        <w:rPr>
          <w:szCs w:val="24"/>
        </w:rPr>
        <w:t>d</w:t>
      </w:r>
      <w:r w:rsidR="002B29D8" w:rsidRPr="005F2031">
        <w:rPr>
          <w:szCs w:val="24"/>
        </w:rPr>
        <w:t xml:space="preserve"> the </w:t>
      </w:r>
      <w:r w:rsidR="00C03D66" w:rsidRPr="005F2031">
        <w:rPr>
          <w:szCs w:val="24"/>
        </w:rPr>
        <w:t>Dog Section.  They parked their motor vehicle along a main road.  At that stage appellant arrived in the company of one</w:t>
      </w:r>
      <w:r w:rsidR="00453D8E">
        <w:rPr>
          <w:szCs w:val="24"/>
        </w:rPr>
        <w:t xml:space="preserve"> Luke</w:t>
      </w:r>
      <w:r w:rsidR="004D1F27">
        <w:rPr>
          <w:szCs w:val="24"/>
        </w:rPr>
        <w:t xml:space="preserve"> </w:t>
      </w:r>
      <w:r w:rsidRPr="005F2031">
        <w:rPr>
          <w:szCs w:val="24"/>
        </w:rPr>
        <w:t>Ncu</w:t>
      </w:r>
      <w:r w:rsidR="00C03D66" w:rsidRPr="005F2031">
        <w:rPr>
          <w:szCs w:val="24"/>
        </w:rPr>
        <w:t>b</w:t>
      </w:r>
      <w:r w:rsidRPr="005F2031">
        <w:rPr>
          <w:szCs w:val="24"/>
        </w:rPr>
        <w:t>e</w:t>
      </w:r>
      <w:r w:rsidR="00C03D66" w:rsidRPr="005F2031">
        <w:rPr>
          <w:szCs w:val="24"/>
        </w:rPr>
        <w:t xml:space="preserve">.  Ncube fired two warning shots into the air before assaulting the complainants with logs.  One of the complainants got into the motor vehicle.  The appellant accused the complainants of being cable thieves.  Inspite of the complainants indicating </w:t>
      </w:r>
      <w:r w:rsidRPr="005F2031">
        <w:rPr>
          <w:szCs w:val="24"/>
        </w:rPr>
        <w:t>t</w:t>
      </w:r>
      <w:r w:rsidR="00C03D66" w:rsidRPr="005F2031">
        <w:rPr>
          <w:szCs w:val="24"/>
        </w:rPr>
        <w:t>hat they were ZETDC employees, the appellant and his associates would have none of it.  Complainants surrende</w:t>
      </w:r>
      <w:r w:rsidRPr="005F2031">
        <w:rPr>
          <w:szCs w:val="24"/>
        </w:rPr>
        <w:t>re</w:t>
      </w:r>
      <w:r w:rsidR="00C03D66" w:rsidRPr="005F2031">
        <w:rPr>
          <w:szCs w:val="24"/>
        </w:rPr>
        <w:t>d but were subjected to further assaults.  Complainants sustained serious injuries.  The poli</w:t>
      </w:r>
      <w:r w:rsidRPr="005F2031">
        <w:rPr>
          <w:szCs w:val="24"/>
        </w:rPr>
        <w:t>c</w:t>
      </w:r>
      <w:r w:rsidR="00C03D66" w:rsidRPr="005F2031">
        <w:rPr>
          <w:szCs w:val="24"/>
        </w:rPr>
        <w:t>e and other ZEDTC employe</w:t>
      </w:r>
      <w:r w:rsidRPr="005F2031">
        <w:rPr>
          <w:szCs w:val="24"/>
        </w:rPr>
        <w:t>e</w:t>
      </w:r>
      <w:r w:rsidR="00C03D66" w:rsidRPr="005F2031">
        <w:rPr>
          <w:szCs w:val="24"/>
        </w:rPr>
        <w:t xml:space="preserve">s were summoned to the scene.  </w:t>
      </w:r>
      <w:r w:rsidR="001A6AEC">
        <w:rPr>
          <w:szCs w:val="24"/>
        </w:rPr>
        <w:t>Complainants were ferried to</w:t>
      </w:r>
      <w:r w:rsidR="00C03D66" w:rsidRPr="005F2031">
        <w:rPr>
          <w:szCs w:val="24"/>
        </w:rPr>
        <w:t xml:space="preserve"> hospital by an ambulance.</w:t>
      </w:r>
    </w:p>
    <w:p w:rsidR="00C03D66" w:rsidRPr="005F2031" w:rsidRDefault="00C03D66" w:rsidP="005F2031">
      <w:pPr>
        <w:ind w:firstLine="720"/>
        <w:jc w:val="both"/>
        <w:rPr>
          <w:szCs w:val="24"/>
        </w:rPr>
      </w:pPr>
      <w:r w:rsidRPr="005F2031">
        <w:rPr>
          <w:szCs w:val="24"/>
        </w:rPr>
        <w:t>Appellant raised the defence of self defence and alleged that the</w:t>
      </w:r>
      <w:r w:rsidR="00294FF5">
        <w:rPr>
          <w:szCs w:val="24"/>
        </w:rPr>
        <w:t xml:space="preserve"> </w:t>
      </w:r>
      <w:r w:rsidRPr="005F2031">
        <w:rPr>
          <w:szCs w:val="24"/>
        </w:rPr>
        <w:t>complainants had failed to properly identify themselves.  The trial magistrate rejected the appellant’s defence and convicted the appellant.</w:t>
      </w:r>
    </w:p>
    <w:p w:rsidR="00C03D66" w:rsidRPr="00B760C8" w:rsidRDefault="00C03D66" w:rsidP="007940CC">
      <w:pPr>
        <w:jc w:val="both"/>
        <w:rPr>
          <w:b/>
          <w:szCs w:val="24"/>
        </w:rPr>
      </w:pPr>
      <w:r w:rsidRPr="00B760C8">
        <w:rPr>
          <w:b/>
          <w:szCs w:val="24"/>
        </w:rPr>
        <w:lastRenderedPageBreak/>
        <w:t>The appeal against conviction</w:t>
      </w:r>
    </w:p>
    <w:p w:rsidR="00C03D66" w:rsidRPr="005F2031" w:rsidRDefault="00C03D66" w:rsidP="005F2031">
      <w:pPr>
        <w:ind w:firstLine="720"/>
        <w:jc w:val="both"/>
        <w:rPr>
          <w:szCs w:val="24"/>
        </w:rPr>
      </w:pPr>
      <w:r w:rsidRPr="005F2031">
        <w:rPr>
          <w:szCs w:val="24"/>
        </w:rPr>
        <w:t>It is a settled principle of our criminal l</w:t>
      </w:r>
      <w:r w:rsidR="005F2031" w:rsidRPr="005F2031">
        <w:rPr>
          <w:szCs w:val="24"/>
        </w:rPr>
        <w:t>a</w:t>
      </w:r>
      <w:r w:rsidRPr="005F2031">
        <w:rPr>
          <w:szCs w:val="24"/>
        </w:rPr>
        <w:t>w that an accused facing a charge must be acquitted and found not guilty where the state fails to prove its case beyond reasonable doubt.  There is clear evidence on the record</w:t>
      </w:r>
      <w:r w:rsidR="00B760C8">
        <w:rPr>
          <w:szCs w:val="24"/>
        </w:rPr>
        <w:t xml:space="preserve"> in this matter</w:t>
      </w:r>
      <w:r w:rsidRPr="005F2031">
        <w:rPr>
          <w:szCs w:val="24"/>
        </w:rPr>
        <w:t xml:space="preserve"> that the appellant assaulted the complainants.  Oral evidence was led from the complainants.  Medical evidence was placed before the court </w:t>
      </w:r>
      <w:r w:rsidRPr="005F2031">
        <w:rPr>
          <w:i/>
          <w:szCs w:val="24"/>
        </w:rPr>
        <w:t xml:space="preserve">a quo </w:t>
      </w:r>
      <w:r w:rsidRPr="005F2031">
        <w:rPr>
          <w:szCs w:val="24"/>
        </w:rPr>
        <w:t xml:space="preserve">reflecting that complainants sustained serious injuries as a result of the assault.  The appellant sought to rely on the defence of self defence.  Evidence led from the complainants proved that the appellant was never at any time under attack or threat of imminent danger from the complainants.  At page 65 of the record the appellant conceded that he had </w:t>
      </w:r>
      <w:r w:rsidR="008B5787" w:rsidRPr="005F2031">
        <w:rPr>
          <w:szCs w:val="24"/>
        </w:rPr>
        <w:t>exceeded the</w:t>
      </w:r>
      <w:r w:rsidR="003F4F0A">
        <w:rPr>
          <w:szCs w:val="24"/>
        </w:rPr>
        <w:t xml:space="preserve"> bounds of self defence. </w:t>
      </w:r>
      <w:r w:rsidR="005F2031" w:rsidRPr="005F2031">
        <w:rPr>
          <w:szCs w:val="24"/>
        </w:rPr>
        <w:t>N</w:t>
      </w:r>
      <w:r w:rsidR="008B5787" w:rsidRPr="005F2031">
        <w:rPr>
          <w:szCs w:val="24"/>
        </w:rPr>
        <w:t>cube’s evidence shows that the complainants were assaulted after they had been made to lie down</w:t>
      </w:r>
      <w:r w:rsidR="00294FF5">
        <w:rPr>
          <w:szCs w:val="24"/>
        </w:rPr>
        <w:t xml:space="preserve"> </w:t>
      </w:r>
      <w:r w:rsidR="008B5787" w:rsidRPr="005F2031">
        <w:rPr>
          <w:szCs w:val="24"/>
        </w:rPr>
        <w:t>in front of their vehicle.  The complainants</w:t>
      </w:r>
      <w:r w:rsidR="005F2031" w:rsidRPr="005F2031">
        <w:rPr>
          <w:szCs w:val="24"/>
        </w:rPr>
        <w:t>’</w:t>
      </w:r>
      <w:r w:rsidR="008B5787" w:rsidRPr="005F2031">
        <w:rPr>
          <w:szCs w:val="24"/>
        </w:rPr>
        <w:t xml:space="preserve"> gun was never taken out of the vehicle and was never used to threaten the appellant.  Edgar Tshuma was assaulted for interrupting appellant’s</w:t>
      </w:r>
      <w:r w:rsidR="004D1F27">
        <w:rPr>
          <w:szCs w:val="24"/>
        </w:rPr>
        <w:t xml:space="preserve"> </w:t>
      </w:r>
      <w:r w:rsidR="008B5787" w:rsidRPr="005F2031">
        <w:rPr>
          <w:szCs w:val="24"/>
        </w:rPr>
        <w:t>conversation with Zibusiso</w:t>
      </w:r>
      <w:r w:rsidR="004D1F27">
        <w:rPr>
          <w:szCs w:val="24"/>
        </w:rPr>
        <w:t xml:space="preserve"> </w:t>
      </w:r>
      <w:r w:rsidR="008B5787" w:rsidRPr="005F2031">
        <w:rPr>
          <w:szCs w:val="24"/>
        </w:rPr>
        <w:t xml:space="preserve">Dube in a manner that was considered </w:t>
      </w:r>
      <w:r w:rsidR="007940CC">
        <w:rPr>
          <w:szCs w:val="24"/>
        </w:rPr>
        <w:t>arrogant</w:t>
      </w:r>
      <w:r w:rsidR="008B5787" w:rsidRPr="005F2031">
        <w:rPr>
          <w:szCs w:val="24"/>
        </w:rPr>
        <w:t>.  The 2</w:t>
      </w:r>
      <w:r w:rsidR="008B5787" w:rsidRPr="005F2031">
        <w:rPr>
          <w:szCs w:val="24"/>
          <w:vertAlign w:val="superscript"/>
        </w:rPr>
        <w:t>nd</w:t>
      </w:r>
      <w:r w:rsidR="008B5787" w:rsidRPr="005F2031">
        <w:rPr>
          <w:szCs w:val="24"/>
        </w:rPr>
        <w:t xml:space="preserve"> complainant was assaulted for not calling her supervisors as instructed by the appellant and for not giving the appellant a suitable</w:t>
      </w:r>
      <w:r w:rsidR="00461899">
        <w:rPr>
          <w:szCs w:val="24"/>
        </w:rPr>
        <w:t xml:space="preserve"> explanation.  The evidence of Ncube clearly shows</w:t>
      </w:r>
      <w:r w:rsidR="008B5787" w:rsidRPr="005F2031">
        <w:rPr>
          <w:szCs w:val="24"/>
        </w:rPr>
        <w:t xml:space="preserve"> that the appellant’s defence was a mere fabrication.  It was clea</w:t>
      </w:r>
      <w:r w:rsidR="000F7AD4">
        <w:rPr>
          <w:szCs w:val="24"/>
        </w:rPr>
        <w:t>r that there were verbal exchanges</w:t>
      </w:r>
      <w:r w:rsidR="008B5787" w:rsidRPr="005F2031">
        <w:rPr>
          <w:szCs w:val="24"/>
        </w:rPr>
        <w:t xml:space="preserve"> between the appellants and the complainants.  The complainants never physically engaged the appellant.  The assault on the complainants was totally unjustified.</w:t>
      </w:r>
    </w:p>
    <w:p w:rsidR="005F2031" w:rsidRPr="005F2031" w:rsidRDefault="008B5787" w:rsidP="005F2031">
      <w:pPr>
        <w:ind w:firstLine="720"/>
        <w:jc w:val="both"/>
        <w:rPr>
          <w:szCs w:val="24"/>
        </w:rPr>
      </w:pPr>
      <w:r w:rsidRPr="005F2031">
        <w:rPr>
          <w:szCs w:val="24"/>
        </w:rPr>
        <w:t xml:space="preserve">It was alleged that the magistrate in the court </w:t>
      </w:r>
      <w:r w:rsidRPr="005F2031">
        <w:rPr>
          <w:i/>
          <w:szCs w:val="24"/>
        </w:rPr>
        <w:t>a quo</w:t>
      </w:r>
      <w:r w:rsidR="00294FF5">
        <w:rPr>
          <w:i/>
          <w:szCs w:val="24"/>
        </w:rPr>
        <w:t xml:space="preserve"> </w:t>
      </w:r>
      <w:r w:rsidR="005F2031" w:rsidRPr="005F2031">
        <w:rPr>
          <w:szCs w:val="24"/>
        </w:rPr>
        <w:t>descended</w:t>
      </w:r>
      <w:r w:rsidRPr="005F2031">
        <w:rPr>
          <w:szCs w:val="24"/>
        </w:rPr>
        <w:t xml:space="preserve"> into the arena and pre-judged the matter.  The questions posed by the trial magistrate were relevant and meant to clarify issues that would assist the court in reaching a determination.  In my view</w:t>
      </w:r>
      <w:r w:rsidR="008513DC">
        <w:rPr>
          <w:szCs w:val="24"/>
        </w:rPr>
        <w:t>,</w:t>
      </w:r>
      <w:r w:rsidRPr="005F2031">
        <w:rPr>
          <w:szCs w:val="24"/>
        </w:rPr>
        <w:t xml:space="preserve"> a trial magistrate is </w:t>
      </w:r>
      <w:r w:rsidR="00284682" w:rsidRPr="005F2031">
        <w:rPr>
          <w:szCs w:val="24"/>
        </w:rPr>
        <w:t>perfectly entitled to put questions</w:t>
      </w:r>
      <w:r w:rsidR="00142038">
        <w:rPr>
          <w:szCs w:val="24"/>
        </w:rPr>
        <w:t xml:space="preserve"> to witnesses</w:t>
      </w:r>
      <w:r w:rsidR="00294FF5">
        <w:rPr>
          <w:szCs w:val="24"/>
        </w:rPr>
        <w:t xml:space="preserve"> </w:t>
      </w:r>
      <w:r w:rsidR="00284682" w:rsidRPr="005F2031">
        <w:rPr>
          <w:szCs w:val="24"/>
        </w:rPr>
        <w:t>that resolve any lingering questions.  No que</w:t>
      </w:r>
      <w:r w:rsidR="0033470D">
        <w:rPr>
          <w:szCs w:val="24"/>
        </w:rPr>
        <w:t>stions were put to the witnesses in a manner that would</w:t>
      </w:r>
      <w:r w:rsidR="00284682" w:rsidRPr="005F2031">
        <w:rPr>
          <w:szCs w:val="24"/>
        </w:rPr>
        <w:t xml:space="preserve"> pre-judge the matter.</w:t>
      </w:r>
    </w:p>
    <w:p w:rsidR="00284682" w:rsidRPr="005F2031" w:rsidRDefault="00284682" w:rsidP="005F2031">
      <w:pPr>
        <w:ind w:firstLine="720"/>
        <w:jc w:val="both"/>
        <w:rPr>
          <w:szCs w:val="24"/>
        </w:rPr>
      </w:pPr>
      <w:r w:rsidRPr="005F2031">
        <w:rPr>
          <w:szCs w:val="24"/>
        </w:rPr>
        <w:t xml:space="preserve">In </w:t>
      </w:r>
      <w:r w:rsidRPr="005F2031">
        <w:rPr>
          <w:i/>
          <w:szCs w:val="24"/>
        </w:rPr>
        <w:t>Kaseke</w:t>
      </w:r>
      <w:r w:rsidRPr="005F2031">
        <w:rPr>
          <w:szCs w:val="24"/>
        </w:rPr>
        <w:t>v</w:t>
      </w:r>
      <w:r w:rsidR="004D1F27">
        <w:rPr>
          <w:szCs w:val="24"/>
        </w:rPr>
        <w:t xml:space="preserve"> </w:t>
      </w:r>
      <w:r w:rsidRPr="005F2031">
        <w:rPr>
          <w:szCs w:val="24"/>
        </w:rPr>
        <w:t>s</w:t>
      </w:r>
      <w:r w:rsidR="004D1F27">
        <w:rPr>
          <w:szCs w:val="24"/>
        </w:rPr>
        <w:t xml:space="preserve"> </w:t>
      </w:r>
      <w:r w:rsidRPr="005F2031">
        <w:rPr>
          <w:i/>
          <w:szCs w:val="24"/>
        </w:rPr>
        <w:t>The State</w:t>
      </w:r>
      <w:r w:rsidRPr="005F2031">
        <w:rPr>
          <w:szCs w:val="24"/>
        </w:rPr>
        <w:t xml:space="preserve"> 1996 (1) ZLR 51 (S), the</w:t>
      </w:r>
      <w:r w:rsidR="00134410">
        <w:rPr>
          <w:szCs w:val="24"/>
        </w:rPr>
        <w:t xml:space="preserve"> Supreme Court citing </w:t>
      </w:r>
      <w:r w:rsidR="00134410" w:rsidRPr="000F5454">
        <w:rPr>
          <w:i/>
          <w:szCs w:val="24"/>
        </w:rPr>
        <w:t xml:space="preserve">S v Hove </w:t>
      </w:r>
      <w:r w:rsidR="00134410">
        <w:rPr>
          <w:szCs w:val="24"/>
        </w:rPr>
        <w:t>S-183-89</w:t>
      </w:r>
      <w:r w:rsidR="000F5454">
        <w:rPr>
          <w:szCs w:val="24"/>
        </w:rPr>
        <w:t>, quoted the words of GUBBAY JA (as he then was) at p 5 where he stated thus;</w:t>
      </w:r>
    </w:p>
    <w:p w:rsidR="00284682" w:rsidRPr="00F154AF" w:rsidRDefault="00284682" w:rsidP="005F2031">
      <w:pPr>
        <w:pStyle w:val="NoSpacing"/>
        <w:ind w:left="720"/>
        <w:jc w:val="both"/>
        <w:rPr>
          <w:i/>
          <w:szCs w:val="24"/>
        </w:rPr>
      </w:pPr>
      <w:r w:rsidRPr="00F154AF">
        <w:rPr>
          <w:i/>
          <w:szCs w:val="24"/>
        </w:rPr>
        <w:lastRenderedPageBreak/>
        <w:t>“</w:t>
      </w:r>
      <w:r w:rsidR="000F5454" w:rsidRPr="00F154AF">
        <w:rPr>
          <w:i/>
          <w:szCs w:val="24"/>
        </w:rPr>
        <w:t>J</w:t>
      </w:r>
      <w:r w:rsidRPr="00F154AF">
        <w:rPr>
          <w:i/>
          <w:szCs w:val="24"/>
        </w:rPr>
        <w:t>udicial officers are frequently cautioned not to descend into the arena,</w:t>
      </w:r>
      <w:r w:rsidR="000F5454" w:rsidRPr="00F154AF">
        <w:rPr>
          <w:i/>
          <w:szCs w:val="24"/>
        </w:rPr>
        <w:t xml:space="preserve"> but</w:t>
      </w:r>
      <w:r w:rsidRPr="00F154AF">
        <w:rPr>
          <w:i/>
          <w:szCs w:val="24"/>
        </w:rPr>
        <w:t xml:space="preserve"> this does not mean that they must simply adopt the position of an umpire in a game, to see that n</w:t>
      </w:r>
      <w:r w:rsidR="000F5454" w:rsidRPr="00F154AF">
        <w:rPr>
          <w:i/>
          <w:szCs w:val="24"/>
        </w:rPr>
        <w:t>either side commits a foul.</w:t>
      </w:r>
      <w:r w:rsidRPr="00F154AF">
        <w:rPr>
          <w:i/>
          <w:szCs w:val="24"/>
        </w:rPr>
        <w:t xml:space="preserve">  They are there to direct and control the trial according to recognized rules and procedures that ensure that justice is not only done but seen to be done.  They have the right, if not the duty to examine witnesses or the accused in order to clarify some point in the interests of justic</w:t>
      </w:r>
      <w:r w:rsidR="00F5769C" w:rsidRPr="00F154AF">
        <w:rPr>
          <w:i/>
          <w:szCs w:val="24"/>
        </w:rPr>
        <w:t>e, they</w:t>
      </w:r>
      <w:r w:rsidR="005F2031" w:rsidRPr="00F154AF">
        <w:rPr>
          <w:i/>
          <w:szCs w:val="24"/>
        </w:rPr>
        <w:t xml:space="preserve"> must refrain from doing </w:t>
      </w:r>
      <w:r w:rsidR="00D60352" w:rsidRPr="00F154AF">
        <w:rPr>
          <w:i/>
          <w:szCs w:val="24"/>
        </w:rPr>
        <w:t xml:space="preserve">so in </w:t>
      </w:r>
      <w:r w:rsidRPr="00F154AF">
        <w:rPr>
          <w:i/>
          <w:szCs w:val="24"/>
        </w:rPr>
        <w:t>a way</w:t>
      </w:r>
      <w:r w:rsidR="00D60352" w:rsidRPr="00F154AF">
        <w:rPr>
          <w:i/>
          <w:szCs w:val="24"/>
        </w:rPr>
        <w:t xml:space="preserve">, or to such an extent, as may, </w:t>
      </w:r>
      <w:r w:rsidRPr="00F154AF">
        <w:rPr>
          <w:i/>
          <w:szCs w:val="24"/>
        </w:rPr>
        <w:t>on one hand</w:t>
      </w:r>
      <w:r w:rsidR="00D60352" w:rsidRPr="00F154AF">
        <w:rPr>
          <w:i/>
          <w:szCs w:val="24"/>
        </w:rPr>
        <w:t>,</w:t>
      </w:r>
      <w:r w:rsidRPr="00F154AF">
        <w:rPr>
          <w:i/>
          <w:szCs w:val="24"/>
        </w:rPr>
        <w:t xml:space="preserve"> disconcert the witness or unjustly affect the quality of his replies and</w:t>
      </w:r>
      <w:r w:rsidR="00D60352" w:rsidRPr="00F154AF">
        <w:rPr>
          <w:i/>
          <w:szCs w:val="24"/>
        </w:rPr>
        <w:t>,</w:t>
      </w:r>
      <w:r w:rsidRPr="00F154AF">
        <w:rPr>
          <w:i/>
          <w:szCs w:val="24"/>
        </w:rPr>
        <w:t xml:space="preserve"> on the other</w:t>
      </w:r>
      <w:r w:rsidR="00D60352" w:rsidRPr="00F154AF">
        <w:rPr>
          <w:i/>
          <w:szCs w:val="24"/>
        </w:rPr>
        <w:t>,</w:t>
      </w:r>
      <w:r w:rsidRPr="00F154AF">
        <w:rPr>
          <w:i/>
          <w:szCs w:val="24"/>
        </w:rPr>
        <w:t xml:space="preserve"> pre</w:t>
      </w:r>
      <w:r w:rsidR="00D60352" w:rsidRPr="00F154AF">
        <w:rPr>
          <w:i/>
          <w:szCs w:val="24"/>
        </w:rPr>
        <w:t>clude an objective appreciation and adjudication of the issue they are called upon to determine. If the manner of questioning is such as to sustain the inference of a lack of impeccable impartiality and open-mindedness</w:t>
      </w:r>
      <w:r w:rsidR="008D4BD8" w:rsidRPr="00F154AF">
        <w:rPr>
          <w:i/>
          <w:szCs w:val="24"/>
        </w:rPr>
        <w:t>, then the fundamental prerequisite</w:t>
      </w:r>
      <w:r w:rsidR="00164CF1" w:rsidRPr="00F154AF">
        <w:rPr>
          <w:i/>
          <w:szCs w:val="24"/>
        </w:rPr>
        <w:t xml:space="preserve"> of a fair trial has not been attained’’</w:t>
      </w:r>
    </w:p>
    <w:p w:rsidR="00284682" w:rsidRPr="005F2031" w:rsidRDefault="00284682" w:rsidP="005F2031">
      <w:pPr>
        <w:jc w:val="both"/>
        <w:rPr>
          <w:szCs w:val="24"/>
        </w:rPr>
      </w:pPr>
      <w:r w:rsidRPr="005F2031">
        <w:rPr>
          <w:szCs w:val="24"/>
        </w:rPr>
        <w:tab/>
        <w:t>On the facts of this case, the question</w:t>
      </w:r>
      <w:r w:rsidR="00EC3866">
        <w:rPr>
          <w:szCs w:val="24"/>
        </w:rPr>
        <w:t>s</w:t>
      </w:r>
      <w:r w:rsidRPr="005F2031">
        <w:rPr>
          <w:szCs w:val="24"/>
        </w:rPr>
        <w:t xml:space="preserve"> posed by the trial magistrate did not disconcert the witnesses or unjustly affect the quality of their response</w:t>
      </w:r>
      <w:r w:rsidR="00EC3866">
        <w:rPr>
          <w:szCs w:val="24"/>
        </w:rPr>
        <w:t>s</w:t>
      </w:r>
      <w:r w:rsidRPr="005F2031">
        <w:rPr>
          <w:szCs w:val="24"/>
        </w:rPr>
        <w:t>.  This ground of appeal was merely an afterthoug</w:t>
      </w:r>
      <w:r w:rsidR="00192878">
        <w:rPr>
          <w:szCs w:val="24"/>
        </w:rPr>
        <w:t>ht and no criticism can properly</w:t>
      </w:r>
      <w:r w:rsidRPr="005F2031">
        <w:rPr>
          <w:szCs w:val="24"/>
        </w:rPr>
        <w:t xml:space="preserve"> be placed against the trial magi</w:t>
      </w:r>
      <w:r w:rsidR="005F2031" w:rsidRPr="005F2031">
        <w:rPr>
          <w:szCs w:val="24"/>
        </w:rPr>
        <w:t>strate</w:t>
      </w:r>
      <w:r w:rsidRPr="005F2031">
        <w:rPr>
          <w:szCs w:val="24"/>
        </w:rPr>
        <w:t>.</w:t>
      </w:r>
    </w:p>
    <w:p w:rsidR="00284682" w:rsidRPr="005F2031" w:rsidRDefault="0058678F" w:rsidP="005F2031">
      <w:pPr>
        <w:jc w:val="both"/>
        <w:rPr>
          <w:szCs w:val="24"/>
        </w:rPr>
      </w:pPr>
      <w:r>
        <w:rPr>
          <w:szCs w:val="24"/>
        </w:rPr>
        <w:tab/>
        <w:t>It is the view</w:t>
      </w:r>
      <w:r w:rsidR="00284682" w:rsidRPr="005F2031">
        <w:rPr>
          <w:szCs w:val="24"/>
        </w:rPr>
        <w:t xml:space="preserve"> of this court that the appeal against conviction </w:t>
      </w:r>
      <w:r w:rsidR="00EE04B9" w:rsidRPr="005F2031">
        <w:rPr>
          <w:szCs w:val="24"/>
        </w:rPr>
        <w:t>has no merit</w:t>
      </w:r>
      <w:r w:rsidR="001F2599" w:rsidRPr="005F2031">
        <w:rPr>
          <w:szCs w:val="24"/>
        </w:rPr>
        <w:t xml:space="preserve"> and ought to be dismissed.  In the end</w:t>
      </w:r>
      <w:r>
        <w:rPr>
          <w:szCs w:val="24"/>
        </w:rPr>
        <w:t>, during oral submissions</w:t>
      </w:r>
      <w:r w:rsidR="001F2599" w:rsidRPr="005F2031">
        <w:rPr>
          <w:szCs w:val="24"/>
        </w:rPr>
        <w:t xml:space="preserve"> the coun</w:t>
      </w:r>
      <w:r w:rsidR="005F2031" w:rsidRPr="005F2031">
        <w:rPr>
          <w:szCs w:val="24"/>
        </w:rPr>
        <w:t>s</w:t>
      </w:r>
      <w:r w:rsidR="001F2599" w:rsidRPr="005F2031">
        <w:rPr>
          <w:szCs w:val="24"/>
        </w:rPr>
        <w:t>el for the appellant</w:t>
      </w:r>
      <w:r>
        <w:rPr>
          <w:szCs w:val="24"/>
        </w:rPr>
        <w:t xml:space="preserve">, </w:t>
      </w:r>
      <w:r w:rsidRPr="0058678F">
        <w:rPr>
          <w:i/>
          <w:szCs w:val="24"/>
        </w:rPr>
        <w:t>Mr</w:t>
      </w:r>
      <w:r w:rsidR="004D1F27">
        <w:rPr>
          <w:i/>
          <w:szCs w:val="24"/>
        </w:rPr>
        <w:t xml:space="preserve"> </w:t>
      </w:r>
      <w:r w:rsidRPr="0058678F">
        <w:rPr>
          <w:i/>
          <w:szCs w:val="24"/>
        </w:rPr>
        <w:t>Madzikura</w:t>
      </w:r>
      <w:r>
        <w:rPr>
          <w:szCs w:val="24"/>
        </w:rPr>
        <w:t>,</w:t>
      </w:r>
      <w:r w:rsidR="001F2599" w:rsidRPr="005F2031">
        <w:rPr>
          <w:szCs w:val="24"/>
        </w:rPr>
        <w:t xml:space="preserve"> conceded that the appeal had no merit.</w:t>
      </w:r>
    </w:p>
    <w:p w:rsidR="001F2599" w:rsidRPr="005F2031" w:rsidRDefault="001F2599" w:rsidP="005F2031">
      <w:pPr>
        <w:jc w:val="both"/>
        <w:rPr>
          <w:szCs w:val="24"/>
        </w:rPr>
      </w:pPr>
      <w:r w:rsidRPr="005F2031">
        <w:rPr>
          <w:szCs w:val="24"/>
        </w:rPr>
        <w:tab/>
        <w:t xml:space="preserve">As regards sentence, the injuries suffered by the complainants are serious. </w:t>
      </w:r>
      <w:r w:rsidR="00051760" w:rsidRPr="00AE4740">
        <w:rPr>
          <w:i/>
          <w:szCs w:val="24"/>
        </w:rPr>
        <w:t>Mr</w:t>
      </w:r>
      <w:r w:rsidR="004D1F27">
        <w:rPr>
          <w:i/>
          <w:szCs w:val="24"/>
        </w:rPr>
        <w:t xml:space="preserve"> </w:t>
      </w:r>
      <w:r w:rsidR="00051760" w:rsidRPr="00AE4740">
        <w:rPr>
          <w:i/>
          <w:szCs w:val="24"/>
        </w:rPr>
        <w:t>Gundani</w:t>
      </w:r>
      <w:r w:rsidR="00051760">
        <w:rPr>
          <w:szCs w:val="24"/>
        </w:rPr>
        <w:t>, appearing for the st</w:t>
      </w:r>
      <w:r w:rsidR="00AE4740">
        <w:rPr>
          <w:szCs w:val="24"/>
        </w:rPr>
        <w:t>ate, indicated that the sentence was appropriate.</w:t>
      </w:r>
      <w:r w:rsidRPr="005F2031">
        <w:rPr>
          <w:szCs w:val="24"/>
        </w:rPr>
        <w:t xml:space="preserve"> Edgar </w:t>
      </w:r>
      <w:r w:rsidR="00EE04B9" w:rsidRPr="005F2031">
        <w:rPr>
          <w:szCs w:val="24"/>
        </w:rPr>
        <w:t>T</w:t>
      </w:r>
      <w:r w:rsidRPr="005F2031">
        <w:rPr>
          <w:szCs w:val="24"/>
        </w:rPr>
        <w:t>shuma suffered a depressed sk</w:t>
      </w:r>
      <w:r w:rsidR="003E5B06">
        <w:rPr>
          <w:szCs w:val="24"/>
        </w:rPr>
        <w:t>ull fracture of the left parietal</w:t>
      </w:r>
      <w:r w:rsidRPr="005F2031">
        <w:rPr>
          <w:szCs w:val="24"/>
        </w:rPr>
        <w:t xml:space="preserve"> area and underlying </w:t>
      </w:r>
      <w:r w:rsidR="00051760" w:rsidRPr="005F2031">
        <w:rPr>
          <w:szCs w:val="24"/>
        </w:rPr>
        <w:t>intracranial</w:t>
      </w:r>
      <w:r w:rsidRPr="005F2031">
        <w:rPr>
          <w:szCs w:val="24"/>
        </w:rPr>
        <w:t xml:space="preserve"> haemo</w:t>
      </w:r>
      <w:r w:rsidR="007940CC">
        <w:rPr>
          <w:szCs w:val="24"/>
        </w:rPr>
        <w:t>toma</w:t>
      </w:r>
      <w:r w:rsidRPr="005F2031">
        <w:rPr>
          <w:szCs w:val="24"/>
        </w:rPr>
        <w:t>.  The complainant received surge</w:t>
      </w:r>
      <w:r w:rsidR="005F2031" w:rsidRPr="005F2031">
        <w:rPr>
          <w:szCs w:val="24"/>
        </w:rPr>
        <w:t>r</w:t>
      </w:r>
      <w:r w:rsidRPr="005F2031">
        <w:rPr>
          <w:szCs w:val="24"/>
        </w:rPr>
        <w:t>y to treat the fracture and the bleeding.  The medical report revealed that the complainant would likely suffer from recurrent headaches.  The second complainant Zibusiso</w:t>
      </w:r>
      <w:r w:rsidR="004D1F27">
        <w:rPr>
          <w:szCs w:val="24"/>
        </w:rPr>
        <w:t xml:space="preserve"> </w:t>
      </w:r>
      <w:r w:rsidRPr="005F2031">
        <w:rPr>
          <w:szCs w:val="24"/>
        </w:rPr>
        <w:t>Dube suffered a tender left knee with mild swelling.  There was no misdirection on the part of the trial magistrate in her approach to sentence.  A sentence of community service would have trivialized the offence, regard being had to the nature of the attack and the resultant injuries.</w:t>
      </w:r>
    </w:p>
    <w:p w:rsidR="001F2599" w:rsidRDefault="001F2599" w:rsidP="005F2031">
      <w:pPr>
        <w:jc w:val="both"/>
        <w:rPr>
          <w:szCs w:val="24"/>
        </w:rPr>
      </w:pPr>
      <w:r w:rsidRPr="005F2031">
        <w:rPr>
          <w:szCs w:val="24"/>
        </w:rPr>
        <w:tab/>
        <w:t>In the circumstances, and accordingly the appeal is hereby dismissed in its entirety.</w:t>
      </w:r>
    </w:p>
    <w:p w:rsidR="001F2599" w:rsidRPr="005F2031" w:rsidRDefault="005F2031" w:rsidP="005F2031">
      <w:pPr>
        <w:jc w:val="both"/>
        <w:rPr>
          <w:szCs w:val="24"/>
        </w:rPr>
      </w:pPr>
      <w:r>
        <w:rPr>
          <w:szCs w:val="24"/>
        </w:rPr>
        <w:tab/>
      </w:r>
      <w:r>
        <w:rPr>
          <w:szCs w:val="24"/>
        </w:rPr>
        <w:tab/>
      </w:r>
      <w:r>
        <w:rPr>
          <w:szCs w:val="24"/>
        </w:rPr>
        <w:tab/>
        <w:t>Kabasa J …………………………………. I agree</w:t>
      </w:r>
    </w:p>
    <w:p w:rsidR="001F2599" w:rsidRPr="005F2031" w:rsidRDefault="001F2599" w:rsidP="005F2031">
      <w:pPr>
        <w:pStyle w:val="NoSpacing"/>
        <w:jc w:val="both"/>
        <w:rPr>
          <w:szCs w:val="24"/>
        </w:rPr>
      </w:pPr>
      <w:r w:rsidRPr="005F2031">
        <w:rPr>
          <w:i/>
          <w:szCs w:val="24"/>
        </w:rPr>
        <w:t>Messrs T. Hara &amp; Partners</w:t>
      </w:r>
      <w:r w:rsidRPr="005F2031">
        <w:rPr>
          <w:szCs w:val="24"/>
        </w:rPr>
        <w:t>, appellant’s legal practitioners</w:t>
      </w:r>
    </w:p>
    <w:p w:rsidR="002B5399" w:rsidRPr="005F2031" w:rsidRDefault="001F2599" w:rsidP="004D1F27">
      <w:pPr>
        <w:pStyle w:val="NoSpacing"/>
        <w:jc w:val="both"/>
        <w:rPr>
          <w:szCs w:val="24"/>
        </w:rPr>
      </w:pPr>
      <w:r w:rsidRPr="005F2031">
        <w:rPr>
          <w:i/>
          <w:szCs w:val="24"/>
        </w:rPr>
        <w:t>National Prosecuting Authority</w:t>
      </w:r>
      <w:r w:rsidRPr="005F2031">
        <w:rPr>
          <w:szCs w:val="24"/>
        </w:rPr>
        <w:t>, respondent’s legal practitioners</w:t>
      </w:r>
    </w:p>
    <w:sectPr w:rsidR="002B5399" w:rsidRPr="005F203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0B4" w:rsidRDefault="00AD50B4" w:rsidP="002B5399">
      <w:pPr>
        <w:spacing w:before="0" w:after="0" w:line="240" w:lineRule="auto"/>
      </w:pPr>
      <w:r>
        <w:separator/>
      </w:r>
    </w:p>
  </w:endnote>
  <w:endnote w:type="continuationSeparator" w:id="1">
    <w:p w:rsidR="00AD50B4" w:rsidRDefault="00AD50B4" w:rsidP="002B539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0B4" w:rsidRDefault="00AD50B4" w:rsidP="002B5399">
      <w:pPr>
        <w:spacing w:before="0" w:after="0" w:line="240" w:lineRule="auto"/>
      </w:pPr>
      <w:r>
        <w:separator/>
      </w:r>
    </w:p>
  </w:footnote>
  <w:footnote w:type="continuationSeparator" w:id="1">
    <w:p w:rsidR="00AD50B4" w:rsidRDefault="00AD50B4" w:rsidP="002B539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6338"/>
      <w:docPartObj>
        <w:docPartGallery w:val="Page Numbers (Top of Page)"/>
        <w:docPartUnique/>
      </w:docPartObj>
    </w:sdtPr>
    <w:sdtContent>
      <w:p w:rsidR="001F2599" w:rsidRDefault="00C25CA0" w:rsidP="001F2599">
        <w:pPr>
          <w:pStyle w:val="NoSpacing"/>
          <w:ind w:left="8640" w:firstLine="720"/>
        </w:pPr>
        <w:r>
          <w:fldChar w:fldCharType="begin"/>
        </w:r>
        <w:r w:rsidR="00A1192C">
          <w:instrText xml:space="preserve"> PAGE   \* MERGEFORMAT </w:instrText>
        </w:r>
        <w:r>
          <w:fldChar w:fldCharType="separate"/>
        </w:r>
        <w:r w:rsidR="0074103C">
          <w:rPr>
            <w:noProof/>
          </w:rPr>
          <w:t>4</w:t>
        </w:r>
        <w:r>
          <w:rPr>
            <w:noProof/>
          </w:rPr>
          <w:fldChar w:fldCharType="end"/>
        </w:r>
      </w:p>
      <w:p w:rsidR="001F2599" w:rsidRDefault="00A1192C" w:rsidP="001F2599">
        <w:pPr>
          <w:pStyle w:val="NoSpacing"/>
          <w:ind w:left="7920"/>
        </w:pPr>
        <w:r>
          <w:t xml:space="preserve">      </w:t>
        </w:r>
        <w:r w:rsidR="001F2599">
          <w:t xml:space="preserve">HB </w:t>
        </w:r>
        <w:r>
          <w:t>245</w:t>
        </w:r>
        <w:r w:rsidR="001F2599">
          <w:t>/20</w:t>
        </w:r>
      </w:p>
      <w:p w:rsidR="001F2599" w:rsidRDefault="001F2599" w:rsidP="001F2599">
        <w:pPr>
          <w:pStyle w:val="NoSpacing"/>
          <w:ind w:left="7920"/>
        </w:pPr>
        <w:r>
          <w:t xml:space="preserve">   HCA 138/18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F2EE8"/>
    <w:multiLevelType w:val="hybridMultilevel"/>
    <w:tmpl w:val="7CAC57D0"/>
    <w:lvl w:ilvl="0" w:tplc="80060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5399"/>
    <w:rsid w:val="00051760"/>
    <w:rsid w:val="000B4042"/>
    <w:rsid w:val="000F171D"/>
    <w:rsid w:val="000F5454"/>
    <w:rsid w:val="000F7AD4"/>
    <w:rsid w:val="00134410"/>
    <w:rsid w:val="00142038"/>
    <w:rsid w:val="00153C35"/>
    <w:rsid w:val="00164CF1"/>
    <w:rsid w:val="00192878"/>
    <w:rsid w:val="001A113C"/>
    <w:rsid w:val="001A6AEC"/>
    <w:rsid w:val="001B054E"/>
    <w:rsid w:val="001D126B"/>
    <w:rsid w:val="001F2599"/>
    <w:rsid w:val="00222878"/>
    <w:rsid w:val="002431FB"/>
    <w:rsid w:val="00283E18"/>
    <w:rsid w:val="00284682"/>
    <w:rsid w:val="00287590"/>
    <w:rsid w:val="00294FF5"/>
    <w:rsid w:val="002B29D8"/>
    <w:rsid w:val="002B5399"/>
    <w:rsid w:val="002C7F8A"/>
    <w:rsid w:val="00305F99"/>
    <w:rsid w:val="0033470D"/>
    <w:rsid w:val="003A3365"/>
    <w:rsid w:val="003C3EDD"/>
    <w:rsid w:val="003E5B06"/>
    <w:rsid w:val="003E5BAA"/>
    <w:rsid w:val="003F4F0A"/>
    <w:rsid w:val="00453D8E"/>
    <w:rsid w:val="00461899"/>
    <w:rsid w:val="00477B02"/>
    <w:rsid w:val="004D1F27"/>
    <w:rsid w:val="004D5CDF"/>
    <w:rsid w:val="00501D2B"/>
    <w:rsid w:val="0050789B"/>
    <w:rsid w:val="0054317D"/>
    <w:rsid w:val="0058678F"/>
    <w:rsid w:val="005F2031"/>
    <w:rsid w:val="00647E84"/>
    <w:rsid w:val="0068662E"/>
    <w:rsid w:val="006A03C9"/>
    <w:rsid w:val="00701C30"/>
    <w:rsid w:val="00716756"/>
    <w:rsid w:val="0074103C"/>
    <w:rsid w:val="007940CC"/>
    <w:rsid w:val="007B49A6"/>
    <w:rsid w:val="007D0B26"/>
    <w:rsid w:val="007D2790"/>
    <w:rsid w:val="008513DC"/>
    <w:rsid w:val="008536B1"/>
    <w:rsid w:val="00862F17"/>
    <w:rsid w:val="008A7672"/>
    <w:rsid w:val="008B5787"/>
    <w:rsid w:val="008C3209"/>
    <w:rsid w:val="008D4BD8"/>
    <w:rsid w:val="00943938"/>
    <w:rsid w:val="009E5C1A"/>
    <w:rsid w:val="00A0183F"/>
    <w:rsid w:val="00A1192C"/>
    <w:rsid w:val="00A50BC8"/>
    <w:rsid w:val="00AC11A9"/>
    <w:rsid w:val="00AD50B4"/>
    <w:rsid w:val="00AE4740"/>
    <w:rsid w:val="00B30874"/>
    <w:rsid w:val="00B760C8"/>
    <w:rsid w:val="00BC06CD"/>
    <w:rsid w:val="00BF1DDB"/>
    <w:rsid w:val="00C03D66"/>
    <w:rsid w:val="00C25CA0"/>
    <w:rsid w:val="00C53CA6"/>
    <w:rsid w:val="00C61900"/>
    <w:rsid w:val="00CB61C3"/>
    <w:rsid w:val="00D20B4C"/>
    <w:rsid w:val="00D60352"/>
    <w:rsid w:val="00E016E7"/>
    <w:rsid w:val="00E10C27"/>
    <w:rsid w:val="00E52430"/>
    <w:rsid w:val="00EC3866"/>
    <w:rsid w:val="00EE04B9"/>
    <w:rsid w:val="00F154AF"/>
    <w:rsid w:val="00F576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B53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5399"/>
    <w:rPr>
      <w:rFonts w:ascii="Times New Roman" w:hAnsi="Times New Roman"/>
      <w:sz w:val="24"/>
    </w:rPr>
  </w:style>
  <w:style w:type="paragraph" w:styleId="Footer">
    <w:name w:val="footer"/>
    <w:basedOn w:val="Normal"/>
    <w:link w:val="FooterChar"/>
    <w:uiPriority w:val="99"/>
    <w:semiHidden/>
    <w:unhideWhenUsed/>
    <w:rsid w:val="002B539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B5399"/>
    <w:rPr>
      <w:rFonts w:ascii="Times New Roman" w:hAnsi="Times New Roman"/>
      <w:sz w:val="24"/>
    </w:rPr>
  </w:style>
  <w:style w:type="paragraph" w:styleId="ListParagraph">
    <w:name w:val="List Paragraph"/>
    <w:basedOn w:val="Normal"/>
    <w:uiPriority w:val="34"/>
    <w:qFormat/>
    <w:rsid w:val="002B5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2020-11-03T06:24:00Z</cp:lastPrinted>
  <dcterms:created xsi:type="dcterms:W3CDTF">2020-11-10T10:25:00Z</dcterms:created>
  <dcterms:modified xsi:type="dcterms:W3CDTF">2020-11-10T10:25:00Z</dcterms:modified>
</cp:coreProperties>
</file>