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75"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BLESSING MASHANGWA</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McDOWELLS INTERNATION</w:t>
      </w:r>
      <w:r w:rsidR="00023105">
        <w:rPr>
          <w:rFonts w:ascii="Times New Roman" w:hAnsi="Times New Roman" w:cs="Times New Roman"/>
          <w:sz w:val="24"/>
          <w:szCs w:val="24"/>
        </w:rPr>
        <w:t>AL</w:t>
      </w:r>
      <w:r>
        <w:rPr>
          <w:rFonts w:ascii="Times New Roman" w:hAnsi="Times New Roman" w:cs="Times New Roman"/>
          <w:sz w:val="24"/>
          <w:szCs w:val="24"/>
        </w:rPr>
        <w:t xml:space="preserve"> (PVT) LTD</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1F2946" w:rsidRDefault="001F2946" w:rsidP="001F2946">
      <w:pPr>
        <w:spacing w:after="0" w:line="240" w:lineRule="auto"/>
        <w:rPr>
          <w:rFonts w:ascii="Times New Roman" w:hAnsi="Times New Roman" w:cs="Times New Roman"/>
          <w:sz w:val="24"/>
          <w:szCs w:val="24"/>
        </w:rPr>
      </w:pPr>
    </w:p>
    <w:p w:rsidR="001F2946" w:rsidRDefault="001F2946" w:rsidP="001F2946">
      <w:pPr>
        <w:spacing w:after="0" w:line="240" w:lineRule="auto"/>
        <w:rPr>
          <w:rFonts w:ascii="Times New Roman" w:hAnsi="Times New Roman" w:cs="Times New Roman"/>
          <w:sz w:val="24"/>
          <w:szCs w:val="24"/>
        </w:rPr>
      </w:pP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1F2946" w:rsidRDefault="001F2946" w:rsidP="001F29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47FC1">
        <w:rPr>
          <w:rFonts w:ascii="Times New Roman" w:hAnsi="Times New Roman" w:cs="Times New Roman"/>
          <w:sz w:val="24"/>
          <w:szCs w:val="24"/>
        </w:rPr>
        <w:t>23 July and 2 September 2013</w:t>
      </w:r>
    </w:p>
    <w:p w:rsidR="001F2946" w:rsidRDefault="001F2946" w:rsidP="001F2946">
      <w:pPr>
        <w:spacing w:after="0" w:line="240" w:lineRule="auto"/>
        <w:rPr>
          <w:rFonts w:ascii="Times New Roman" w:hAnsi="Times New Roman" w:cs="Times New Roman"/>
          <w:sz w:val="24"/>
          <w:szCs w:val="24"/>
        </w:rPr>
      </w:pPr>
    </w:p>
    <w:p w:rsidR="001F2946" w:rsidRDefault="001F2946" w:rsidP="001F2946">
      <w:pPr>
        <w:spacing w:after="0" w:line="240" w:lineRule="auto"/>
        <w:rPr>
          <w:rFonts w:ascii="Times New Roman" w:hAnsi="Times New Roman" w:cs="Times New Roman"/>
          <w:sz w:val="24"/>
          <w:szCs w:val="24"/>
        </w:rPr>
      </w:pPr>
    </w:p>
    <w:p w:rsidR="001F2946" w:rsidRDefault="001F2946" w:rsidP="001F2946">
      <w:pPr>
        <w:spacing w:after="0" w:line="240" w:lineRule="auto"/>
        <w:rPr>
          <w:rFonts w:ascii="Times New Roman" w:hAnsi="Times New Roman" w:cs="Times New Roman"/>
          <w:sz w:val="24"/>
          <w:szCs w:val="24"/>
        </w:rPr>
      </w:pPr>
    </w:p>
    <w:p w:rsidR="00885F6A" w:rsidRDefault="00885F6A" w:rsidP="001F2946">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885F6A" w:rsidRDefault="00885F6A" w:rsidP="001F2946">
      <w:pPr>
        <w:spacing w:after="0" w:line="240" w:lineRule="auto"/>
        <w:rPr>
          <w:rFonts w:ascii="Times New Roman" w:hAnsi="Times New Roman" w:cs="Times New Roman"/>
          <w:b/>
          <w:sz w:val="24"/>
          <w:szCs w:val="24"/>
        </w:rPr>
      </w:pPr>
    </w:p>
    <w:p w:rsidR="00885F6A" w:rsidRPr="00885F6A" w:rsidRDefault="00885F6A" w:rsidP="001F2946">
      <w:pPr>
        <w:spacing w:after="0" w:line="240" w:lineRule="auto"/>
        <w:rPr>
          <w:rFonts w:ascii="Times New Roman" w:hAnsi="Times New Roman" w:cs="Times New Roman"/>
          <w:b/>
          <w:sz w:val="24"/>
          <w:szCs w:val="24"/>
        </w:rPr>
      </w:pPr>
    </w:p>
    <w:p w:rsidR="001F2946" w:rsidRDefault="00F47FC1" w:rsidP="001F2946">
      <w:pPr>
        <w:spacing w:after="0" w:line="240" w:lineRule="auto"/>
        <w:rPr>
          <w:rFonts w:ascii="Times New Roman" w:hAnsi="Times New Roman" w:cs="Times New Roman"/>
          <w:sz w:val="24"/>
          <w:szCs w:val="24"/>
        </w:rPr>
      </w:pPr>
      <w:r>
        <w:rPr>
          <w:rFonts w:ascii="Times New Roman" w:hAnsi="Times New Roman" w:cs="Times New Roman"/>
          <w:i/>
          <w:sz w:val="24"/>
          <w:szCs w:val="24"/>
        </w:rPr>
        <w:t>T. Govere,</w:t>
      </w:r>
      <w:r w:rsidR="001F2946">
        <w:rPr>
          <w:rFonts w:ascii="Times New Roman" w:hAnsi="Times New Roman" w:cs="Times New Roman"/>
          <w:sz w:val="24"/>
          <w:szCs w:val="24"/>
        </w:rPr>
        <w:t xml:space="preserve"> for the applicant</w:t>
      </w:r>
    </w:p>
    <w:p w:rsidR="001F2946" w:rsidRDefault="00F47FC1" w:rsidP="001F294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Kanokanga, </w:t>
      </w:r>
      <w:r w:rsidR="001F2946">
        <w:rPr>
          <w:rFonts w:ascii="Times New Roman" w:hAnsi="Times New Roman" w:cs="Times New Roman"/>
          <w:sz w:val="24"/>
          <w:szCs w:val="24"/>
        </w:rPr>
        <w:t>for the respondents</w:t>
      </w:r>
    </w:p>
    <w:p w:rsidR="001F2946" w:rsidRDefault="001F2946" w:rsidP="001F2946">
      <w:pPr>
        <w:spacing w:after="0" w:line="240" w:lineRule="auto"/>
        <w:rPr>
          <w:rFonts w:ascii="Times New Roman" w:hAnsi="Times New Roman" w:cs="Times New Roman"/>
          <w:sz w:val="24"/>
          <w:szCs w:val="24"/>
        </w:rPr>
      </w:pPr>
    </w:p>
    <w:p w:rsidR="001F2946" w:rsidRDefault="001F2946" w:rsidP="001F2946">
      <w:pPr>
        <w:spacing w:after="0" w:line="240" w:lineRule="auto"/>
        <w:rPr>
          <w:rFonts w:ascii="Times New Roman" w:hAnsi="Times New Roman" w:cs="Times New Roman"/>
          <w:sz w:val="24"/>
          <w:szCs w:val="24"/>
        </w:rPr>
      </w:pPr>
    </w:p>
    <w:p w:rsidR="00F47FC1" w:rsidRDefault="001F2946" w:rsidP="00644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This is an application for summary judgment in terms of </w:t>
      </w:r>
      <w:r w:rsidR="00F47FC1">
        <w:rPr>
          <w:rFonts w:ascii="Times New Roman" w:hAnsi="Times New Roman" w:cs="Times New Roman"/>
          <w:sz w:val="24"/>
          <w:szCs w:val="24"/>
        </w:rPr>
        <w:t>order 10 r 64</w:t>
      </w:r>
      <w:r>
        <w:rPr>
          <w:rFonts w:ascii="Times New Roman" w:hAnsi="Times New Roman" w:cs="Times New Roman"/>
          <w:sz w:val="24"/>
          <w:szCs w:val="24"/>
        </w:rPr>
        <w:t xml:space="preserve"> o</w:t>
      </w:r>
      <w:r w:rsidR="00027A97">
        <w:rPr>
          <w:rFonts w:ascii="Times New Roman" w:hAnsi="Times New Roman" w:cs="Times New Roman"/>
          <w:sz w:val="24"/>
          <w:szCs w:val="24"/>
        </w:rPr>
        <w:t>f</w:t>
      </w:r>
      <w:r>
        <w:rPr>
          <w:rFonts w:ascii="Times New Roman" w:hAnsi="Times New Roman" w:cs="Times New Roman"/>
          <w:sz w:val="24"/>
          <w:szCs w:val="24"/>
        </w:rPr>
        <w:t xml:space="preserve"> the</w:t>
      </w:r>
      <w:r w:rsidR="00ED5F3F">
        <w:rPr>
          <w:rFonts w:ascii="Times New Roman" w:hAnsi="Times New Roman" w:cs="Times New Roman"/>
          <w:sz w:val="24"/>
          <w:szCs w:val="24"/>
        </w:rPr>
        <w:t xml:space="preserve"> High Court</w:t>
      </w:r>
      <w:r>
        <w:rPr>
          <w:rFonts w:ascii="Times New Roman" w:hAnsi="Times New Roman" w:cs="Times New Roman"/>
          <w:sz w:val="24"/>
          <w:szCs w:val="24"/>
        </w:rPr>
        <w:t xml:space="preserve"> Rules 1971. It is based on the </w:t>
      </w:r>
      <w:r w:rsidR="00ED5F3F">
        <w:rPr>
          <w:rFonts w:ascii="Times New Roman" w:hAnsi="Times New Roman" w:cs="Times New Roman"/>
          <w:sz w:val="24"/>
          <w:szCs w:val="24"/>
        </w:rPr>
        <w:t>f</w:t>
      </w:r>
      <w:r w:rsidR="00F47FC1">
        <w:rPr>
          <w:rFonts w:ascii="Times New Roman" w:hAnsi="Times New Roman" w:cs="Times New Roman"/>
          <w:sz w:val="24"/>
          <w:szCs w:val="24"/>
        </w:rPr>
        <w:t>ollowing</w:t>
      </w:r>
      <w:r w:rsidR="00ED5F3F">
        <w:rPr>
          <w:rFonts w:ascii="Times New Roman" w:hAnsi="Times New Roman" w:cs="Times New Roman"/>
          <w:sz w:val="24"/>
          <w:szCs w:val="24"/>
        </w:rPr>
        <w:t xml:space="preserve"> </w:t>
      </w:r>
      <w:r>
        <w:rPr>
          <w:rFonts w:ascii="Times New Roman" w:hAnsi="Times New Roman" w:cs="Times New Roman"/>
          <w:sz w:val="24"/>
          <w:szCs w:val="24"/>
        </w:rPr>
        <w:t xml:space="preserve">facts, “On 20 March 2013, the applicant caused summons to be issued for an order compelling the first respondent to pay </w:t>
      </w:r>
      <w:r w:rsidR="00ED5F3F">
        <w:rPr>
          <w:rFonts w:ascii="Times New Roman" w:hAnsi="Times New Roman" w:cs="Times New Roman"/>
          <w:sz w:val="24"/>
          <w:szCs w:val="24"/>
        </w:rPr>
        <w:t xml:space="preserve">the </w:t>
      </w:r>
      <w:r>
        <w:rPr>
          <w:rFonts w:ascii="Times New Roman" w:hAnsi="Times New Roman" w:cs="Times New Roman"/>
          <w:sz w:val="24"/>
          <w:szCs w:val="24"/>
        </w:rPr>
        <w:t>applicant the sum of US$162 870-24 and interest thereof at the rate of 13% per month capitalised on a monthly basis reckoned from the 20</w:t>
      </w:r>
      <w:r w:rsidRPr="001F2946">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March 2012 to the date and month of full payment. </w:t>
      </w:r>
    </w:p>
    <w:p w:rsidR="00644F49" w:rsidRDefault="001F2946" w:rsidP="00644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contended that the first respondent has no </w:t>
      </w:r>
      <w:r>
        <w:rPr>
          <w:rFonts w:ascii="Times New Roman" w:hAnsi="Times New Roman" w:cs="Times New Roman"/>
          <w:i/>
          <w:sz w:val="24"/>
          <w:szCs w:val="24"/>
        </w:rPr>
        <w:t>bona fide</w:t>
      </w:r>
      <w:r>
        <w:rPr>
          <w:rFonts w:ascii="Times New Roman" w:hAnsi="Times New Roman" w:cs="Times New Roman"/>
          <w:sz w:val="24"/>
          <w:szCs w:val="24"/>
        </w:rPr>
        <w:t xml:space="preserve"> </w:t>
      </w:r>
      <w:r w:rsidR="00B24FF7">
        <w:rPr>
          <w:rFonts w:ascii="Times New Roman" w:hAnsi="Times New Roman" w:cs="Times New Roman"/>
          <w:sz w:val="24"/>
          <w:szCs w:val="24"/>
        </w:rPr>
        <w:t xml:space="preserve">defence to the action. Indeed during the hearing, it became apparent that the first respondent has no </w:t>
      </w:r>
      <w:r w:rsidR="00B24FF7">
        <w:rPr>
          <w:rFonts w:ascii="Times New Roman" w:hAnsi="Times New Roman" w:cs="Times New Roman"/>
          <w:i/>
          <w:sz w:val="24"/>
          <w:szCs w:val="24"/>
        </w:rPr>
        <w:t>bona fide</w:t>
      </w:r>
      <w:r w:rsidR="00B24FF7">
        <w:rPr>
          <w:rFonts w:ascii="Times New Roman" w:hAnsi="Times New Roman" w:cs="Times New Roman"/>
          <w:sz w:val="24"/>
          <w:szCs w:val="24"/>
        </w:rPr>
        <w:t xml:space="preserve"> defence to the </w:t>
      </w:r>
      <w:r w:rsidR="00C10EE1">
        <w:rPr>
          <w:rFonts w:ascii="Times New Roman" w:hAnsi="Times New Roman" w:cs="Times New Roman"/>
          <w:sz w:val="24"/>
          <w:szCs w:val="24"/>
        </w:rPr>
        <w:t>c</w:t>
      </w:r>
      <w:r w:rsidR="00B24FF7">
        <w:rPr>
          <w:rFonts w:ascii="Times New Roman" w:hAnsi="Times New Roman" w:cs="Times New Roman"/>
          <w:sz w:val="24"/>
          <w:szCs w:val="24"/>
        </w:rPr>
        <w:t>laim on the merits. The first respondent</w:t>
      </w:r>
      <w:r w:rsidR="00ED5F3F">
        <w:rPr>
          <w:rFonts w:ascii="Times New Roman" w:hAnsi="Times New Roman" w:cs="Times New Roman"/>
          <w:sz w:val="24"/>
          <w:szCs w:val="24"/>
        </w:rPr>
        <w:t xml:space="preserve"> relied</w:t>
      </w:r>
      <w:r w:rsidR="00B24FF7">
        <w:rPr>
          <w:rFonts w:ascii="Times New Roman" w:hAnsi="Times New Roman" w:cs="Times New Roman"/>
          <w:sz w:val="24"/>
          <w:szCs w:val="24"/>
        </w:rPr>
        <w:t xml:space="preserve"> on the illegality of the </w:t>
      </w:r>
      <w:r w:rsidR="00C10EE1">
        <w:rPr>
          <w:rFonts w:ascii="Times New Roman" w:hAnsi="Times New Roman" w:cs="Times New Roman"/>
          <w:sz w:val="24"/>
          <w:szCs w:val="24"/>
        </w:rPr>
        <w:t xml:space="preserve">transaction </w:t>
      </w:r>
      <w:r w:rsidR="00644F49">
        <w:rPr>
          <w:rFonts w:ascii="Times New Roman" w:hAnsi="Times New Roman" w:cs="Times New Roman"/>
          <w:sz w:val="24"/>
          <w:szCs w:val="24"/>
        </w:rPr>
        <w:t xml:space="preserve">as a defence on one </w:t>
      </w:r>
      <w:r w:rsidR="00F47FC1">
        <w:rPr>
          <w:rFonts w:ascii="Times New Roman" w:hAnsi="Times New Roman" w:cs="Times New Roman"/>
          <w:sz w:val="24"/>
          <w:szCs w:val="24"/>
        </w:rPr>
        <w:t>h</w:t>
      </w:r>
      <w:r w:rsidR="00644F49">
        <w:rPr>
          <w:rFonts w:ascii="Times New Roman" w:hAnsi="Times New Roman" w:cs="Times New Roman"/>
          <w:sz w:val="24"/>
          <w:szCs w:val="24"/>
        </w:rPr>
        <w:t>and and that the Investment Agreement was not entered into with the first respondent but with Mcdowells International Properties Investments. The first respondent also denied that it was unjustly enriched to the tune of US$1</w:t>
      </w:r>
      <w:r w:rsidR="00ED5F3F">
        <w:rPr>
          <w:rFonts w:ascii="Times New Roman" w:hAnsi="Times New Roman" w:cs="Times New Roman"/>
          <w:sz w:val="24"/>
          <w:szCs w:val="24"/>
        </w:rPr>
        <w:t xml:space="preserve"> </w:t>
      </w:r>
      <w:r w:rsidR="00644F49">
        <w:rPr>
          <w:rFonts w:ascii="Times New Roman" w:hAnsi="Times New Roman" w:cs="Times New Roman"/>
          <w:sz w:val="24"/>
          <w:szCs w:val="24"/>
        </w:rPr>
        <w:t>62</w:t>
      </w:r>
      <w:r w:rsidR="00ED5F3F">
        <w:rPr>
          <w:rFonts w:ascii="Times New Roman" w:hAnsi="Times New Roman" w:cs="Times New Roman"/>
          <w:sz w:val="24"/>
          <w:szCs w:val="24"/>
        </w:rPr>
        <w:t>8</w:t>
      </w:r>
      <w:r w:rsidR="00644F49">
        <w:rPr>
          <w:rFonts w:ascii="Times New Roman" w:hAnsi="Times New Roman" w:cs="Times New Roman"/>
          <w:sz w:val="24"/>
          <w:szCs w:val="24"/>
        </w:rPr>
        <w:t xml:space="preserve"> </w:t>
      </w:r>
      <w:r w:rsidR="00ED5F3F">
        <w:rPr>
          <w:rFonts w:ascii="Times New Roman" w:hAnsi="Times New Roman" w:cs="Times New Roman"/>
          <w:sz w:val="24"/>
          <w:szCs w:val="24"/>
        </w:rPr>
        <w:t>704</w:t>
      </w:r>
      <w:r w:rsidR="00644F49">
        <w:rPr>
          <w:rFonts w:ascii="Times New Roman" w:hAnsi="Times New Roman" w:cs="Times New Roman"/>
          <w:sz w:val="24"/>
          <w:szCs w:val="24"/>
        </w:rPr>
        <w:t xml:space="preserve">-28. As regards immovable property </w:t>
      </w:r>
      <w:r w:rsidR="00ED5F3F">
        <w:rPr>
          <w:rFonts w:ascii="Times New Roman" w:hAnsi="Times New Roman" w:cs="Times New Roman"/>
          <w:sz w:val="24"/>
          <w:szCs w:val="24"/>
        </w:rPr>
        <w:t xml:space="preserve">the </w:t>
      </w:r>
      <w:r w:rsidR="00644F49">
        <w:rPr>
          <w:rFonts w:ascii="Times New Roman" w:hAnsi="Times New Roman" w:cs="Times New Roman"/>
          <w:sz w:val="24"/>
          <w:szCs w:val="24"/>
        </w:rPr>
        <w:t xml:space="preserve">applicant wanted to be declared executable, it was submitted that the properties were not executable since they were never surrendered to </w:t>
      </w:r>
      <w:r w:rsidR="00ED5F3F">
        <w:rPr>
          <w:rFonts w:ascii="Times New Roman" w:hAnsi="Times New Roman" w:cs="Times New Roman"/>
          <w:sz w:val="24"/>
          <w:szCs w:val="24"/>
        </w:rPr>
        <w:t xml:space="preserve">the </w:t>
      </w:r>
      <w:r w:rsidR="00644F49">
        <w:rPr>
          <w:rFonts w:ascii="Times New Roman" w:hAnsi="Times New Roman" w:cs="Times New Roman"/>
          <w:sz w:val="24"/>
          <w:szCs w:val="24"/>
        </w:rPr>
        <w:t>applicant as security.</w:t>
      </w:r>
    </w:p>
    <w:p w:rsidR="008E7298" w:rsidRDefault="00615350" w:rsidP="00644F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w:t>
      </w:r>
      <w:r w:rsidR="00ED5F3F">
        <w:rPr>
          <w:rFonts w:ascii="Times New Roman" w:hAnsi="Times New Roman" w:cs="Times New Roman"/>
          <w:sz w:val="24"/>
          <w:szCs w:val="24"/>
        </w:rPr>
        <w:t>real</w:t>
      </w:r>
      <w:r>
        <w:rPr>
          <w:rFonts w:ascii="Times New Roman" w:hAnsi="Times New Roman" w:cs="Times New Roman"/>
          <w:sz w:val="24"/>
          <w:szCs w:val="24"/>
        </w:rPr>
        <w:t xml:space="preserve"> issues are:</w:t>
      </w:r>
    </w:p>
    <w:p w:rsidR="00615350" w:rsidRDefault="00615350" w:rsidP="006153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Investment Agreement was unlawful</w:t>
      </w:r>
    </w:p>
    <w:p w:rsidR="00615350" w:rsidRDefault="00615350" w:rsidP="006153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w:t>
      </w:r>
      <w:r w:rsidRPr="007D2E0D">
        <w:rPr>
          <w:rFonts w:ascii="Times New Roman" w:hAnsi="Times New Roman" w:cs="Times New Roman"/>
          <w:i/>
          <w:sz w:val="24"/>
          <w:szCs w:val="24"/>
        </w:rPr>
        <w:t>par</w:t>
      </w:r>
      <w:r w:rsidR="00ED5F3F">
        <w:rPr>
          <w:rFonts w:ascii="Times New Roman" w:hAnsi="Times New Roman" w:cs="Times New Roman"/>
          <w:i/>
          <w:sz w:val="24"/>
          <w:szCs w:val="24"/>
        </w:rPr>
        <w:t>i</w:t>
      </w:r>
      <w:r w:rsidRPr="007D2E0D">
        <w:rPr>
          <w:rFonts w:ascii="Times New Roman" w:hAnsi="Times New Roman" w:cs="Times New Roman"/>
          <w:i/>
          <w:sz w:val="24"/>
          <w:szCs w:val="24"/>
        </w:rPr>
        <w:t xml:space="preserve"> delict</w:t>
      </w:r>
      <w:r w:rsidR="007D2E0D" w:rsidRPr="007D2E0D">
        <w:rPr>
          <w:rFonts w:ascii="Times New Roman" w:hAnsi="Times New Roman" w:cs="Times New Roman"/>
          <w:i/>
          <w:sz w:val="24"/>
          <w:szCs w:val="24"/>
        </w:rPr>
        <w:t>um</w:t>
      </w:r>
      <w:r>
        <w:rPr>
          <w:rFonts w:ascii="Times New Roman" w:hAnsi="Times New Roman" w:cs="Times New Roman"/>
          <w:sz w:val="24"/>
          <w:szCs w:val="24"/>
        </w:rPr>
        <w:t xml:space="preserve"> rule should be relaxed</w:t>
      </w:r>
    </w:p>
    <w:p w:rsidR="00615350" w:rsidRDefault="00615350" w:rsidP="006153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first respondent has a </w:t>
      </w:r>
      <w:r>
        <w:rPr>
          <w:rFonts w:ascii="Times New Roman" w:hAnsi="Times New Roman" w:cs="Times New Roman"/>
          <w:i/>
          <w:sz w:val="24"/>
          <w:szCs w:val="24"/>
        </w:rPr>
        <w:t>bona fide</w:t>
      </w:r>
      <w:r>
        <w:rPr>
          <w:rFonts w:ascii="Times New Roman" w:hAnsi="Times New Roman" w:cs="Times New Roman"/>
          <w:sz w:val="24"/>
          <w:szCs w:val="24"/>
        </w:rPr>
        <w:t xml:space="preserve"> defence.</w:t>
      </w:r>
    </w:p>
    <w:p w:rsidR="00F47FC1" w:rsidRDefault="00615350" w:rsidP="0061535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first issue is easier to dispose</w:t>
      </w:r>
      <w:r w:rsidR="00F47FC1">
        <w:rPr>
          <w:rFonts w:ascii="Times New Roman" w:hAnsi="Times New Roman" w:cs="Times New Roman"/>
          <w:sz w:val="24"/>
          <w:szCs w:val="24"/>
        </w:rPr>
        <w:t xml:space="preserve"> of</w:t>
      </w:r>
      <w:r>
        <w:rPr>
          <w:rFonts w:ascii="Times New Roman" w:hAnsi="Times New Roman" w:cs="Times New Roman"/>
          <w:sz w:val="24"/>
          <w:szCs w:val="24"/>
        </w:rPr>
        <w:t xml:space="preserve">. The argument here is that the first respondent </w:t>
      </w:r>
    </w:p>
    <w:p w:rsidR="007D2E0D" w:rsidRDefault="00615350" w:rsidP="00615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never licensed as a banker. It is common cause that it was a licensed money lender. Therefore when it took deposits from the applicant, this was unlawful in that it amounted</w:t>
      </w:r>
      <w:r w:rsidR="007D2E0D">
        <w:rPr>
          <w:rFonts w:ascii="Times New Roman" w:hAnsi="Times New Roman" w:cs="Times New Roman"/>
          <w:sz w:val="24"/>
          <w:szCs w:val="24"/>
        </w:rPr>
        <w:t xml:space="preserve"> to a contravention of ss 5 and 7 of the Banking Act </w:t>
      </w:r>
      <w:r w:rsidR="00F47FC1">
        <w:rPr>
          <w:rFonts w:ascii="Times New Roman" w:hAnsi="Times New Roman" w:cs="Times New Roman"/>
          <w:sz w:val="24"/>
          <w:szCs w:val="24"/>
        </w:rPr>
        <w:t>[</w:t>
      </w:r>
      <w:r w:rsidR="00F47FC1">
        <w:rPr>
          <w:rFonts w:ascii="Times New Roman" w:hAnsi="Times New Roman" w:cs="Times New Roman"/>
          <w:i/>
          <w:sz w:val="24"/>
          <w:szCs w:val="24"/>
        </w:rPr>
        <w:t>Cap24:20</w:t>
      </w:r>
      <w:r w:rsidR="00F47FC1">
        <w:rPr>
          <w:rFonts w:ascii="Times New Roman" w:hAnsi="Times New Roman" w:cs="Times New Roman"/>
          <w:sz w:val="24"/>
          <w:szCs w:val="24"/>
        </w:rPr>
        <w:t>]</w:t>
      </w:r>
      <w:r w:rsidR="007D2E0D">
        <w:rPr>
          <w:rFonts w:ascii="Times New Roman" w:hAnsi="Times New Roman" w:cs="Times New Roman"/>
          <w:sz w:val="24"/>
          <w:szCs w:val="24"/>
        </w:rPr>
        <w:t>. The first respondent’s money lending licence was subsequently cancelled.</w:t>
      </w:r>
    </w:p>
    <w:p w:rsidR="00CE7772" w:rsidRDefault="007D2E0D" w:rsidP="00615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Govere</w:t>
      </w:r>
      <w:r>
        <w:rPr>
          <w:rFonts w:ascii="Times New Roman" w:hAnsi="Times New Roman" w:cs="Times New Roman"/>
          <w:sz w:val="24"/>
          <w:szCs w:val="24"/>
        </w:rPr>
        <w:t xml:space="preserve">, for the applicant conceded properly in my view that the Investment Agreement was illegal. He however quickly pointed out that the court should use its discretion to relax the in </w:t>
      </w:r>
      <w:r w:rsidRPr="007D2E0D">
        <w:rPr>
          <w:rFonts w:ascii="Times New Roman" w:hAnsi="Times New Roman" w:cs="Times New Roman"/>
          <w:i/>
          <w:sz w:val="24"/>
          <w:szCs w:val="24"/>
        </w:rPr>
        <w:t>par</w:t>
      </w:r>
      <w:r w:rsidR="00ED5F3F">
        <w:rPr>
          <w:rFonts w:ascii="Times New Roman" w:hAnsi="Times New Roman" w:cs="Times New Roman"/>
          <w:i/>
          <w:sz w:val="24"/>
          <w:szCs w:val="24"/>
        </w:rPr>
        <w:t>i</w:t>
      </w:r>
      <w:r w:rsidRPr="007D2E0D">
        <w:rPr>
          <w:rFonts w:ascii="Times New Roman" w:hAnsi="Times New Roman" w:cs="Times New Roman"/>
          <w:i/>
          <w:sz w:val="24"/>
          <w:szCs w:val="24"/>
        </w:rPr>
        <w:t xml:space="preserve"> delictum</w:t>
      </w:r>
      <w:r>
        <w:rPr>
          <w:rFonts w:ascii="Times New Roman" w:hAnsi="Times New Roman" w:cs="Times New Roman"/>
          <w:sz w:val="24"/>
          <w:szCs w:val="24"/>
        </w:rPr>
        <w:t xml:space="preserve"> rule in order “to do justice between man and man”. From the submissions of both parties, it is quite clear the agreement was unlawful. It is trite that anything done contrary to a direct statutory prohibition is generally void and of no legal effect. It is also an establi</w:t>
      </w:r>
      <w:r w:rsidR="00083172">
        <w:rPr>
          <w:rFonts w:ascii="Times New Roman" w:hAnsi="Times New Roman" w:cs="Times New Roman"/>
          <w:sz w:val="24"/>
          <w:szCs w:val="24"/>
        </w:rPr>
        <w:t xml:space="preserve">shed principle of our law that if a transaction is found to be tainted with illegality, it will be necessary to consider the relevant facts surrounding its conclusion as well as the respective degrees of turpitude attributable to the parties in order to determine the extent of its illegality and its enforceability under the </w:t>
      </w:r>
      <w:r w:rsidR="00083172" w:rsidRPr="00083172">
        <w:rPr>
          <w:rFonts w:ascii="Times New Roman" w:hAnsi="Times New Roman" w:cs="Times New Roman"/>
          <w:i/>
          <w:sz w:val="24"/>
          <w:szCs w:val="24"/>
        </w:rPr>
        <w:t>par</w:t>
      </w:r>
      <w:r w:rsidR="00D94983">
        <w:rPr>
          <w:rFonts w:ascii="Times New Roman" w:hAnsi="Times New Roman" w:cs="Times New Roman"/>
          <w:i/>
          <w:sz w:val="24"/>
          <w:szCs w:val="24"/>
        </w:rPr>
        <w:t>i</w:t>
      </w:r>
      <w:r w:rsidR="00083172" w:rsidRPr="00083172">
        <w:rPr>
          <w:rFonts w:ascii="Times New Roman" w:hAnsi="Times New Roman" w:cs="Times New Roman"/>
          <w:i/>
          <w:sz w:val="24"/>
          <w:szCs w:val="24"/>
        </w:rPr>
        <w:t xml:space="preserve"> delictum</w:t>
      </w:r>
      <w:r w:rsidR="00083172">
        <w:rPr>
          <w:rFonts w:ascii="Times New Roman" w:hAnsi="Times New Roman" w:cs="Times New Roman"/>
          <w:sz w:val="24"/>
          <w:szCs w:val="24"/>
        </w:rPr>
        <w:t xml:space="preserve"> rule -  </w:t>
      </w:r>
      <w:r w:rsidR="00A159E5">
        <w:rPr>
          <w:rFonts w:ascii="Times New Roman" w:hAnsi="Times New Roman" w:cs="Times New Roman"/>
          <w:sz w:val="24"/>
          <w:szCs w:val="24"/>
        </w:rPr>
        <w:t xml:space="preserve">See </w:t>
      </w:r>
      <w:r w:rsidR="00A159E5">
        <w:rPr>
          <w:rFonts w:ascii="Times New Roman" w:hAnsi="Times New Roman" w:cs="Times New Roman"/>
          <w:i/>
          <w:sz w:val="24"/>
          <w:szCs w:val="24"/>
        </w:rPr>
        <w:t xml:space="preserve">Young </w:t>
      </w:r>
      <w:r w:rsidR="00A159E5">
        <w:rPr>
          <w:rFonts w:ascii="Times New Roman" w:hAnsi="Times New Roman" w:cs="Times New Roman"/>
          <w:sz w:val="24"/>
          <w:szCs w:val="24"/>
        </w:rPr>
        <w:t xml:space="preserve">v </w:t>
      </w:r>
      <w:r w:rsidR="00A159E5">
        <w:rPr>
          <w:rFonts w:ascii="Times New Roman" w:hAnsi="Times New Roman" w:cs="Times New Roman"/>
          <w:i/>
          <w:sz w:val="24"/>
          <w:szCs w:val="24"/>
        </w:rPr>
        <w:t xml:space="preserve">van Rensbung </w:t>
      </w:r>
      <w:r w:rsidR="00A159E5">
        <w:rPr>
          <w:rFonts w:ascii="Times New Roman" w:hAnsi="Times New Roman" w:cs="Times New Roman"/>
          <w:sz w:val="24"/>
          <w:szCs w:val="24"/>
        </w:rPr>
        <w:t>1991(2)</w:t>
      </w:r>
      <w:r w:rsidR="00CE7772">
        <w:rPr>
          <w:rFonts w:ascii="Times New Roman" w:hAnsi="Times New Roman" w:cs="Times New Roman"/>
          <w:sz w:val="24"/>
          <w:szCs w:val="24"/>
        </w:rPr>
        <w:t xml:space="preserve"> ZLR 149(SC) at pp 156-157 and </w:t>
      </w:r>
      <w:r w:rsidR="00CE7772">
        <w:rPr>
          <w:rFonts w:ascii="Times New Roman" w:hAnsi="Times New Roman" w:cs="Times New Roman"/>
          <w:i/>
          <w:sz w:val="24"/>
          <w:szCs w:val="24"/>
        </w:rPr>
        <w:t xml:space="preserve">Hattingh &amp; Ors </w:t>
      </w:r>
      <w:r w:rsidR="00CE7772">
        <w:rPr>
          <w:rFonts w:ascii="Times New Roman" w:hAnsi="Times New Roman" w:cs="Times New Roman"/>
          <w:sz w:val="24"/>
          <w:szCs w:val="24"/>
        </w:rPr>
        <w:t xml:space="preserve">v </w:t>
      </w:r>
      <w:r w:rsidR="00CE7772">
        <w:rPr>
          <w:rFonts w:ascii="Times New Roman" w:hAnsi="Times New Roman" w:cs="Times New Roman"/>
          <w:i/>
          <w:sz w:val="24"/>
          <w:szCs w:val="24"/>
        </w:rPr>
        <w:t>van Kleek</w:t>
      </w:r>
      <w:r w:rsidR="00CE7772">
        <w:rPr>
          <w:rFonts w:ascii="Times New Roman" w:hAnsi="Times New Roman" w:cs="Times New Roman"/>
          <w:sz w:val="24"/>
          <w:szCs w:val="24"/>
        </w:rPr>
        <w:t xml:space="preserve"> 1997 (2) ZLR 240 (S) at p 246.</w:t>
      </w:r>
    </w:p>
    <w:p w:rsidR="00B72D69" w:rsidRDefault="00CE7772" w:rsidP="00615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Dube </w:t>
      </w:r>
      <w:r>
        <w:rPr>
          <w:rFonts w:ascii="Times New Roman" w:hAnsi="Times New Roman" w:cs="Times New Roman"/>
          <w:sz w:val="24"/>
          <w:szCs w:val="24"/>
        </w:rPr>
        <w:t xml:space="preserve">v </w:t>
      </w:r>
      <w:r w:rsidR="00A54FA3">
        <w:rPr>
          <w:rFonts w:ascii="Times New Roman" w:hAnsi="Times New Roman" w:cs="Times New Roman"/>
          <w:i/>
          <w:sz w:val="24"/>
          <w:szCs w:val="24"/>
        </w:rPr>
        <w:t xml:space="preserve">Khumalo </w:t>
      </w:r>
      <w:r w:rsidR="00A54FA3">
        <w:rPr>
          <w:rFonts w:ascii="Times New Roman" w:hAnsi="Times New Roman" w:cs="Times New Roman"/>
          <w:sz w:val="24"/>
          <w:szCs w:val="24"/>
        </w:rPr>
        <w:t>1986 (2) ZLR 103 (S)</w:t>
      </w:r>
      <w:r w:rsidR="00B72D69">
        <w:rPr>
          <w:rFonts w:ascii="Times New Roman" w:hAnsi="Times New Roman" w:cs="Times New Roman"/>
          <w:sz w:val="24"/>
          <w:szCs w:val="24"/>
        </w:rPr>
        <w:t xml:space="preserve"> GUBBAY JA (as he then was) said at p 109 D-G:-</w:t>
      </w:r>
    </w:p>
    <w:p w:rsidR="005631D8" w:rsidRDefault="00B72D69" w:rsidP="00B72D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are two rules which are of general application: the first is that an illegal agreement which has not yet been performed either in whole or in part, </w:t>
      </w:r>
      <w:r w:rsidR="00027A97">
        <w:rPr>
          <w:rFonts w:ascii="Times New Roman" w:hAnsi="Times New Roman" w:cs="Times New Roman"/>
          <w:sz w:val="24"/>
          <w:szCs w:val="24"/>
        </w:rPr>
        <w:t xml:space="preserve">will </w:t>
      </w:r>
      <w:r>
        <w:rPr>
          <w:rFonts w:ascii="Times New Roman" w:hAnsi="Times New Roman" w:cs="Times New Roman"/>
          <w:sz w:val="24"/>
          <w:szCs w:val="24"/>
        </w:rPr>
        <w:t xml:space="preserve">never be enforced. This rule is absolute and admits no exception. See </w:t>
      </w:r>
      <w:r>
        <w:rPr>
          <w:rFonts w:ascii="Times New Roman" w:hAnsi="Times New Roman" w:cs="Times New Roman"/>
          <w:i/>
          <w:sz w:val="24"/>
          <w:szCs w:val="24"/>
        </w:rPr>
        <w:t xml:space="preserve">Mattews </w:t>
      </w:r>
      <w:r>
        <w:rPr>
          <w:rFonts w:ascii="Times New Roman" w:hAnsi="Times New Roman" w:cs="Times New Roman"/>
          <w:sz w:val="24"/>
          <w:szCs w:val="24"/>
        </w:rPr>
        <w:t xml:space="preserve">v </w:t>
      </w:r>
      <w:r>
        <w:rPr>
          <w:rFonts w:ascii="Times New Roman" w:hAnsi="Times New Roman" w:cs="Times New Roman"/>
          <w:i/>
          <w:sz w:val="24"/>
          <w:szCs w:val="24"/>
        </w:rPr>
        <w:t xml:space="preserve">Rabinowitz </w:t>
      </w:r>
      <w:r>
        <w:rPr>
          <w:rFonts w:ascii="Times New Roman" w:hAnsi="Times New Roman" w:cs="Times New Roman"/>
          <w:sz w:val="24"/>
          <w:szCs w:val="24"/>
        </w:rPr>
        <w:t xml:space="preserve">1948 (2) SA 879 @ 878; </w:t>
      </w:r>
      <w:r>
        <w:rPr>
          <w:rFonts w:ascii="Times New Roman" w:hAnsi="Times New Roman" w:cs="Times New Roman"/>
          <w:i/>
          <w:sz w:val="24"/>
          <w:szCs w:val="24"/>
        </w:rPr>
        <w:t xml:space="preserve">York Estates Ltd </w:t>
      </w:r>
      <w:r>
        <w:rPr>
          <w:rFonts w:ascii="Times New Roman" w:hAnsi="Times New Roman" w:cs="Times New Roman"/>
          <w:sz w:val="24"/>
          <w:szCs w:val="24"/>
        </w:rPr>
        <w:t xml:space="preserve">v </w:t>
      </w:r>
      <w:r>
        <w:rPr>
          <w:rFonts w:ascii="Times New Roman" w:hAnsi="Times New Roman" w:cs="Times New Roman"/>
          <w:i/>
          <w:sz w:val="24"/>
          <w:szCs w:val="24"/>
        </w:rPr>
        <w:t xml:space="preserve">Wareham </w:t>
      </w:r>
      <w:r>
        <w:rPr>
          <w:rFonts w:ascii="Times New Roman" w:hAnsi="Times New Roman" w:cs="Times New Roman"/>
          <w:sz w:val="24"/>
          <w:szCs w:val="24"/>
        </w:rPr>
        <w:t xml:space="preserve">1950 (1) SA 1255R @ 128, 1949 SR 197. It is expressed in the maxim </w:t>
      </w:r>
      <w:r>
        <w:rPr>
          <w:rFonts w:ascii="Times New Roman" w:hAnsi="Times New Roman" w:cs="Times New Roman"/>
          <w:i/>
          <w:sz w:val="24"/>
          <w:szCs w:val="24"/>
        </w:rPr>
        <w:t>exturpi causa non oritur</w:t>
      </w:r>
      <w:r>
        <w:rPr>
          <w:rFonts w:ascii="Times New Roman" w:hAnsi="Times New Roman" w:cs="Times New Roman"/>
          <w:sz w:val="24"/>
          <w:szCs w:val="24"/>
        </w:rPr>
        <w:t xml:space="preserve"> action. The second is expressed in another maxim in </w:t>
      </w:r>
      <w:r w:rsidRPr="00B72D69">
        <w:rPr>
          <w:rFonts w:ascii="Times New Roman" w:hAnsi="Times New Roman" w:cs="Times New Roman"/>
          <w:i/>
          <w:sz w:val="24"/>
          <w:szCs w:val="24"/>
        </w:rPr>
        <w:t>pari delicto potcor est</w:t>
      </w:r>
      <w:r w:rsidR="00CE7772">
        <w:rPr>
          <w:rFonts w:ascii="Times New Roman" w:hAnsi="Times New Roman" w:cs="Times New Roman"/>
          <w:sz w:val="24"/>
          <w:szCs w:val="24"/>
        </w:rPr>
        <w:t xml:space="preserve"> </w:t>
      </w:r>
      <w:r>
        <w:rPr>
          <w:rFonts w:ascii="Times New Roman" w:hAnsi="Times New Roman" w:cs="Times New Roman"/>
          <w:sz w:val="24"/>
          <w:szCs w:val="24"/>
        </w:rPr>
        <w:t xml:space="preserve">condition </w:t>
      </w:r>
      <w:r w:rsidRPr="00B72D69">
        <w:rPr>
          <w:rFonts w:ascii="Times New Roman" w:hAnsi="Times New Roman" w:cs="Times New Roman"/>
          <w:i/>
          <w:sz w:val="24"/>
          <w:szCs w:val="24"/>
        </w:rPr>
        <w:t>possidentis</w:t>
      </w:r>
      <w:r>
        <w:rPr>
          <w:rFonts w:ascii="Times New Roman" w:hAnsi="Times New Roman" w:cs="Times New Roman"/>
          <w:sz w:val="24"/>
          <w:szCs w:val="24"/>
        </w:rPr>
        <w:t xml:space="preserve"> which may be translated as meaning ‘where the parties are equally wrong, he who is in possession will prevail’. The effect of this rule is that where something has been delivered pursuant to an illegal agreement the loss li</w:t>
      </w:r>
      <w:r w:rsidR="00FD1B24">
        <w:rPr>
          <w:rFonts w:ascii="Times New Roman" w:hAnsi="Times New Roman" w:cs="Times New Roman"/>
          <w:sz w:val="24"/>
          <w:szCs w:val="24"/>
        </w:rPr>
        <w:t>e</w:t>
      </w:r>
      <w:r>
        <w:rPr>
          <w:rFonts w:ascii="Times New Roman" w:hAnsi="Times New Roman" w:cs="Times New Roman"/>
          <w:sz w:val="24"/>
          <w:szCs w:val="24"/>
        </w:rPr>
        <w:t>s where it falls. The objective of the rule is to discourage illegality by denying judicial ass</w:t>
      </w:r>
      <w:r w:rsidR="00FD1B24">
        <w:rPr>
          <w:rFonts w:ascii="Times New Roman" w:hAnsi="Times New Roman" w:cs="Times New Roman"/>
          <w:sz w:val="24"/>
          <w:szCs w:val="24"/>
        </w:rPr>
        <w:t xml:space="preserve">istance to persons who part with money, goods or incorporeal rights, in furtherance of illegal transactions. But in suitable cases the courts will relax the </w:t>
      </w:r>
      <w:r w:rsidR="00FD1B24" w:rsidRPr="00FD1B24">
        <w:rPr>
          <w:rFonts w:ascii="Times New Roman" w:hAnsi="Times New Roman" w:cs="Times New Roman"/>
          <w:i/>
          <w:sz w:val="24"/>
          <w:szCs w:val="24"/>
        </w:rPr>
        <w:t xml:space="preserve">par delictum </w:t>
      </w:r>
      <w:r w:rsidR="00FD1B24">
        <w:rPr>
          <w:rFonts w:ascii="Times New Roman" w:hAnsi="Times New Roman" w:cs="Times New Roman"/>
          <w:sz w:val="24"/>
          <w:szCs w:val="24"/>
        </w:rPr>
        <w:t>rule and order rest</w:t>
      </w:r>
      <w:r w:rsidR="00F47FC1">
        <w:rPr>
          <w:rFonts w:ascii="Times New Roman" w:hAnsi="Times New Roman" w:cs="Times New Roman"/>
          <w:sz w:val="24"/>
          <w:szCs w:val="24"/>
        </w:rPr>
        <w:t>itution</w:t>
      </w:r>
      <w:r w:rsidR="00FD1B24">
        <w:rPr>
          <w:rFonts w:ascii="Times New Roman" w:hAnsi="Times New Roman" w:cs="Times New Roman"/>
          <w:sz w:val="24"/>
          <w:szCs w:val="24"/>
        </w:rPr>
        <w:t xml:space="preserve"> to be made. They will do so in order to prevent injustice on the basis that public policy ‘should properly take into account the doing of simple justice between man and man”. </w:t>
      </w:r>
    </w:p>
    <w:p w:rsidR="005631D8" w:rsidRDefault="005631D8" w:rsidP="005631D8">
      <w:pPr>
        <w:spacing w:after="0" w:line="240" w:lineRule="auto"/>
        <w:jc w:val="both"/>
        <w:rPr>
          <w:rFonts w:ascii="Times New Roman" w:hAnsi="Times New Roman" w:cs="Times New Roman"/>
          <w:sz w:val="24"/>
          <w:szCs w:val="24"/>
        </w:rPr>
      </w:pPr>
    </w:p>
    <w:p w:rsidR="005631D8" w:rsidRDefault="005631D8" w:rsidP="0056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deciding where the justice of the matter lies, it is proper to consider that if the relief were to be refused to the </w:t>
      </w:r>
      <w:r w:rsidR="00BA1896">
        <w:rPr>
          <w:rFonts w:ascii="Times New Roman" w:hAnsi="Times New Roman" w:cs="Times New Roman"/>
          <w:sz w:val="24"/>
          <w:szCs w:val="24"/>
        </w:rPr>
        <w:t>applicant</w:t>
      </w:r>
      <w:r>
        <w:rPr>
          <w:rFonts w:ascii="Times New Roman" w:hAnsi="Times New Roman" w:cs="Times New Roman"/>
          <w:sz w:val="24"/>
          <w:szCs w:val="24"/>
        </w:rPr>
        <w:t xml:space="preserve"> the </w:t>
      </w:r>
      <w:r w:rsidR="00BA1896">
        <w:rPr>
          <w:rFonts w:ascii="Times New Roman" w:hAnsi="Times New Roman" w:cs="Times New Roman"/>
          <w:sz w:val="24"/>
          <w:szCs w:val="24"/>
        </w:rPr>
        <w:t>respondent</w:t>
      </w:r>
      <w:r>
        <w:rPr>
          <w:rFonts w:ascii="Times New Roman" w:hAnsi="Times New Roman" w:cs="Times New Roman"/>
          <w:sz w:val="24"/>
          <w:szCs w:val="24"/>
        </w:rPr>
        <w:t xml:space="preserve"> would be unjustly enriched at his expense. The requirements for liability under the unjust enrichment doctrine were crisply stated by NDOU J in </w:t>
      </w:r>
      <w:r>
        <w:rPr>
          <w:rFonts w:ascii="Times New Roman" w:hAnsi="Times New Roman" w:cs="Times New Roman"/>
          <w:i/>
          <w:sz w:val="24"/>
          <w:szCs w:val="24"/>
        </w:rPr>
        <w:t xml:space="preserve">Goncalves </w:t>
      </w:r>
      <w:r>
        <w:rPr>
          <w:rFonts w:ascii="Times New Roman" w:hAnsi="Times New Roman" w:cs="Times New Roman"/>
          <w:sz w:val="24"/>
          <w:szCs w:val="24"/>
        </w:rPr>
        <w:t xml:space="preserve">v </w:t>
      </w:r>
      <w:r>
        <w:rPr>
          <w:rFonts w:ascii="Times New Roman" w:hAnsi="Times New Roman" w:cs="Times New Roman"/>
          <w:i/>
          <w:sz w:val="24"/>
          <w:szCs w:val="24"/>
        </w:rPr>
        <w:t>Rodrig</w:t>
      </w:r>
      <w:r w:rsidR="00BA1896">
        <w:rPr>
          <w:rFonts w:ascii="Times New Roman" w:hAnsi="Times New Roman" w:cs="Times New Roman"/>
          <w:i/>
          <w:sz w:val="24"/>
          <w:szCs w:val="24"/>
        </w:rPr>
        <w:t>u</w:t>
      </w:r>
      <w:r>
        <w:rPr>
          <w:rFonts w:ascii="Times New Roman" w:hAnsi="Times New Roman" w:cs="Times New Roman"/>
          <w:i/>
          <w:sz w:val="24"/>
          <w:szCs w:val="24"/>
        </w:rPr>
        <w:t xml:space="preserve">es </w:t>
      </w:r>
      <w:r>
        <w:rPr>
          <w:rFonts w:ascii="Times New Roman" w:hAnsi="Times New Roman" w:cs="Times New Roman"/>
          <w:sz w:val="24"/>
          <w:szCs w:val="24"/>
        </w:rPr>
        <w:t>2004 (1) ZLR 122 (H) at p 136 as;</w:t>
      </w:r>
    </w:p>
    <w:p w:rsidR="005631D8" w:rsidRPr="00BA1896" w:rsidRDefault="00BA1896" w:rsidP="00BA18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5631D8" w:rsidRPr="00BA1896">
        <w:rPr>
          <w:rFonts w:ascii="Times New Roman" w:hAnsi="Times New Roman" w:cs="Times New Roman"/>
          <w:sz w:val="24"/>
          <w:szCs w:val="24"/>
        </w:rPr>
        <w:t>the defendant must be enriched</w:t>
      </w:r>
    </w:p>
    <w:p w:rsidR="005631D8" w:rsidRPr="00BA1896" w:rsidRDefault="005631D8" w:rsidP="00BA1896">
      <w:pPr>
        <w:pStyle w:val="ListParagraph"/>
        <w:numPr>
          <w:ilvl w:val="0"/>
          <w:numId w:val="8"/>
        </w:numPr>
        <w:spacing w:after="0" w:line="360" w:lineRule="auto"/>
        <w:jc w:val="both"/>
        <w:rPr>
          <w:rFonts w:ascii="Times New Roman" w:hAnsi="Times New Roman" w:cs="Times New Roman"/>
          <w:sz w:val="24"/>
          <w:szCs w:val="24"/>
        </w:rPr>
      </w:pPr>
      <w:r w:rsidRPr="00BA1896">
        <w:rPr>
          <w:rFonts w:ascii="Times New Roman" w:hAnsi="Times New Roman" w:cs="Times New Roman"/>
          <w:sz w:val="24"/>
          <w:szCs w:val="24"/>
        </w:rPr>
        <w:t xml:space="preserve">the plaintiff must have been impoverished by the enrichment of the defendant  </w:t>
      </w:r>
    </w:p>
    <w:p w:rsidR="005631D8" w:rsidRPr="00BA1896" w:rsidRDefault="00BA1896" w:rsidP="00BA189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631D8" w:rsidRPr="00BA1896">
        <w:rPr>
          <w:rFonts w:ascii="Times New Roman" w:hAnsi="Times New Roman" w:cs="Times New Roman"/>
          <w:sz w:val="24"/>
          <w:szCs w:val="24"/>
        </w:rPr>
        <w:t xml:space="preserve">he enrichment must be unjustified, </w:t>
      </w:r>
    </w:p>
    <w:p w:rsidR="00CC269E" w:rsidRPr="00BA1896" w:rsidRDefault="005631D8" w:rsidP="00BA1896">
      <w:pPr>
        <w:pStyle w:val="ListParagraph"/>
        <w:numPr>
          <w:ilvl w:val="0"/>
          <w:numId w:val="8"/>
        </w:numPr>
        <w:spacing w:after="0" w:line="360" w:lineRule="auto"/>
        <w:jc w:val="both"/>
        <w:rPr>
          <w:rFonts w:ascii="Times New Roman" w:hAnsi="Times New Roman" w:cs="Times New Roman"/>
          <w:sz w:val="24"/>
          <w:szCs w:val="24"/>
        </w:rPr>
      </w:pPr>
      <w:r w:rsidRPr="00BA1896">
        <w:rPr>
          <w:rFonts w:ascii="Times New Roman" w:hAnsi="Times New Roman" w:cs="Times New Roman"/>
          <w:sz w:val="24"/>
          <w:szCs w:val="24"/>
        </w:rPr>
        <w:t xml:space="preserve">the enrichment should not come within the scope of one </w:t>
      </w:r>
      <w:r w:rsidR="00F47FC1" w:rsidRPr="00BA1896">
        <w:rPr>
          <w:rFonts w:ascii="Times New Roman" w:hAnsi="Times New Roman" w:cs="Times New Roman"/>
          <w:sz w:val="24"/>
          <w:szCs w:val="24"/>
        </w:rPr>
        <w:t>o</w:t>
      </w:r>
      <w:r w:rsidRPr="00BA1896">
        <w:rPr>
          <w:rFonts w:ascii="Times New Roman" w:hAnsi="Times New Roman" w:cs="Times New Roman"/>
          <w:sz w:val="24"/>
          <w:szCs w:val="24"/>
        </w:rPr>
        <w:t>f the classical</w:t>
      </w:r>
      <w:r w:rsidR="00CC269E" w:rsidRPr="00BA1896">
        <w:rPr>
          <w:rFonts w:ascii="Times New Roman" w:hAnsi="Times New Roman" w:cs="Times New Roman"/>
          <w:sz w:val="24"/>
          <w:szCs w:val="24"/>
        </w:rPr>
        <w:t xml:space="preserve"> enrichment actions; and </w:t>
      </w:r>
    </w:p>
    <w:p w:rsidR="0043229B" w:rsidRDefault="00CC269E" w:rsidP="00BA1896">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must be no positive rule of law which refuses an action to the impoverished person. See also </w:t>
      </w:r>
      <w:r>
        <w:rPr>
          <w:rFonts w:ascii="Times New Roman" w:hAnsi="Times New Roman" w:cs="Times New Roman"/>
          <w:i/>
          <w:sz w:val="24"/>
          <w:szCs w:val="24"/>
        </w:rPr>
        <w:t xml:space="preserve">Kommissaris van Binnelandse Inkomste en nAnder </w:t>
      </w:r>
      <w:r>
        <w:rPr>
          <w:rFonts w:ascii="Times New Roman" w:hAnsi="Times New Roman" w:cs="Times New Roman"/>
          <w:sz w:val="24"/>
          <w:szCs w:val="24"/>
        </w:rPr>
        <w:t xml:space="preserve">v </w:t>
      </w:r>
      <w:r>
        <w:rPr>
          <w:rFonts w:ascii="Times New Roman" w:hAnsi="Times New Roman" w:cs="Times New Roman"/>
          <w:i/>
          <w:sz w:val="24"/>
          <w:szCs w:val="24"/>
        </w:rPr>
        <w:t xml:space="preserve">Williers en Wndere </w:t>
      </w:r>
      <w:r>
        <w:rPr>
          <w:rFonts w:ascii="Times New Roman" w:hAnsi="Times New Roman" w:cs="Times New Roman"/>
          <w:sz w:val="24"/>
          <w:szCs w:val="24"/>
        </w:rPr>
        <w:t>1994 (3) SA 283 (A)</w:t>
      </w:r>
      <w:r w:rsidR="00F47FC1">
        <w:rPr>
          <w:rFonts w:ascii="Times New Roman" w:hAnsi="Times New Roman" w:cs="Times New Roman"/>
          <w:sz w:val="24"/>
          <w:szCs w:val="24"/>
        </w:rPr>
        <w:t>”</w:t>
      </w:r>
      <w:r>
        <w:rPr>
          <w:rFonts w:ascii="Times New Roman" w:hAnsi="Times New Roman" w:cs="Times New Roman"/>
          <w:sz w:val="24"/>
          <w:szCs w:val="24"/>
        </w:rPr>
        <w:t>.</w:t>
      </w:r>
    </w:p>
    <w:p w:rsidR="00973628" w:rsidRDefault="0043229B" w:rsidP="004322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it is abundantly clear that the </w:t>
      </w:r>
      <w:r w:rsidR="00E846D2">
        <w:rPr>
          <w:rFonts w:ascii="Times New Roman" w:hAnsi="Times New Roman" w:cs="Times New Roman"/>
          <w:sz w:val="24"/>
          <w:szCs w:val="24"/>
        </w:rPr>
        <w:t>applicant</w:t>
      </w:r>
      <w:r>
        <w:rPr>
          <w:rFonts w:ascii="Times New Roman" w:hAnsi="Times New Roman" w:cs="Times New Roman"/>
          <w:sz w:val="24"/>
          <w:szCs w:val="24"/>
        </w:rPr>
        <w:t xml:space="preserve"> duly gave the fi</w:t>
      </w:r>
      <w:r w:rsidR="00973628">
        <w:rPr>
          <w:rFonts w:ascii="Times New Roman" w:hAnsi="Times New Roman" w:cs="Times New Roman"/>
          <w:sz w:val="24"/>
          <w:szCs w:val="24"/>
        </w:rPr>
        <w:t>r</w:t>
      </w:r>
      <w:r>
        <w:rPr>
          <w:rFonts w:ascii="Times New Roman" w:hAnsi="Times New Roman" w:cs="Times New Roman"/>
          <w:sz w:val="24"/>
          <w:szCs w:val="24"/>
        </w:rPr>
        <w:t xml:space="preserve">st </w:t>
      </w:r>
      <w:r w:rsidR="00E846D2">
        <w:rPr>
          <w:rFonts w:ascii="Times New Roman" w:hAnsi="Times New Roman" w:cs="Times New Roman"/>
          <w:sz w:val="24"/>
          <w:szCs w:val="24"/>
        </w:rPr>
        <w:t xml:space="preserve">respondent </w:t>
      </w:r>
      <w:r>
        <w:rPr>
          <w:rFonts w:ascii="Times New Roman" w:hAnsi="Times New Roman" w:cs="Times New Roman"/>
          <w:sz w:val="24"/>
          <w:szCs w:val="24"/>
        </w:rPr>
        <w:t xml:space="preserve">the total </w:t>
      </w:r>
    </w:p>
    <w:p w:rsidR="00DD0242" w:rsidRDefault="0043229B" w:rsidP="00973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of $1 628 704-14 as at 20</w:t>
      </w:r>
      <w:r w:rsidRPr="0043229B">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2012. This amount was paid in terms of the Investment Agreement. The </w:t>
      </w:r>
      <w:r w:rsidR="00E846D2">
        <w:rPr>
          <w:rFonts w:ascii="Times New Roman" w:hAnsi="Times New Roman" w:cs="Times New Roman"/>
          <w:sz w:val="24"/>
          <w:szCs w:val="24"/>
        </w:rPr>
        <w:t>first respondent</w:t>
      </w:r>
      <w:r>
        <w:rPr>
          <w:rFonts w:ascii="Times New Roman" w:hAnsi="Times New Roman" w:cs="Times New Roman"/>
          <w:sz w:val="24"/>
          <w:szCs w:val="24"/>
        </w:rPr>
        <w:t xml:space="preserve"> received the money and used it for </w:t>
      </w:r>
      <w:r w:rsidR="00E846D2">
        <w:rPr>
          <w:rFonts w:ascii="Times New Roman" w:hAnsi="Times New Roman" w:cs="Times New Roman"/>
          <w:sz w:val="24"/>
          <w:szCs w:val="24"/>
        </w:rPr>
        <w:t>its</w:t>
      </w:r>
      <w:r>
        <w:rPr>
          <w:rFonts w:ascii="Times New Roman" w:hAnsi="Times New Roman" w:cs="Times New Roman"/>
          <w:sz w:val="24"/>
          <w:szCs w:val="24"/>
        </w:rPr>
        <w:t xml:space="preserve"> own purposes. Quite clearly</w:t>
      </w:r>
      <w:r w:rsidR="005229A5">
        <w:rPr>
          <w:rFonts w:ascii="Times New Roman" w:hAnsi="Times New Roman" w:cs="Times New Roman"/>
          <w:sz w:val="24"/>
          <w:szCs w:val="24"/>
        </w:rPr>
        <w:t xml:space="preserve"> the </w:t>
      </w:r>
      <w:r w:rsidR="00E846D2">
        <w:rPr>
          <w:rFonts w:ascii="Times New Roman" w:hAnsi="Times New Roman" w:cs="Times New Roman"/>
          <w:sz w:val="24"/>
          <w:szCs w:val="24"/>
        </w:rPr>
        <w:t>first respondent</w:t>
      </w:r>
      <w:r w:rsidR="005229A5">
        <w:rPr>
          <w:rFonts w:ascii="Times New Roman" w:hAnsi="Times New Roman" w:cs="Times New Roman"/>
          <w:sz w:val="24"/>
          <w:szCs w:val="24"/>
        </w:rPr>
        <w:t xml:space="preserve"> was enriched. As regards the second requirement, the </w:t>
      </w:r>
      <w:r w:rsidR="00043A44">
        <w:rPr>
          <w:rFonts w:ascii="Times New Roman" w:hAnsi="Times New Roman" w:cs="Times New Roman"/>
          <w:sz w:val="24"/>
          <w:szCs w:val="24"/>
        </w:rPr>
        <w:t>applicant</w:t>
      </w:r>
      <w:r w:rsidR="005229A5">
        <w:rPr>
          <w:rFonts w:ascii="Times New Roman" w:hAnsi="Times New Roman" w:cs="Times New Roman"/>
          <w:sz w:val="24"/>
          <w:szCs w:val="24"/>
        </w:rPr>
        <w:t xml:space="preserve"> gave the </w:t>
      </w:r>
      <w:r w:rsidR="00043A44">
        <w:rPr>
          <w:rFonts w:ascii="Times New Roman" w:hAnsi="Times New Roman" w:cs="Times New Roman"/>
          <w:sz w:val="24"/>
          <w:szCs w:val="24"/>
        </w:rPr>
        <w:t>first respondent</w:t>
      </w:r>
      <w:r w:rsidR="005229A5">
        <w:rPr>
          <w:rFonts w:ascii="Times New Roman" w:hAnsi="Times New Roman" w:cs="Times New Roman"/>
          <w:sz w:val="24"/>
          <w:szCs w:val="24"/>
        </w:rPr>
        <w:t xml:space="preserve"> notice to withdraw her money in terms of clause 3.2 of the </w:t>
      </w:r>
      <w:r w:rsidR="008C02A7">
        <w:rPr>
          <w:rFonts w:ascii="Times New Roman" w:hAnsi="Times New Roman" w:cs="Times New Roman"/>
          <w:sz w:val="24"/>
          <w:szCs w:val="24"/>
        </w:rPr>
        <w:t xml:space="preserve">investment agreement but the </w:t>
      </w:r>
      <w:r w:rsidR="00043A44">
        <w:rPr>
          <w:rFonts w:ascii="Times New Roman" w:hAnsi="Times New Roman" w:cs="Times New Roman"/>
          <w:sz w:val="24"/>
          <w:szCs w:val="24"/>
        </w:rPr>
        <w:t>first respondent</w:t>
      </w:r>
      <w:r w:rsidR="008C02A7">
        <w:rPr>
          <w:rFonts w:ascii="Times New Roman" w:hAnsi="Times New Roman" w:cs="Times New Roman"/>
          <w:sz w:val="24"/>
          <w:szCs w:val="24"/>
        </w:rPr>
        <w:t xml:space="preserve"> did not avail even a cent to the </w:t>
      </w:r>
      <w:r w:rsidR="00043A44">
        <w:rPr>
          <w:rFonts w:ascii="Times New Roman" w:hAnsi="Times New Roman" w:cs="Times New Roman"/>
          <w:sz w:val="24"/>
          <w:szCs w:val="24"/>
        </w:rPr>
        <w:t>applicant</w:t>
      </w:r>
      <w:r w:rsidR="008C02A7">
        <w:rPr>
          <w:rFonts w:ascii="Times New Roman" w:hAnsi="Times New Roman" w:cs="Times New Roman"/>
          <w:sz w:val="24"/>
          <w:szCs w:val="24"/>
        </w:rPr>
        <w:t xml:space="preserve">. Quite </w:t>
      </w:r>
      <w:r w:rsidR="00043A44">
        <w:rPr>
          <w:rFonts w:ascii="Times New Roman" w:hAnsi="Times New Roman" w:cs="Times New Roman"/>
          <w:sz w:val="24"/>
          <w:szCs w:val="24"/>
        </w:rPr>
        <w:t>evidently</w:t>
      </w:r>
      <w:r w:rsidR="008C02A7">
        <w:rPr>
          <w:rFonts w:ascii="Times New Roman" w:hAnsi="Times New Roman" w:cs="Times New Roman"/>
          <w:sz w:val="24"/>
          <w:szCs w:val="24"/>
        </w:rPr>
        <w:t xml:space="preserve"> the </w:t>
      </w:r>
      <w:r w:rsidR="00043A44">
        <w:rPr>
          <w:rFonts w:ascii="Times New Roman" w:hAnsi="Times New Roman" w:cs="Times New Roman"/>
          <w:sz w:val="24"/>
          <w:szCs w:val="24"/>
        </w:rPr>
        <w:t>applicant</w:t>
      </w:r>
      <w:r w:rsidR="008C02A7">
        <w:rPr>
          <w:rFonts w:ascii="Times New Roman" w:hAnsi="Times New Roman" w:cs="Times New Roman"/>
          <w:sz w:val="24"/>
          <w:szCs w:val="24"/>
        </w:rPr>
        <w:t xml:space="preserve"> was impoverished by the enrichment of the </w:t>
      </w:r>
      <w:r w:rsidR="00043A44">
        <w:rPr>
          <w:rFonts w:ascii="Times New Roman" w:hAnsi="Times New Roman" w:cs="Times New Roman"/>
          <w:sz w:val="24"/>
          <w:szCs w:val="24"/>
        </w:rPr>
        <w:t>first respondent</w:t>
      </w:r>
      <w:r w:rsidR="008C02A7">
        <w:rPr>
          <w:rFonts w:ascii="Times New Roman" w:hAnsi="Times New Roman" w:cs="Times New Roman"/>
          <w:sz w:val="24"/>
          <w:szCs w:val="24"/>
        </w:rPr>
        <w:t>. There is no justification for this enrichment. The enrichment is not within the scope of one of the classical enrichment actions. Also, there is no positive rule of law which bars an action to the applican</w:t>
      </w:r>
      <w:r w:rsidR="00DD0242">
        <w:rPr>
          <w:rFonts w:ascii="Times New Roman" w:hAnsi="Times New Roman" w:cs="Times New Roman"/>
          <w:sz w:val="24"/>
          <w:szCs w:val="24"/>
        </w:rPr>
        <w:t>t.</w:t>
      </w:r>
    </w:p>
    <w:p w:rsidR="00DD0242" w:rsidRDefault="00DD0242" w:rsidP="00973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 xml:space="preserve">Jajbhay </w:t>
      </w:r>
      <w:r>
        <w:rPr>
          <w:rFonts w:ascii="Times New Roman" w:hAnsi="Times New Roman" w:cs="Times New Roman"/>
          <w:sz w:val="24"/>
          <w:szCs w:val="24"/>
        </w:rPr>
        <w:t xml:space="preserve">v </w:t>
      </w:r>
      <w:r>
        <w:rPr>
          <w:rFonts w:ascii="Times New Roman" w:hAnsi="Times New Roman" w:cs="Times New Roman"/>
          <w:i/>
          <w:sz w:val="24"/>
          <w:szCs w:val="24"/>
        </w:rPr>
        <w:t>Cassim</w:t>
      </w:r>
      <w:r>
        <w:rPr>
          <w:rFonts w:ascii="Times New Roman" w:hAnsi="Times New Roman" w:cs="Times New Roman"/>
          <w:sz w:val="24"/>
          <w:szCs w:val="24"/>
        </w:rPr>
        <w:t xml:space="preserve"> 1939 Ads 37 @ 544-545, STRATFORD CJ had this to say:</w:t>
      </w:r>
    </w:p>
    <w:p w:rsidR="00D6026D" w:rsidRDefault="00DD0242" w:rsidP="005205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“Courts of law are free to reject or grant a prayer for restoration of something</w:t>
      </w:r>
      <w:r w:rsidR="0052053F">
        <w:rPr>
          <w:rFonts w:ascii="Times New Roman" w:hAnsi="Times New Roman" w:cs="Times New Roman"/>
          <w:sz w:val="24"/>
          <w:szCs w:val="24"/>
        </w:rPr>
        <w:t xml:space="preserve"> given under an illegal contract, being guided in each case by the principle which underlies and inspired the maxim. And in this last connection I think a court should </w:t>
      </w:r>
      <w:r w:rsidR="0052053F" w:rsidRPr="0052053F">
        <w:rPr>
          <w:rFonts w:ascii="Times New Roman" w:hAnsi="Times New Roman" w:cs="Times New Roman"/>
          <w:sz w:val="24"/>
          <w:szCs w:val="24"/>
          <w:u w:val="single"/>
        </w:rPr>
        <w:t xml:space="preserve">not </w:t>
      </w:r>
      <w:r w:rsidR="0052053F">
        <w:rPr>
          <w:rFonts w:ascii="Times New Roman" w:hAnsi="Times New Roman" w:cs="Times New Roman"/>
          <w:sz w:val="24"/>
          <w:szCs w:val="24"/>
          <w:u w:val="single"/>
        </w:rPr>
        <w:t xml:space="preserve">disregard the various degrees of turpitude </w:t>
      </w:r>
      <w:r w:rsidR="0052053F" w:rsidRPr="0052053F">
        <w:rPr>
          <w:rFonts w:ascii="Times New Roman" w:hAnsi="Times New Roman" w:cs="Times New Roman"/>
          <w:sz w:val="24"/>
          <w:szCs w:val="24"/>
        </w:rPr>
        <w:t>in delictual contracts</w:t>
      </w:r>
      <w:r w:rsidR="007B5D1B">
        <w:rPr>
          <w:rFonts w:ascii="Times New Roman" w:hAnsi="Times New Roman" w:cs="Times New Roman"/>
          <w:sz w:val="24"/>
          <w:szCs w:val="24"/>
        </w:rPr>
        <w:t>……. And it follows from what I have said above, in cases where public policy is not foreseeably affected by a grant or a refusal of he relief claimed, that a court of law might well decide in favour of doing justice between the individual concerned and so prevent unjust enrichment”. (my emphasis)</w:t>
      </w:r>
    </w:p>
    <w:p w:rsidR="00D6026D" w:rsidRDefault="00D6026D" w:rsidP="00D6026D">
      <w:pPr>
        <w:spacing w:after="0" w:line="240" w:lineRule="auto"/>
        <w:jc w:val="both"/>
        <w:rPr>
          <w:rFonts w:ascii="Times New Roman" w:hAnsi="Times New Roman" w:cs="Times New Roman"/>
          <w:sz w:val="24"/>
          <w:szCs w:val="24"/>
        </w:rPr>
      </w:pPr>
    </w:p>
    <w:p w:rsidR="00D6026D" w:rsidRDefault="00D6026D" w:rsidP="00D60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Hattingh’s case </w:t>
      </w:r>
      <w:r>
        <w:rPr>
          <w:rFonts w:ascii="Times New Roman" w:hAnsi="Times New Roman" w:cs="Times New Roman"/>
          <w:i/>
          <w:sz w:val="24"/>
          <w:szCs w:val="24"/>
        </w:rPr>
        <w:t>supra</w:t>
      </w:r>
      <w:r>
        <w:rPr>
          <w:rFonts w:ascii="Times New Roman" w:hAnsi="Times New Roman" w:cs="Times New Roman"/>
          <w:sz w:val="24"/>
          <w:szCs w:val="24"/>
        </w:rPr>
        <w:t>, KORSAH JA (as he then was) stated at 245E to 256B that:</w:t>
      </w:r>
    </w:p>
    <w:p w:rsidR="0041606E" w:rsidRDefault="00D6026D" w:rsidP="00D6026D">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“The cases clearly show that where a contract is on the </w:t>
      </w:r>
      <w:r w:rsidRPr="00D94983">
        <w:rPr>
          <w:rFonts w:ascii="Times New Roman" w:hAnsi="Times New Roman" w:cs="Times New Roman"/>
          <w:sz w:val="24"/>
          <w:szCs w:val="24"/>
        </w:rPr>
        <w:t>face</w:t>
      </w:r>
      <w:r w:rsidR="007B5D1B">
        <w:rPr>
          <w:rFonts w:ascii="Times New Roman" w:hAnsi="Times New Roman" w:cs="Times New Roman"/>
          <w:sz w:val="24"/>
          <w:szCs w:val="24"/>
        </w:rPr>
        <w:t xml:space="preserve"> </w:t>
      </w:r>
      <w:r>
        <w:rPr>
          <w:rFonts w:ascii="Times New Roman" w:hAnsi="Times New Roman" w:cs="Times New Roman"/>
          <w:sz w:val="24"/>
          <w:szCs w:val="24"/>
        </w:rPr>
        <w:t xml:space="preserve">of it legal but by reason of a circumstance known to one party only, is forbidden by statute, </w:t>
      </w:r>
      <w:r>
        <w:rPr>
          <w:rFonts w:ascii="Times New Roman" w:hAnsi="Times New Roman" w:cs="Times New Roman"/>
          <w:sz w:val="24"/>
          <w:szCs w:val="24"/>
          <w:u w:val="single"/>
        </w:rPr>
        <w:t>it may not be declared illegal so as to debar the innocent party from relief; for to deprive the innocent person of his rights would be to injure the innocent</w:t>
      </w:r>
      <w:r w:rsidR="00043A44">
        <w:rPr>
          <w:rFonts w:ascii="Times New Roman" w:hAnsi="Times New Roman" w:cs="Times New Roman"/>
          <w:sz w:val="24"/>
          <w:szCs w:val="24"/>
          <w:u w:val="single"/>
        </w:rPr>
        <w:t>,</w:t>
      </w:r>
      <w:r>
        <w:rPr>
          <w:rFonts w:ascii="Times New Roman" w:hAnsi="Times New Roman" w:cs="Times New Roman"/>
          <w:sz w:val="24"/>
          <w:szCs w:val="24"/>
          <w:u w:val="single"/>
        </w:rPr>
        <w:t xml:space="preserve"> benefit the guilty and put a</w:t>
      </w:r>
      <w:r w:rsidR="00D94983">
        <w:rPr>
          <w:rFonts w:ascii="Times New Roman" w:hAnsi="Times New Roman" w:cs="Times New Roman"/>
          <w:sz w:val="24"/>
          <w:szCs w:val="24"/>
          <w:u w:val="single"/>
        </w:rPr>
        <w:t xml:space="preserve"> premium</w:t>
      </w:r>
      <w:r>
        <w:rPr>
          <w:rFonts w:ascii="Times New Roman" w:hAnsi="Times New Roman" w:cs="Times New Roman"/>
          <w:sz w:val="24"/>
          <w:szCs w:val="24"/>
          <w:u w:val="single"/>
        </w:rPr>
        <w:t xml:space="preserve"> on deceit”. (my emphasis)</w:t>
      </w:r>
      <w:r w:rsidR="0041606E">
        <w:rPr>
          <w:rFonts w:ascii="Times New Roman" w:hAnsi="Times New Roman" w:cs="Times New Roman"/>
          <w:sz w:val="24"/>
          <w:szCs w:val="24"/>
          <w:u w:val="single"/>
        </w:rPr>
        <w:t>.</w:t>
      </w:r>
    </w:p>
    <w:p w:rsidR="0041606E" w:rsidRDefault="0041606E" w:rsidP="00D6026D">
      <w:pPr>
        <w:spacing w:after="0" w:line="240" w:lineRule="auto"/>
        <w:ind w:left="720"/>
        <w:jc w:val="both"/>
        <w:rPr>
          <w:rFonts w:ascii="Times New Roman" w:hAnsi="Times New Roman" w:cs="Times New Roman"/>
          <w:sz w:val="24"/>
          <w:szCs w:val="24"/>
          <w:u w:val="single"/>
        </w:rPr>
      </w:pPr>
    </w:p>
    <w:p w:rsidR="00043A44" w:rsidRDefault="0041606E" w:rsidP="00FF325C">
      <w:pPr>
        <w:spacing w:after="0" w:line="360" w:lineRule="auto"/>
        <w:ind w:left="720"/>
        <w:jc w:val="both"/>
        <w:rPr>
          <w:rFonts w:ascii="Times New Roman" w:hAnsi="Times New Roman" w:cs="Times New Roman"/>
          <w:sz w:val="24"/>
          <w:szCs w:val="24"/>
        </w:rPr>
      </w:pPr>
      <w:r w:rsidRPr="0041606E">
        <w:rPr>
          <w:rFonts w:ascii="Times New Roman" w:hAnsi="Times New Roman" w:cs="Times New Roman"/>
          <w:sz w:val="24"/>
          <w:szCs w:val="24"/>
        </w:rPr>
        <w:t>In the present case</w:t>
      </w:r>
      <w:r>
        <w:rPr>
          <w:rFonts w:ascii="Times New Roman" w:hAnsi="Times New Roman" w:cs="Times New Roman"/>
          <w:sz w:val="24"/>
          <w:szCs w:val="24"/>
        </w:rPr>
        <w:t xml:space="preserve"> the </w:t>
      </w:r>
      <w:r w:rsidR="00043A44">
        <w:rPr>
          <w:rFonts w:ascii="Times New Roman" w:hAnsi="Times New Roman" w:cs="Times New Roman"/>
          <w:sz w:val="24"/>
          <w:szCs w:val="24"/>
        </w:rPr>
        <w:t xml:space="preserve">first respondent </w:t>
      </w:r>
      <w:r>
        <w:rPr>
          <w:rFonts w:ascii="Times New Roman" w:hAnsi="Times New Roman" w:cs="Times New Roman"/>
          <w:sz w:val="24"/>
          <w:szCs w:val="24"/>
        </w:rPr>
        <w:t xml:space="preserve">new that it was not licensed to take deposits </w:t>
      </w:r>
    </w:p>
    <w:p w:rsidR="004E6837" w:rsidRDefault="0041606E" w:rsidP="00FF32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w:t>
      </w:r>
      <w:r w:rsidR="00043A44">
        <w:rPr>
          <w:rFonts w:ascii="Times New Roman" w:hAnsi="Times New Roman" w:cs="Times New Roman"/>
          <w:sz w:val="24"/>
          <w:szCs w:val="24"/>
        </w:rPr>
        <w:t>applicant</w:t>
      </w:r>
      <w:r>
        <w:rPr>
          <w:rFonts w:ascii="Times New Roman" w:hAnsi="Times New Roman" w:cs="Times New Roman"/>
          <w:sz w:val="24"/>
          <w:szCs w:val="24"/>
        </w:rPr>
        <w:t>. This was not known or ought to have been reasonably</w:t>
      </w:r>
      <w:r w:rsidR="00FF325C">
        <w:rPr>
          <w:rFonts w:ascii="Times New Roman" w:hAnsi="Times New Roman" w:cs="Times New Roman"/>
          <w:sz w:val="24"/>
          <w:szCs w:val="24"/>
        </w:rPr>
        <w:t xml:space="preserve"> known to the </w:t>
      </w:r>
      <w:r w:rsidR="00043A44">
        <w:rPr>
          <w:rFonts w:ascii="Times New Roman" w:hAnsi="Times New Roman" w:cs="Times New Roman"/>
          <w:sz w:val="24"/>
          <w:szCs w:val="24"/>
        </w:rPr>
        <w:t>applicant</w:t>
      </w:r>
      <w:r w:rsidR="00FF325C">
        <w:rPr>
          <w:rFonts w:ascii="Times New Roman" w:hAnsi="Times New Roman" w:cs="Times New Roman"/>
          <w:sz w:val="24"/>
          <w:szCs w:val="24"/>
        </w:rPr>
        <w:t xml:space="preserve"> at the time. The first </w:t>
      </w:r>
      <w:r w:rsidR="00043A44">
        <w:rPr>
          <w:rFonts w:ascii="Times New Roman" w:hAnsi="Times New Roman" w:cs="Times New Roman"/>
          <w:sz w:val="24"/>
          <w:szCs w:val="24"/>
        </w:rPr>
        <w:t>respondent</w:t>
      </w:r>
      <w:r w:rsidR="00FF325C">
        <w:rPr>
          <w:rFonts w:ascii="Times New Roman" w:hAnsi="Times New Roman" w:cs="Times New Roman"/>
          <w:sz w:val="24"/>
          <w:szCs w:val="24"/>
        </w:rPr>
        <w:t xml:space="preserve"> deceitfully allowed the </w:t>
      </w:r>
      <w:r w:rsidR="00043A44">
        <w:rPr>
          <w:rFonts w:ascii="Times New Roman" w:hAnsi="Times New Roman" w:cs="Times New Roman"/>
          <w:sz w:val="24"/>
          <w:szCs w:val="24"/>
        </w:rPr>
        <w:t>applicant</w:t>
      </w:r>
      <w:r w:rsidR="00FF325C">
        <w:rPr>
          <w:rFonts w:ascii="Times New Roman" w:hAnsi="Times New Roman" w:cs="Times New Roman"/>
          <w:sz w:val="24"/>
          <w:szCs w:val="24"/>
        </w:rPr>
        <w:t xml:space="preserve"> to deposit </w:t>
      </w:r>
      <w:r w:rsidR="00684A64">
        <w:rPr>
          <w:rFonts w:ascii="Times New Roman" w:hAnsi="Times New Roman" w:cs="Times New Roman"/>
          <w:sz w:val="24"/>
          <w:szCs w:val="24"/>
        </w:rPr>
        <w:t xml:space="preserve">huge sums into </w:t>
      </w:r>
      <w:r w:rsidR="00043A44">
        <w:rPr>
          <w:rFonts w:ascii="Times New Roman" w:hAnsi="Times New Roman" w:cs="Times New Roman"/>
          <w:sz w:val="24"/>
          <w:szCs w:val="24"/>
        </w:rPr>
        <w:t>its</w:t>
      </w:r>
      <w:r w:rsidR="00684A64">
        <w:rPr>
          <w:rFonts w:ascii="Times New Roman" w:hAnsi="Times New Roman" w:cs="Times New Roman"/>
          <w:sz w:val="24"/>
          <w:szCs w:val="24"/>
        </w:rPr>
        <w:t xml:space="preserve"> </w:t>
      </w:r>
      <w:r w:rsidR="00043A44">
        <w:rPr>
          <w:rFonts w:ascii="Times New Roman" w:hAnsi="Times New Roman" w:cs="Times New Roman"/>
          <w:sz w:val="24"/>
          <w:szCs w:val="24"/>
        </w:rPr>
        <w:t>account. The first respondent</w:t>
      </w:r>
      <w:r w:rsidR="00684A64">
        <w:rPr>
          <w:rFonts w:ascii="Times New Roman" w:hAnsi="Times New Roman" w:cs="Times New Roman"/>
          <w:sz w:val="24"/>
          <w:szCs w:val="24"/>
        </w:rPr>
        <w:t xml:space="preserve"> then withdrew the</w:t>
      </w:r>
      <w:r w:rsidR="00043A44">
        <w:rPr>
          <w:rFonts w:ascii="Times New Roman" w:hAnsi="Times New Roman" w:cs="Times New Roman"/>
          <w:sz w:val="24"/>
          <w:szCs w:val="24"/>
        </w:rPr>
        <w:t xml:space="preserve"> money</w:t>
      </w:r>
      <w:r w:rsidR="00684A64">
        <w:rPr>
          <w:rFonts w:ascii="Times New Roman" w:hAnsi="Times New Roman" w:cs="Times New Roman"/>
          <w:sz w:val="24"/>
          <w:szCs w:val="24"/>
        </w:rPr>
        <w:t xml:space="preserve"> and spen</w:t>
      </w:r>
      <w:r w:rsidR="00043A44">
        <w:rPr>
          <w:rFonts w:ascii="Times New Roman" w:hAnsi="Times New Roman" w:cs="Times New Roman"/>
          <w:sz w:val="24"/>
          <w:szCs w:val="24"/>
        </w:rPr>
        <w:t>t</w:t>
      </w:r>
      <w:r w:rsidR="00684A64">
        <w:rPr>
          <w:rFonts w:ascii="Times New Roman" w:hAnsi="Times New Roman" w:cs="Times New Roman"/>
          <w:sz w:val="24"/>
          <w:szCs w:val="24"/>
        </w:rPr>
        <w:t xml:space="preserve"> </w:t>
      </w:r>
      <w:r w:rsidR="00043A44">
        <w:rPr>
          <w:rFonts w:ascii="Times New Roman" w:hAnsi="Times New Roman" w:cs="Times New Roman"/>
          <w:sz w:val="24"/>
          <w:szCs w:val="24"/>
        </w:rPr>
        <w:t>it</w:t>
      </w:r>
      <w:r w:rsidR="00684A64">
        <w:rPr>
          <w:rFonts w:ascii="Times New Roman" w:hAnsi="Times New Roman" w:cs="Times New Roman"/>
          <w:sz w:val="24"/>
          <w:szCs w:val="24"/>
        </w:rPr>
        <w:t xml:space="preserve">. In my view, to deprive the </w:t>
      </w:r>
      <w:r w:rsidR="00043A44">
        <w:rPr>
          <w:rFonts w:ascii="Times New Roman" w:hAnsi="Times New Roman" w:cs="Times New Roman"/>
          <w:sz w:val="24"/>
          <w:szCs w:val="24"/>
        </w:rPr>
        <w:t>applicant</w:t>
      </w:r>
      <w:r w:rsidR="00684A64">
        <w:rPr>
          <w:rFonts w:ascii="Times New Roman" w:hAnsi="Times New Roman" w:cs="Times New Roman"/>
          <w:sz w:val="24"/>
          <w:szCs w:val="24"/>
        </w:rPr>
        <w:t xml:space="preserve"> of her rights would be to injure her and benefit the </w:t>
      </w:r>
      <w:r w:rsidR="00043A44">
        <w:rPr>
          <w:rFonts w:ascii="Times New Roman" w:hAnsi="Times New Roman" w:cs="Times New Roman"/>
          <w:sz w:val="24"/>
          <w:szCs w:val="24"/>
        </w:rPr>
        <w:t>first respondent</w:t>
      </w:r>
      <w:r w:rsidR="00684A64">
        <w:rPr>
          <w:rFonts w:ascii="Times New Roman" w:hAnsi="Times New Roman" w:cs="Times New Roman"/>
          <w:sz w:val="24"/>
          <w:szCs w:val="24"/>
        </w:rPr>
        <w:t xml:space="preserve"> thereby putting a </w:t>
      </w:r>
      <w:r w:rsidR="00E50DA4">
        <w:rPr>
          <w:rFonts w:ascii="Times New Roman" w:hAnsi="Times New Roman" w:cs="Times New Roman"/>
          <w:sz w:val="24"/>
          <w:szCs w:val="24"/>
        </w:rPr>
        <w:t>premium</w:t>
      </w:r>
      <w:r w:rsidR="00684A64">
        <w:rPr>
          <w:rFonts w:ascii="Times New Roman" w:hAnsi="Times New Roman" w:cs="Times New Roman"/>
          <w:sz w:val="24"/>
          <w:szCs w:val="24"/>
        </w:rPr>
        <w:t xml:space="preserve"> on the deceitful party. Even the Roman </w:t>
      </w:r>
      <w:r w:rsidR="00E50DA4">
        <w:rPr>
          <w:rFonts w:ascii="Times New Roman" w:hAnsi="Times New Roman" w:cs="Times New Roman"/>
          <w:sz w:val="24"/>
          <w:szCs w:val="24"/>
        </w:rPr>
        <w:t>l</w:t>
      </w:r>
      <w:r w:rsidR="00684A64">
        <w:rPr>
          <w:rFonts w:ascii="Times New Roman" w:hAnsi="Times New Roman" w:cs="Times New Roman"/>
          <w:sz w:val="24"/>
          <w:szCs w:val="24"/>
        </w:rPr>
        <w:t xml:space="preserve">aw </w:t>
      </w:r>
      <w:r w:rsidR="00043A44">
        <w:rPr>
          <w:rFonts w:ascii="Times New Roman" w:hAnsi="Times New Roman" w:cs="Times New Roman"/>
          <w:sz w:val="24"/>
          <w:szCs w:val="24"/>
        </w:rPr>
        <w:t>frowned</w:t>
      </w:r>
      <w:r w:rsidR="00684A64">
        <w:rPr>
          <w:rFonts w:ascii="Times New Roman" w:hAnsi="Times New Roman" w:cs="Times New Roman"/>
          <w:sz w:val="24"/>
          <w:szCs w:val="24"/>
        </w:rPr>
        <w:t xml:space="preserve"> upon such conduct – see Pompo</w:t>
      </w:r>
      <w:r w:rsidR="004E6837">
        <w:rPr>
          <w:rFonts w:ascii="Times New Roman" w:hAnsi="Times New Roman" w:cs="Times New Roman"/>
          <w:sz w:val="24"/>
          <w:szCs w:val="24"/>
        </w:rPr>
        <w:t xml:space="preserve">nius’ excerpts in the </w:t>
      </w:r>
      <w:r w:rsidR="00043A44">
        <w:rPr>
          <w:rFonts w:ascii="Times New Roman" w:hAnsi="Times New Roman" w:cs="Times New Roman"/>
          <w:sz w:val="24"/>
          <w:szCs w:val="24"/>
        </w:rPr>
        <w:t>D</w:t>
      </w:r>
      <w:r w:rsidR="004E6837">
        <w:rPr>
          <w:rFonts w:ascii="Times New Roman" w:hAnsi="Times New Roman" w:cs="Times New Roman"/>
          <w:sz w:val="24"/>
          <w:szCs w:val="24"/>
        </w:rPr>
        <w:t>igest where he says:-</w:t>
      </w:r>
    </w:p>
    <w:p w:rsidR="004E6837" w:rsidRDefault="004E6837" w:rsidP="004E683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Cum alterius detriment</w:t>
      </w:r>
      <w:r w:rsidR="00043A44">
        <w:rPr>
          <w:rFonts w:ascii="Times New Roman" w:hAnsi="Times New Roman" w:cs="Times New Roman"/>
          <w:i/>
          <w:sz w:val="24"/>
          <w:szCs w:val="24"/>
        </w:rPr>
        <w:t>o</w:t>
      </w:r>
      <w:r>
        <w:rPr>
          <w:rFonts w:ascii="Times New Roman" w:hAnsi="Times New Roman" w:cs="Times New Roman"/>
          <w:sz w:val="24"/>
          <w:szCs w:val="24"/>
        </w:rPr>
        <w:t xml:space="preserve"> – it is indeed by nature </w:t>
      </w:r>
      <w:r w:rsidR="00043A44">
        <w:rPr>
          <w:rFonts w:ascii="Times New Roman" w:hAnsi="Times New Roman" w:cs="Times New Roman"/>
          <w:sz w:val="24"/>
          <w:szCs w:val="24"/>
        </w:rPr>
        <w:t>f</w:t>
      </w:r>
      <w:r>
        <w:rPr>
          <w:rFonts w:ascii="Times New Roman" w:hAnsi="Times New Roman" w:cs="Times New Roman"/>
          <w:sz w:val="24"/>
          <w:szCs w:val="24"/>
        </w:rPr>
        <w:t>air, that nobody should be made richer through loss to another”.</w:t>
      </w:r>
    </w:p>
    <w:p w:rsidR="004E6837" w:rsidRDefault="00463BE7" w:rsidP="00463BE7">
      <w:pPr>
        <w:spacing w:after="0" w:line="240" w:lineRule="auto"/>
        <w:ind w:left="1440"/>
        <w:jc w:val="both"/>
        <w:rPr>
          <w:rFonts w:ascii="Times New Roman" w:hAnsi="Times New Roman" w:cs="Times New Roman"/>
          <w:sz w:val="24"/>
          <w:szCs w:val="24"/>
        </w:rPr>
      </w:pPr>
      <w:r>
        <w:rPr>
          <w:rFonts w:ascii="Times New Roman" w:hAnsi="Times New Roman" w:cs="Times New Roman"/>
          <w:i/>
          <w:sz w:val="24"/>
          <w:szCs w:val="24"/>
        </w:rPr>
        <w:t xml:space="preserve">‘cum alterius detriment et injuria </w:t>
      </w:r>
      <w:r>
        <w:rPr>
          <w:rFonts w:ascii="Times New Roman" w:hAnsi="Times New Roman" w:cs="Times New Roman"/>
          <w:sz w:val="24"/>
          <w:szCs w:val="24"/>
        </w:rPr>
        <w:t>– it is fair by the law of nature that nobody should be made richer through loss and wrong to another”.</w:t>
      </w:r>
    </w:p>
    <w:p w:rsidR="00463BE7" w:rsidRPr="00463BE7" w:rsidRDefault="00463BE7" w:rsidP="00463BE7">
      <w:pPr>
        <w:spacing w:after="0" w:line="240" w:lineRule="auto"/>
        <w:ind w:left="1440"/>
        <w:jc w:val="both"/>
        <w:rPr>
          <w:rFonts w:ascii="Times New Roman" w:hAnsi="Times New Roman" w:cs="Times New Roman"/>
          <w:sz w:val="24"/>
          <w:szCs w:val="24"/>
        </w:rPr>
      </w:pPr>
    </w:p>
    <w:p w:rsidR="004E6837" w:rsidRDefault="004E6837" w:rsidP="004E683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these reasons, I find that it is fair and just that an order for restitution in favour of </w:t>
      </w:r>
    </w:p>
    <w:p w:rsidR="004E6837" w:rsidRDefault="004E6837" w:rsidP="004E68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308BB">
        <w:rPr>
          <w:rFonts w:ascii="Times New Roman" w:hAnsi="Times New Roman" w:cs="Times New Roman"/>
          <w:sz w:val="24"/>
          <w:szCs w:val="24"/>
        </w:rPr>
        <w:t>applicant</w:t>
      </w:r>
      <w:r>
        <w:rPr>
          <w:rFonts w:ascii="Times New Roman" w:hAnsi="Times New Roman" w:cs="Times New Roman"/>
          <w:sz w:val="24"/>
          <w:szCs w:val="24"/>
        </w:rPr>
        <w:t xml:space="preserve"> be made. I would therefore relax the </w:t>
      </w:r>
      <w:r>
        <w:rPr>
          <w:rFonts w:ascii="Times New Roman" w:hAnsi="Times New Roman" w:cs="Times New Roman"/>
          <w:i/>
          <w:sz w:val="24"/>
          <w:szCs w:val="24"/>
        </w:rPr>
        <w:t>in pari delicto</w:t>
      </w:r>
      <w:r>
        <w:rPr>
          <w:rFonts w:ascii="Times New Roman" w:hAnsi="Times New Roman" w:cs="Times New Roman"/>
          <w:sz w:val="24"/>
          <w:szCs w:val="24"/>
        </w:rPr>
        <w:t xml:space="preserve"> rule to prevent injustice. </w:t>
      </w:r>
    </w:p>
    <w:p w:rsidR="004E6837" w:rsidRDefault="004E6837" w:rsidP="004E68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94A74" w:rsidRDefault="004E6837" w:rsidP="004E68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issue is whether the first </w:t>
      </w:r>
      <w:r w:rsidR="00E308BB">
        <w:rPr>
          <w:rFonts w:ascii="Times New Roman" w:hAnsi="Times New Roman" w:cs="Times New Roman"/>
          <w:sz w:val="24"/>
          <w:szCs w:val="24"/>
        </w:rPr>
        <w:t>respondent</w:t>
      </w:r>
      <w:r>
        <w:rPr>
          <w:rFonts w:ascii="Times New Roman" w:hAnsi="Times New Roman" w:cs="Times New Roman"/>
          <w:sz w:val="24"/>
          <w:szCs w:val="24"/>
        </w:rPr>
        <w:t xml:space="preserve"> has a </w:t>
      </w:r>
      <w:r>
        <w:rPr>
          <w:rFonts w:ascii="Times New Roman" w:hAnsi="Times New Roman" w:cs="Times New Roman"/>
          <w:i/>
          <w:sz w:val="24"/>
          <w:szCs w:val="24"/>
        </w:rPr>
        <w:t>bona fide</w:t>
      </w:r>
      <w:r>
        <w:rPr>
          <w:rFonts w:ascii="Times New Roman" w:hAnsi="Times New Roman" w:cs="Times New Roman"/>
          <w:sz w:val="24"/>
          <w:szCs w:val="24"/>
        </w:rPr>
        <w:t xml:space="preserve"> defence. I must point out that while the applicant has attached documentary evidence to substantiate her averments the first respondent’s opposing affidavit is awash with bare denials without </w:t>
      </w:r>
      <w:r w:rsidR="00D94A74">
        <w:rPr>
          <w:rFonts w:ascii="Times New Roman" w:hAnsi="Times New Roman" w:cs="Times New Roman"/>
          <w:sz w:val="24"/>
          <w:szCs w:val="24"/>
        </w:rPr>
        <w:t xml:space="preserve">any credible shred of evidence to buttress its averments. The </w:t>
      </w:r>
      <w:r w:rsidR="00E308BB">
        <w:rPr>
          <w:rFonts w:ascii="Times New Roman" w:hAnsi="Times New Roman" w:cs="Times New Roman"/>
          <w:sz w:val="24"/>
          <w:szCs w:val="24"/>
        </w:rPr>
        <w:t>applicant</w:t>
      </w:r>
      <w:r w:rsidR="00D94A74">
        <w:rPr>
          <w:rFonts w:ascii="Times New Roman" w:hAnsi="Times New Roman" w:cs="Times New Roman"/>
          <w:sz w:val="24"/>
          <w:szCs w:val="24"/>
        </w:rPr>
        <w:t xml:space="preserve"> filed bank statements as proof</w:t>
      </w:r>
      <w:r w:rsidR="00E308BB">
        <w:rPr>
          <w:rFonts w:ascii="Times New Roman" w:hAnsi="Times New Roman" w:cs="Times New Roman"/>
          <w:sz w:val="24"/>
          <w:szCs w:val="24"/>
        </w:rPr>
        <w:t xml:space="preserve"> of</w:t>
      </w:r>
      <w:r w:rsidR="00D94A74">
        <w:rPr>
          <w:rFonts w:ascii="Times New Roman" w:hAnsi="Times New Roman" w:cs="Times New Roman"/>
          <w:sz w:val="24"/>
          <w:szCs w:val="24"/>
        </w:rPr>
        <w:t xml:space="preserve"> the various amounts that were deposited into the </w:t>
      </w:r>
      <w:r w:rsidR="00E308BB">
        <w:rPr>
          <w:rFonts w:ascii="Times New Roman" w:hAnsi="Times New Roman" w:cs="Times New Roman"/>
          <w:sz w:val="24"/>
          <w:szCs w:val="24"/>
        </w:rPr>
        <w:t>first respondent’s</w:t>
      </w:r>
      <w:r w:rsidR="00D94A74">
        <w:rPr>
          <w:rFonts w:ascii="Times New Roman" w:hAnsi="Times New Roman" w:cs="Times New Roman"/>
          <w:sz w:val="24"/>
          <w:szCs w:val="24"/>
        </w:rPr>
        <w:t xml:space="preserve"> account. Notwithstanding this, the first respondent insisted that the following are its “several defences”;</w:t>
      </w:r>
    </w:p>
    <w:p w:rsidR="00D94A74" w:rsidRP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sidRPr="00D94A74">
        <w:rPr>
          <w:rFonts w:ascii="Times New Roman" w:hAnsi="Times New Roman" w:cs="Times New Roman"/>
          <w:sz w:val="24"/>
          <w:szCs w:val="24"/>
        </w:rPr>
        <w:t xml:space="preserve">that the Investment agreement was entered into between the applicant and McDowells International Properties Investments and not Mcdowells International (Pvt) Ltd – the first respondent. </w:t>
      </w:r>
    </w:p>
    <w:p w:rsidR="00D94A74" w:rsidRP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94A74">
        <w:rPr>
          <w:rFonts w:ascii="Times New Roman" w:hAnsi="Times New Roman" w:cs="Times New Roman"/>
          <w:sz w:val="24"/>
          <w:szCs w:val="24"/>
        </w:rPr>
        <w:t xml:space="preserve">he agreement was illegal </w:t>
      </w:r>
    </w:p>
    <w:p w:rsid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some of the deposits were not made by the applicant but by Ocean Hair </w:t>
      </w:r>
    </w:p>
    <w:p w:rsidR="00D94A74" w:rsidRDefault="00D94A74" w:rsidP="00D94A74">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and Beauty (Pvt) Ltd</w:t>
      </w:r>
    </w:p>
    <w:p w:rsid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has failed to split the amount into capital and interest </w:t>
      </w:r>
    </w:p>
    <w:p w:rsid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immovable properties are not executable</w:t>
      </w:r>
    </w:p>
    <w:p w:rsidR="00D94A74"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no basis upon which the applicant can claim collection commission </w:t>
      </w:r>
    </w:p>
    <w:p w:rsidR="00803BE1" w:rsidRDefault="00D94A74" w:rsidP="00D94A7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applicant deposited amounts that are different from those reflected on bank</w:t>
      </w:r>
      <w:r w:rsidR="00803BE1">
        <w:rPr>
          <w:rFonts w:ascii="Times New Roman" w:hAnsi="Times New Roman" w:cs="Times New Roman"/>
          <w:sz w:val="24"/>
          <w:szCs w:val="24"/>
        </w:rPr>
        <w:t xml:space="preserve"> statements and proceeded to withdraw certain amounts.</w:t>
      </w:r>
    </w:p>
    <w:p w:rsidR="00803BE1" w:rsidRDefault="00803BE1" w:rsidP="00803B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so-called defence is not a defence at all. I say so because the first </w:t>
      </w:r>
    </w:p>
    <w:p w:rsidR="00803BE1" w:rsidRDefault="00803BE1"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respondent’s name is Mcdowells (Pvt) Ltd and not Mcdowells International Properties Investment. The latter is just a trading name and more importantly, the bank account is in the name Mcdowell’s International or simply Mcdowells. What is essential is that the first respondent received the amounts from the applicant. It is neither here nor there what name it chooses to call itself.</w:t>
      </w:r>
    </w:p>
    <w:p w:rsidR="00181C87" w:rsidRDefault="00803BE1"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dealt with the second defence relating to the issue of the legality of the agreement. The fact that the amounts were deposited by Ocean Hair and Beauty (Pvt) Ltd does not</w:t>
      </w:r>
      <w:r w:rsidR="00E308BB">
        <w:rPr>
          <w:rFonts w:ascii="Times New Roman" w:hAnsi="Times New Roman" w:cs="Times New Roman"/>
          <w:sz w:val="24"/>
          <w:szCs w:val="24"/>
        </w:rPr>
        <w:t>,</w:t>
      </w:r>
      <w:r>
        <w:rPr>
          <w:rFonts w:ascii="Times New Roman" w:hAnsi="Times New Roman" w:cs="Times New Roman"/>
          <w:sz w:val="24"/>
          <w:szCs w:val="24"/>
        </w:rPr>
        <w:t xml:space="preserve"> in my view constitute a defence in this case. The heart of the matter is whether or not the first respondent received the money. As regards the separation of the amounts into two </w:t>
      </w:r>
      <w:r w:rsidR="00E308BB">
        <w:rPr>
          <w:rFonts w:ascii="Times New Roman" w:hAnsi="Times New Roman" w:cs="Times New Roman"/>
          <w:sz w:val="24"/>
          <w:szCs w:val="24"/>
        </w:rPr>
        <w:t>categories,</w:t>
      </w:r>
      <w:r>
        <w:rPr>
          <w:rFonts w:ascii="Times New Roman" w:hAnsi="Times New Roman" w:cs="Times New Roman"/>
          <w:sz w:val="24"/>
          <w:szCs w:val="24"/>
        </w:rPr>
        <w:t xml:space="preserve"> I find this not to be a defence at all because </w:t>
      </w:r>
      <w:r w:rsidR="00E308BB">
        <w:rPr>
          <w:rFonts w:ascii="Times New Roman" w:hAnsi="Times New Roman" w:cs="Times New Roman"/>
          <w:sz w:val="24"/>
          <w:szCs w:val="24"/>
        </w:rPr>
        <w:t>t</w:t>
      </w:r>
      <w:r>
        <w:rPr>
          <w:rFonts w:ascii="Times New Roman" w:hAnsi="Times New Roman" w:cs="Times New Roman"/>
          <w:sz w:val="24"/>
          <w:szCs w:val="24"/>
        </w:rPr>
        <w:t>he summons and declaration have precisely done that</w:t>
      </w:r>
      <w:r w:rsidR="00181C87">
        <w:rPr>
          <w:rFonts w:ascii="Times New Roman" w:hAnsi="Times New Roman" w:cs="Times New Roman"/>
          <w:sz w:val="24"/>
          <w:szCs w:val="24"/>
        </w:rPr>
        <w:t>. Further the applicant has tabulated dates and amounts that were deposited.</w:t>
      </w:r>
    </w:p>
    <w:p w:rsidR="00125EBD" w:rsidRDefault="00181C87"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abandoned the prayer in respect of an order declaring the first respondent’s immovable properties executable. The applicant also con</w:t>
      </w:r>
      <w:r w:rsidR="00125EBD">
        <w:rPr>
          <w:rFonts w:ascii="Times New Roman" w:hAnsi="Times New Roman" w:cs="Times New Roman"/>
          <w:sz w:val="24"/>
          <w:szCs w:val="24"/>
        </w:rPr>
        <w:t>ceded that if a finding is made that the investment agreement was illegal, then the prayer for an order compelling the respondent to pay both collection commission and interest at the rate of 13% per month is not legally sustainable.</w:t>
      </w:r>
    </w:p>
    <w:p w:rsidR="002B416F" w:rsidRDefault="0010682E"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final purported defence is that the applicant’s figures are inaccurate in that it withdrew some amounts thereby reducing the respondent’s indebtedness. This in my view is just a bare assertion </w:t>
      </w:r>
      <w:r w:rsidR="00E308BB">
        <w:rPr>
          <w:rFonts w:ascii="Times New Roman" w:hAnsi="Times New Roman" w:cs="Times New Roman"/>
          <w:sz w:val="24"/>
          <w:szCs w:val="24"/>
        </w:rPr>
        <w:t>in that</w:t>
      </w:r>
      <w:r>
        <w:rPr>
          <w:rFonts w:ascii="Times New Roman" w:hAnsi="Times New Roman" w:cs="Times New Roman"/>
          <w:sz w:val="24"/>
          <w:szCs w:val="24"/>
        </w:rPr>
        <w:t xml:space="preserve"> the first respondent did not support this averment with proof in the form of documents showing firstly what it says was deposited and secondly how much </w:t>
      </w:r>
      <w:r w:rsidR="002B416F">
        <w:rPr>
          <w:rFonts w:ascii="Times New Roman" w:hAnsi="Times New Roman" w:cs="Times New Roman"/>
          <w:sz w:val="24"/>
          <w:szCs w:val="24"/>
        </w:rPr>
        <w:t>was subsequently withdrawn.</w:t>
      </w:r>
    </w:p>
    <w:p w:rsidR="00471BA4" w:rsidRDefault="002B416F"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these reasons, I am satisfied that the applicant has shown that the first respondent has not </w:t>
      </w:r>
      <w:r>
        <w:rPr>
          <w:rFonts w:ascii="Times New Roman" w:hAnsi="Times New Roman" w:cs="Times New Roman"/>
          <w:i/>
          <w:sz w:val="24"/>
          <w:szCs w:val="24"/>
        </w:rPr>
        <w:t>bona fide</w:t>
      </w:r>
      <w:r>
        <w:rPr>
          <w:rFonts w:ascii="Times New Roman" w:hAnsi="Times New Roman" w:cs="Times New Roman"/>
          <w:sz w:val="24"/>
          <w:szCs w:val="24"/>
        </w:rPr>
        <w:t xml:space="preserve"> defence to its claim. As regards costs, both parties have asked the court to award costs on a legal practitioner and client scale. The first respondent’s argument is that </w:t>
      </w:r>
      <w:r w:rsidR="0045113E">
        <w:rPr>
          <w:rFonts w:ascii="Times New Roman" w:hAnsi="Times New Roman" w:cs="Times New Roman"/>
          <w:sz w:val="24"/>
          <w:szCs w:val="24"/>
        </w:rPr>
        <w:t xml:space="preserve">the </w:t>
      </w:r>
      <w:r>
        <w:rPr>
          <w:rFonts w:ascii="Times New Roman" w:hAnsi="Times New Roman" w:cs="Times New Roman"/>
          <w:sz w:val="24"/>
          <w:szCs w:val="24"/>
        </w:rPr>
        <w:t>applicant should have</w:t>
      </w:r>
      <w:r w:rsidR="0045113E">
        <w:rPr>
          <w:rFonts w:ascii="Times New Roman" w:hAnsi="Times New Roman" w:cs="Times New Roman"/>
          <w:sz w:val="24"/>
          <w:szCs w:val="24"/>
        </w:rPr>
        <w:t xml:space="preserve"> foreseen the inappropriateness of the summary judgement procedure. On the other hand, the applicant argued that it is the first respondent’s conduct that has “unnecessarily and unreasonably precipitated and catapulted” the present litigation where it had neither modicum not scintilla of defence to the action. It was further submitted that the first respondent’s conduct amounts to an abuse of court process in that it is mendacious and </w:t>
      </w:r>
      <w:r w:rsidR="0045113E" w:rsidRPr="0045113E">
        <w:rPr>
          <w:rFonts w:ascii="Times New Roman" w:hAnsi="Times New Roman" w:cs="Times New Roman"/>
          <w:i/>
          <w:sz w:val="24"/>
          <w:szCs w:val="24"/>
        </w:rPr>
        <w:t>mala fide</w:t>
      </w:r>
      <w:r w:rsidR="0045113E">
        <w:rPr>
          <w:rFonts w:ascii="Times New Roman" w:hAnsi="Times New Roman" w:cs="Times New Roman"/>
          <w:sz w:val="24"/>
          <w:szCs w:val="24"/>
        </w:rPr>
        <w:t xml:space="preserve"> </w:t>
      </w:r>
      <w:bookmarkStart w:id="0" w:name="_GoBack"/>
      <w:bookmarkEnd w:id="0"/>
    </w:p>
    <w:p w:rsidR="00E65A61" w:rsidRDefault="00471BA4"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According to Herbstein and van Winsen, </w:t>
      </w:r>
      <w:r>
        <w:rPr>
          <w:rFonts w:ascii="Times New Roman" w:hAnsi="Times New Roman" w:cs="Times New Roman"/>
          <w:sz w:val="24"/>
          <w:szCs w:val="24"/>
          <w:u w:val="single"/>
        </w:rPr>
        <w:t>The Civil Practice of the Superior Courts in South Africa,</w:t>
      </w:r>
      <w:r>
        <w:rPr>
          <w:rFonts w:ascii="Times New Roman" w:hAnsi="Times New Roman" w:cs="Times New Roman"/>
          <w:sz w:val="24"/>
          <w:szCs w:val="24"/>
        </w:rPr>
        <w:t xml:space="preserve"> 3</w:t>
      </w:r>
      <w:r w:rsidRPr="00471BA4">
        <w:rPr>
          <w:rFonts w:ascii="Times New Roman" w:hAnsi="Times New Roman" w:cs="Times New Roman"/>
          <w:sz w:val="24"/>
          <w:szCs w:val="24"/>
          <w:vertAlign w:val="superscript"/>
        </w:rPr>
        <w:t>rd</w:t>
      </w:r>
      <w:r>
        <w:rPr>
          <w:rFonts w:ascii="Times New Roman" w:hAnsi="Times New Roman" w:cs="Times New Roman"/>
          <w:sz w:val="24"/>
          <w:szCs w:val="24"/>
        </w:rPr>
        <w:t xml:space="preserve"> ed, Juta and Co.</w:t>
      </w:r>
      <w:r w:rsidR="00E65A61">
        <w:rPr>
          <w:rFonts w:ascii="Times New Roman" w:hAnsi="Times New Roman" w:cs="Times New Roman"/>
          <w:sz w:val="24"/>
          <w:szCs w:val="24"/>
        </w:rPr>
        <w:t xml:space="preserve"> </w:t>
      </w:r>
      <w:r>
        <w:rPr>
          <w:rFonts w:ascii="Times New Roman" w:hAnsi="Times New Roman" w:cs="Times New Roman"/>
          <w:sz w:val="24"/>
          <w:szCs w:val="24"/>
        </w:rPr>
        <w:t xml:space="preserve">Ltd 1979 at p 487, such costs will not be lightly granted as the court looks upon such orders with disfavour and </w:t>
      </w:r>
      <w:r w:rsidR="00E308BB">
        <w:rPr>
          <w:rFonts w:ascii="Times New Roman" w:hAnsi="Times New Roman" w:cs="Times New Roman"/>
          <w:sz w:val="24"/>
          <w:szCs w:val="24"/>
        </w:rPr>
        <w:t>is</w:t>
      </w:r>
      <w:r>
        <w:rPr>
          <w:rFonts w:ascii="Times New Roman" w:hAnsi="Times New Roman" w:cs="Times New Roman"/>
          <w:sz w:val="24"/>
          <w:szCs w:val="24"/>
        </w:rPr>
        <w:t xml:space="preserve"> loath to penalise a person who has exercised his right to obtain a judicial decision on any complaint he may have. Attorney and client costs may be granted, according to these two learned authors, on the grounds of an “abuse of the process of the court, vexations, </w:t>
      </w:r>
      <w:r>
        <w:rPr>
          <w:rFonts w:ascii="Times New Roman" w:hAnsi="Times New Roman" w:cs="Times New Roman"/>
          <w:sz w:val="24"/>
          <w:szCs w:val="24"/>
          <w:u w:val="single"/>
        </w:rPr>
        <w:t>unscrupulous</w:t>
      </w:r>
      <w:r>
        <w:rPr>
          <w:rFonts w:ascii="Times New Roman" w:hAnsi="Times New Roman" w:cs="Times New Roman"/>
          <w:sz w:val="24"/>
          <w:szCs w:val="24"/>
        </w:rPr>
        <w:t xml:space="preserve">, dilatory, mendacious conduct on the part of an unsuccessful litigant, absence of </w:t>
      </w:r>
      <w:r>
        <w:rPr>
          <w:rFonts w:ascii="Times New Roman" w:hAnsi="Times New Roman" w:cs="Times New Roman"/>
          <w:i/>
          <w:sz w:val="24"/>
          <w:szCs w:val="24"/>
        </w:rPr>
        <w:t>bona fides</w:t>
      </w:r>
      <w:r>
        <w:rPr>
          <w:rFonts w:ascii="Times New Roman" w:hAnsi="Times New Roman" w:cs="Times New Roman"/>
          <w:sz w:val="24"/>
          <w:szCs w:val="24"/>
        </w:rPr>
        <w:t xml:space="preserve"> in conducting litigation …” </w:t>
      </w:r>
      <w:r w:rsidR="00E65A61">
        <w:rPr>
          <w:rFonts w:ascii="Times New Roman" w:hAnsi="Times New Roman" w:cs="Times New Roman"/>
          <w:sz w:val="24"/>
          <w:szCs w:val="24"/>
        </w:rPr>
        <w:t>.</w:t>
      </w:r>
    </w:p>
    <w:p w:rsidR="00E37FD4" w:rsidRDefault="00E65A61"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casu, </w:t>
      </w:r>
      <w:r>
        <w:rPr>
          <w:rFonts w:ascii="Times New Roman" w:hAnsi="Times New Roman" w:cs="Times New Roman"/>
          <w:sz w:val="24"/>
          <w:szCs w:val="24"/>
        </w:rPr>
        <w:t xml:space="preserve">I find the first respondent’s conduct to be mendacious and vexatious in that its denial of receipt of the money and its failure to substantiate its claim that applicant withdrew </w:t>
      </w:r>
      <w:r w:rsidR="00E308BB">
        <w:rPr>
          <w:rFonts w:ascii="Times New Roman" w:hAnsi="Times New Roman" w:cs="Times New Roman"/>
          <w:sz w:val="24"/>
          <w:szCs w:val="24"/>
        </w:rPr>
        <w:t>s</w:t>
      </w:r>
      <w:r>
        <w:rPr>
          <w:rFonts w:ascii="Times New Roman" w:hAnsi="Times New Roman" w:cs="Times New Roman"/>
          <w:sz w:val="24"/>
          <w:szCs w:val="24"/>
        </w:rPr>
        <w:t xml:space="preserve">ome of the money are not only simple lies but annoying lies indicative of a high degree of unscrupulousness amounting to an abuse of the process of the court.  </w:t>
      </w:r>
    </w:p>
    <w:p w:rsidR="00E37FD4" w:rsidRDefault="00E37FD4"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it is ordered that:- </w:t>
      </w:r>
    </w:p>
    <w:p w:rsidR="00E37FD4" w:rsidRDefault="00E37FD4" w:rsidP="00803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summary judgment be and is hereby granted in the following terms:</w:t>
      </w:r>
    </w:p>
    <w:p w:rsidR="00E37FD4" w:rsidRDefault="00E37FD4" w:rsidP="00E37FD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be and is hereby ordered to pay the sum of US$1 628 704-24 </w:t>
      </w:r>
      <w:r w:rsidR="00E308BB">
        <w:rPr>
          <w:rFonts w:ascii="Times New Roman" w:hAnsi="Times New Roman" w:cs="Times New Roman"/>
          <w:sz w:val="24"/>
          <w:szCs w:val="24"/>
        </w:rPr>
        <w:t>(</w:t>
      </w:r>
      <w:r>
        <w:rPr>
          <w:rFonts w:ascii="Times New Roman" w:hAnsi="Times New Roman" w:cs="Times New Roman"/>
          <w:sz w:val="24"/>
          <w:szCs w:val="24"/>
        </w:rPr>
        <w:t>one million six hundred and twenty eight thousand seven hundred and four United States dollars and twenty-four cents) to the applicant with co</w:t>
      </w:r>
      <w:r w:rsidR="00E308BB">
        <w:rPr>
          <w:rFonts w:ascii="Times New Roman" w:hAnsi="Times New Roman" w:cs="Times New Roman"/>
          <w:sz w:val="24"/>
          <w:szCs w:val="24"/>
        </w:rPr>
        <w:t>s</w:t>
      </w:r>
      <w:r>
        <w:rPr>
          <w:rFonts w:ascii="Times New Roman" w:hAnsi="Times New Roman" w:cs="Times New Roman"/>
          <w:sz w:val="24"/>
          <w:szCs w:val="24"/>
        </w:rPr>
        <w:t>ts at attorney and client scale.</w:t>
      </w:r>
    </w:p>
    <w:p w:rsidR="005E5827" w:rsidRDefault="00E37FD4" w:rsidP="00E37FD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be and is hereby ordered </w:t>
      </w:r>
      <w:r w:rsidR="00E308BB">
        <w:rPr>
          <w:rFonts w:ascii="Times New Roman" w:hAnsi="Times New Roman" w:cs="Times New Roman"/>
          <w:sz w:val="24"/>
          <w:szCs w:val="24"/>
        </w:rPr>
        <w:t>t</w:t>
      </w:r>
      <w:r>
        <w:rPr>
          <w:rFonts w:ascii="Times New Roman" w:hAnsi="Times New Roman" w:cs="Times New Roman"/>
          <w:sz w:val="24"/>
          <w:szCs w:val="24"/>
        </w:rPr>
        <w:t xml:space="preserve">o pay interest on the above sum at the prescribed rate of 5% a </w:t>
      </w:r>
      <w:r w:rsidRPr="00E37FD4">
        <w:rPr>
          <w:rFonts w:ascii="Times New Roman" w:hAnsi="Times New Roman" w:cs="Times New Roman"/>
          <w:i/>
          <w:sz w:val="24"/>
          <w:szCs w:val="24"/>
        </w:rPr>
        <w:t>tempore morae</w:t>
      </w:r>
      <w:r>
        <w:rPr>
          <w:rFonts w:ascii="Times New Roman" w:hAnsi="Times New Roman" w:cs="Times New Roman"/>
          <w:sz w:val="24"/>
          <w:szCs w:val="24"/>
        </w:rPr>
        <w:t xml:space="preserve"> from the date of judgment to </w:t>
      </w:r>
      <w:r w:rsidR="00505EEC">
        <w:rPr>
          <w:rFonts w:ascii="Times New Roman" w:hAnsi="Times New Roman" w:cs="Times New Roman"/>
          <w:sz w:val="24"/>
          <w:szCs w:val="24"/>
        </w:rPr>
        <w:t>t</w:t>
      </w:r>
      <w:r>
        <w:rPr>
          <w:rFonts w:ascii="Times New Roman" w:hAnsi="Times New Roman" w:cs="Times New Roman"/>
          <w:sz w:val="24"/>
          <w:szCs w:val="24"/>
        </w:rPr>
        <w:t>he date of payment in full.</w:t>
      </w:r>
    </w:p>
    <w:p w:rsidR="005E5827" w:rsidRDefault="005E5827" w:rsidP="005E5827">
      <w:pPr>
        <w:spacing w:after="0" w:line="360" w:lineRule="auto"/>
        <w:jc w:val="both"/>
        <w:rPr>
          <w:rFonts w:ascii="Times New Roman" w:hAnsi="Times New Roman" w:cs="Times New Roman"/>
          <w:sz w:val="24"/>
          <w:szCs w:val="24"/>
        </w:rPr>
      </w:pPr>
    </w:p>
    <w:p w:rsidR="005E5827" w:rsidRDefault="005E5827" w:rsidP="005E5827">
      <w:pPr>
        <w:spacing w:after="0" w:line="360" w:lineRule="auto"/>
        <w:jc w:val="both"/>
        <w:rPr>
          <w:rFonts w:ascii="Times New Roman" w:hAnsi="Times New Roman" w:cs="Times New Roman"/>
          <w:sz w:val="24"/>
          <w:szCs w:val="24"/>
        </w:rPr>
      </w:pPr>
    </w:p>
    <w:p w:rsidR="005E5827" w:rsidRDefault="005E5827" w:rsidP="005E5827">
      <w:pPr>
        <w:spacing w:after="0" w:line="360" w:lineRule="auto"/>
        <w:jc w:val="both"/>
        <w:rPr>
          <w:rFonts w:ascii="Times New Roman" w:hAnsi="Times New Roman" w:cs="Times New Roman"/>
          <w:sz w:val="24"/>
          <w:szCs w:val="24"/>
        </w:rPr>
      </w:pPr>
    </w:p>
    <w:p w:rsidR="005E5827" w:rsidRDefault="005E5827" w:rsidP="005E582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Govere Law Chambers</w:t>
      </w:r>
      <w:r>
        <w:rPr>
          <w:rFonts w:ascii="Times New Roman" w:hAnsi="Times New Roman" w:cs="Times New Roman"/>
          <w:sz w:val="24"/>
          <w:szCs w:val="24"/>
        </w:rPr>
        <w:t>, applicant’s legal practitioners</w:t>
      </w:r>
    </w:p>
    <w:p w:rsidR="005E5827" w:rsidRDefault="005E5827" w:rsidP="005E582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McDowells International (Private) Limited c/o Messrs Kanokanga &amp; Partners</w:t>
      </w:r>
    </w:p>
    <w:p w:rsidR="0010682E" w:rsidRPr="005E5827" w:rsidRDefault="005E5827" w:rsidP="005E5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E58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sidR="00E37FD4" w:rsidRPr="005E5827">
        <w:rPr>
          <w:rFonts w:ascii="Times New Roman" w:hAnsi="Times New Roman" w:cs="Times New Roman"/>
          <w:sz w:val="24"/>
          <w:szCs w:val="24"/>
        </w:rPr>
        <w:t xml:space="preserve"> </w:t>
      </w:r>
      <w:r w:rsidR="00E65A61" w:rsidRPr="005E5827">
        <w:rPr>
          <w:rFonts w:ascii="Times New Roman" w:hAnsi="Times New Roman" w:cs="Times New Roman"/>
          <w:sz w:val="24"/>
          <w:szCs w:val="24"/>
        </w:rPr>
        <w:t xml:space="preserve">  </w:t>
      </w:r>
      <w:r w:rsidR="0045113E" w:rsidRPr="005E5827">
        <w:rPr>
          <w:rFonts w:ascii="Times New Roman" w:hAnsi="Times New Roman" w:cs="Times New Roman"/>
          <w:sz w:val="24"/>
          <w:szCs w:val="24"/>
        </w:rPr>
        <w:t xml:space="preserve">    </w:t>
      </w:r>
      <w:r w:rsidR="002B416F" w:rsidRPr="005E5827">
        <w:rPr>
          <w:rFonts w:ascii="Times New Roman" w:hAnsi="Times New Roman" w:cs="Times New Roman"/>
          <w:sz w:val="24"/>
          <w:szCs w:val="24"/>
        </w:rPr>
        <w:t xml:space="preserve">  </w:t>
      </w:r>
      <w:r w:rsidR="0010682E" w:rsidRPr="005E5827">
        <w:rPr>
          <w:rFonts w:ascii="Times New Roman" w:hAnsi="Times New Roman" w:cs="Times New Roman"/>
          <w:sz w:val="24"/>
          <w:szCs w:val="24"/>
        </w:rPr>
        <w:t xml:space="preserve">   </w:t>
      </w:r>
    </w:p>
    <w:p w:rsidR="00DD0242" w:rsidRPr="00803BE1" w:rsidRDefault="00181C87" w:rsidP="005E5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1">
        <w:rPr>
          <w:rFonts w:ascii="Times New Roman" w:hAnsi="Times New Roman" w:cs="Times New Roman"/>
          <w:sz w:val="24"/>
          <w:szCs w:val="24"/>
        </w:rPr>
        <w:t xml:space="preserve">       </w:t>
      </w:r>
      <w:r w:rsidR="00803BE1" w:rsidRPr="00803BE1">
        <w:rPr>
          <w:rFonts w:ascii="Times New Roman" w:hAnsi="Times New Roman" w:cs="Times New Roman"/>
          <w:sz w:val="24"/>
          <w:szCs w:val="24"/>
        </w:rPr>
        <w:t xml:space="preserve"> </w:t>
      </w:r>
      <w:r w:rsidR="00D94A74" w:rsidRPr="00803BE1">
        <w:rPr>
          <w:rFonts w:ascii="Times New Roman" w:hAnsi="Times New Roman" w:cs="Times New Roman"/>
          <w:sz w:val="24"/>
          <w:szCs w:val="24"/>
        </w:rPr>
        <w:t xml:space="preserve"> </w:t>
      </w:r>
      <w:r w:rsidR="004E6837" w:rsidRPr="00803BE1">
        <w:rPr>
          <w:rFonts w:ascii="Times New Roman" w:hAnsi="Times New Roman" w:cs="Times New Roman"/>
          <w:sz w:val="24"/>
          <w:szCs w:val="24"/>
        </w:rPr>
        <w:t xml:space="preserve">   </w:t>
      </w:r>
      <w:r w:rsidR="00684A64" w:rsidRPr="00803BE1">
        <w:rPr>
          <w:rFonts w:ascii="Times New Roman" w:hAnsi="Times New Roman" w:cs="Times New Roman"/>
          <w:sz w:val="24"/>
          <w:szCs w:val="24"/>
        </w:rPr>
        <w:t xml:space="preserve">  </w:t>
      </w:r>
      <w:r w:rsidR="00FF325C" w:rsidRPr="00803BE1">
        <w:rPr>
          <w:rFonts w:ascii="Times New Roman" w:hAnsi="Times New Roman" w:cs="Times New Roman"/>
          <w:sz w:val="24"/>
          <w:szCs w:val="24"/>
        </w:rPr>
        <w:t xml:space="preserve"> </w:t>
      </w:r>
      <w:r w:rsidR="0041606E" w:rsidRPr="00803BE1">
        <w:rPr>
          <w:rFonts w:ascii="Times New Roman" w:hAnsi="Times New Roman" w:cs="Times New Roman"/>
          <w:sz w:val="24"/>
          <w:szCs w:val="24"/>
        </w:rPr>
        <w:t xml:space="preserve">   </w:t>
      </w:r>
      <w:r w:rsidR="00D6026D" w:rsidRPr="00803BE1">
        <w:rPr>
          <w:rFonts w:ascii="Times New Roman" w:hAnsi="Times New Roman" w:cs="Times New Roman"/>
          <w:sz w:val="24"/>
          <w:szCs w:val="24"/>
        </w:rPr>
        <w:t xml:space="preserve"> </w:t>
      </w:r>
      <w:r w:rsidR="007B5D1B" w:rsidRPr="00803BE1">
        <w:rPr>
          <w:rFonts w:ascii="Times New Roman" w:hAnsi="Times New Roman" w:cs="Times New Roman"/>
          <w:sz w:val="24"/>
          <w:szCs w:val="24"/>
        </w:rPr>
        <w:t xml:space="preserve">  </w:t>
      </w:r>
      <w:r w:rsidR="0052053F" w:rsidRPr="00803BE1">
        <w:rPr>
          <w:rFonts w:ascii="Times New Roman" w:hAnsi="Times New Roman" w:cs="Times New Roman"/>
          <w:sz w:val="24"/>
          <w:szCs w:val="24"/>
        </w:rPr>
        <w:t xml:space="preserve"> </w:t>
      </w:r>
      <w:r w:rsidR="00DD0242" w:rsidRPr="00803BE1">
        <w:rPr>
          <w:rFonts w:ascii="Times New Roman" w:hAnsi="Times New Roman" w:cs="Times New Roman"/>
          <w:sz w:val="24"/>
          <w:szCs w:val="24"/>
        </w:rPr>
        <w:t xml:space="preserve">  </w:t>
      </w:r>
    </w:p>
    <w:p w:rsidR="001F2946" w:rsidRPr="0043229B" w:rsidRDefault="008C02A7" w:rsidP="005E5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29A5">
        <w:rPr>
          <w:rFonts w:ascii="Times New Roman" w:hAnsi="Times New Roman" w:cs="Times New Roman"/>
          <w:sz w:val="24"/>
          <w:szCs w:val="24"/>
        </w:rPr>
        <w:t xml:space="preserve"> </w:t>
      </w:r>
      <w:r w:rsidR="0043229B">
        <w:rPr>
          <w:rFonts w:ascii="Times New Roman" w:hAnsi="Times New Roman" w:cs="Times New Roman"/>
          <w:sz w:val="24"/>
          <w:szCs w:val="24"/>
        </w:rPr>
        <w:t xml:space="preserve"> </w:t>
      </w:r>
      <w:r w:rsidR="005631D8" w:rsidRPr="0043229B">
        <w:rPr>
          <w:rFonts w:ascii="Times New Roman" w:hAnsi="Times New Roman" w:cs="Times New Roman"/>
          <w:sz w:val="24"/>
          <w:szCs w:val="24"/>
        </w:rPr>
        <w:t xml:space="preserve">    </w:t>
      </w:r>
      <w:r w:rsidR="00FD1B24" w:rsidRPr="0043229B">
        <w:rPr>
          <w:rFonts w:ascii="Times New Roman" w:hAnsi="Times New Roman" w:cs="Times New Roman"/>
          <w:sz w:val="24"/>
          <w:szCs w:val="24"/>
        </w:rPr>
        <w:t xml:space="preserve">   </w:t>
      </w:r>
      <w:r w:rsidR="00B72D69" w:rsidRPr="0043229B">
        <w:rPr>
          <w:rFonts w:ascii="Times New Roman" w:hAnsi="Times New Roman" w:cs="Times New Roman"/>
          <w:sz w:val="24"/>
          <w:szCs w:val="24"/>
        </w:rPr>
        <w:t xml:space="preserve"> </w:t>
      </w:r>
      <w:r w:rsidR="007D2E0D" w:rsidRPr="0043229B">
        <w:rPr>
          <w:rFonts w:ascii="Times New Roman" w:hAnsi="Times New Roman" w:cs="Times New Roman"/>
          <w:sz w:val="24"/>
          <w:szCs w:val="24"/>
        </w:rPr>
        <w:t xml:space="preserve">   </w:t>
      </w:r>
      <w:r w:rsidR="00644F49" w:rsidRPr="0043229B">
        <w:rPr>
          <w:rFonts w:ascii="Times New Roman" w:hAnsi="Times New Roman" w:cs="Times New Roman"/>
          <w:sz w:val="24"/>
          <w:szCs w:val="24"/>
        </w:rPr>
        <w:tab/>
        <w:t xml:space="preserve">    </w:t>
      </w:r>
      <w:r w:rsidR="001F2946" w:rsidRPr="0043229B">
        <w:rPr>
          <w:rFonts w:ascii="Times New Roman" w:hAnsi="Times New Roman" w:cs="Times New Roman"/>
          <w:sz w:val="24"/>
          <w:szCs w:val="24"/>
        </w:rPr>
        <w:t xml:space="preserve">   </w:t>
      </w:r>
    </w:p>
    <w:sectPr w:rsidR="001F2946" w:rsidRPr="0043229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03" w:rsidRDefault="00624603" w:rsidP="00FC3823">
      <w:pPr>
        <w:spacing w:after="0" w:line="240" w:lineRule="auto"/>
      </w:pPr>
      <w:r>
        <w:separator/>
      </w:r>
    </w:p>
  </w:endnote>
  <w:endnote w:type="continuationSeparator" w:id="0">
    <w:p w:rsidR="00624603" w:rsidRDefault="00624603" w:rsidP="00FC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03" w:rsidRDefault="00624603" w:rsidP="00FC3823">
      <w:pPr>
        <w:spacing w:after="0" w:line="240" w:lineRule="auto"/>
      </w:pPr>
      <w:r>
        <w:separator/>
      </w:r>
    </w:p>
  </w:footnote>
  <w:footnote w:type="continuationSeparator" w:id="0">
    <w:p w:rsidR="00624603" w:rsidRDefault="00624603" w:rsidP="00FC3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065281"/>
      <w:docPartObj>
        <w:docPartGallery w:val="Page Numbers (Top of Page)"/>
        <w:docPartUnique/>
      </w:docPartObj>
    </w:sdtPr>
    <w:sdtEndPr>
      <w:rPr>
        <w:noProof/>
      </w:rPr>
    </w:sdtEndPr>
    <w:sdtContent>
      <w:p w:rsidR="00FC3823" w:rsidRDefault="00FC3823">
        <w:pPr>
          <w:pStyle w:val="Header"/>
          <w:jc w:val="right"/>
          <w:rPr>
            <w:noProof/>
          </w:rPr>
        </w:pPr>
        <w:r>
          <w:fldChar w:fldCharType="begin"/>
        </w:r>
        <w:r>
          <w:instrText xml:space="preserve"> PAGE   \* MERGEFORMAT </w:instrText>
        </w:r>
        <w:r>
          <w:fldChar w:fldCharType="separate"/>
        </w:r>
        <w:r w:rsidR="004907D4">
          <w:rPr>
            <w:noProof/>
          </w:rPr>
          <w:t>6</w:t>
        </w:r>
        <w:r>
          <w:rPr>
            <w:noProof/>
          </w:rPr>
          <w:fldChar w:fldCharType="end"/>
        </w:r>
      </w:p>
      <w:p w:rsidR="00FC3823" w:rsidRDefault="00FC3823">
        <w:pPr>
          <w:pStyle w:val="Header"/>
          <w:jc w:val="right"/>
          <w:rPr>
            <w:noProof/>
          </w:rPr>
        </w:pPr>
        <w:r>
          <w:rPr>
            <w:noProof/>
          </w:rPr>
          <w:t>HH</w:t>
        </w:r>
        <w:r w:rsidR="00B96471">
          <w:rPr>
            <w:noProof/>
          </w:rPr>
          <w:t xml:space="preserve"> 288-13</w:t>
        </w:r>
      </w:p>
      <w:p w:rsidR="00FC3823" w:rsidRDefault="00FC3823">
        <w:pPr>
          <w:pStyle w:val="Header"/>
          <w:jc w:val="right"/>
          <w:rPr>
            <w:noProof/>
          </w:rPr>
        </w:pPr>
        <w:r>
          <w:rPr>
            <w:noProof/>
          </w:rPr>
          <w:t>HC 2771/13</w:t>
        </w:r>
      </w:p>
      <w:p w:rsidR="00FC3823" w:rsidRDefault="00FC3823">
        <w:pPr>
          <w:pStyle w:val="Header"/>
          <w:jc w:val="right"/>
        </w:pPr>
        <w:r>
          <w:rPr>
            <w:noProof/>
          </w:rPr>
          <w:t>Ref Case HC 2231/13</w:t>
        </w:r>
      </w:p>
    </w:sdtContent>
  </w:sdt>
  <w:p w:rsidR="00FC3823" w:rsidRDefault="00FC3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7DE"/>
    <w:multiLevelType w:val="hybridMultilevel"/>
    <w:tmpl w:val="936CFCF6"/>
    <w:lvl w:ilvl="0" w:tplc="F744A926">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575BA7"/>
    <w:multiLevelType w:val="hybridMultilevel"/>
    <w:tmpl w:val="F2D0BC68"/>
    <w:lvl w:ilvl="0" w:tplc="6B32C9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DB327B"/>
    <w:multiLevelType w:val="hybridMultilevel"/>
    <w:tmpl w:val="88E8D5FA"/>
    <w:lvl w:ilvl="0" w:tplc="823A88D2">
      <w:start w:val="9"/>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C3B5701"/>
    <w:multiLevelType w:val="hybridMultilevel"/>
    <w:tmpl w:val="46209702"/>
    <w:lvl w:ilvl="0" w:tplc="E6C6DE5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157796A"/>
    <w:multiLevelType w:val="hybridMultilevel"/>
    <w:tmpl w:val="A7C80DAA"/>
    <w:lvl w:ilvl="0" w:tplc="36E8AC90">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52320D0"/>
    <w:multiLevelType w:val="hybridMultilevel"/>
    <w:tmpl w:val="083C414A"/>
    <w:lvl w:ilvl="0" w:tplc="493C093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622860E7"/>
    <w:multiLevelType w:val="hybridMultilevel"/>
    <w:tmpl w:val="2AF09B64"/>
    <w:lvl w:ilvl="0" w:tplc="43E4E8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03577D9"/>
    <w:multiLevelType w:val="hybridMultilevel"/>
    <w:tmpl w:val="D406A934"/>
    <w:lvl w:ilvl="0" w:tplc="564CFC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2"/>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46"/>
    <w:rsid w:val="00023105"/>
    <w:rsid w:val="00027A97"/>
    <w:rsid w:val="00043A44"/>
    <w:rsid w:val="00083172"/>
    <w:rsid w:val="0010682E"/>
    <w:rsid w:val="00125EBD"/>
    <w:rsid w:val="00181C87"/>
    <w:rsid w:val="001F2946"/>
    <w:rsid w:val="0022003B"/>
    <w:rsid w:val="00224171"/>
    <w:rsid w:val="002B1267"/>
    <w:rsid w:val="002B416F"/>
    <w:rsid w:val="00321DD8"/>
    <w:rsid w:val="0041606E"/>
    <w:rsid w:val="0043229B"/>
    <w:rsid w:val="0045113E"/>
    <w:rsid w:val="00463BE7"/>
    <w:rsid w:val="00471BA4"/>
    <w:rsid w:val="004907D4"/>
    <w:rsid w:val="004E5361"/>
    <w:rsid w:val="004E6837"/>
    <w:rsid w:val="00505EEC"/>
    <w:rsid w:val="0052053F"/>
    <w:rsid w:val="005229A5"/>
    <w:rsid w:val="005631D8"/>
    <w:rsid w:val="005B18B1"/>
    <w:rsid w:val="005E5827"/>
    <w:rsid w:val="00615350"/>
    <w:rsid w:val="00624603"/>
    <w:rsid w:val="00644F49"/>
    <w:rsid w:val="00684A64"/>
    <w:rsid w:val="006B7B59"/>
    <w:rsid w:val="007B5D1B"/>
    <w:rsid w:val="007D2E0D"/>
    <w:rsid w:val="007D61E4"/>
    <w:rsid w:val="007F5E9C"/>
    <w:rsid w:val="00803BE1"/>
    <w:rsid w:val="008456EE"/>
    <w:rsid w:val="00885F6A"/>
    <w:rsid w:val="008C02A7"/>
    <w:rsid w:val="008E7298"/>
    <w:rsid w:val="00973628"/>
    <w:rsid w:val="009D3737"/>
    <w:rsid w:val="00A159E5"/>
    <w:rsid w:val="00A54FA3"/>
    <w:rsid w:val="00B24FF7"/>
    <w:rsid w:val="00B72D69"/>
    <w:rsid w:val="00B82B98"/>
    <w:rsid w:val="00B96471"/>
    <w:rsid w:val="00BA0975"/>
    <w:rsid w:val="00BA1896"/>
    <w:rsid w:val="00C10EE1"/>
    <w:rsid w:val="00C32F24"/>
    <w:rsid w:val="00CC269E"/>
    <w:rsid w:val="00CE7772"/>
    <w:rsid w:val="00D6026D"/>
    <w:rsid w:val="00D94983"/>
    <w:rsid w:val="00D94A74"/>
    <w:rsid w:val="00DD0242"/>
    <w:rsid w:val="00E308BB"/>
    <w:rsid w:val="00E37FD4"/>
    <w:rsid w:val="00E50DA4"/>
    <w:rsid w:val="00E65A61"/>
    <w:rsid w:val="00E846D2"/>
    <w:rsid w:val="00ED5F3F"/>
    <w:rsid w:val="00F47FC1"/>
    <w:rsid w:val="00FC3823"/>
    <w:rsid w:val="00FD1B24"/>
    <w:rsid w:val="00FF32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50"/>
    <w:pPr>
      <w:ind w:left="720"/>
      <w:contextualSpacing/>
    </w:pPr>
  </w:style>
  <w:style w:type="paragraph" w:styleId="Header">
    <w:name w:val="header"/>
    <w:basedOn w:val="Normal"/>
    <w:link w:val="HeaderChar"/>
    <w:uiPriority w:val="99"/>
    <w:unhideWhenUsed/>
    <w:rsid w:val="00FC3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823"/>
  </w:style>
  <w:style w:type="paragraph" w:styleId="Footer">
    <w:name w:val="footer"/>
    <w:basedOn w:val="Normal"/>
    <w:link w:val="FooterChar"/>
    <w:uiPriority w:val="99"/>
    <w:unhideWhenUsed/>
    <w:rsid w:val="00FC3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823"/>
  </w:style>
  <w:style w:type="paragraph" w:styleId="BalloonText">
    <w:name w:val="Balloon Text"/>
    <w:basedOn w:val="Normal"/>
    <w:link w:val="BalloonTextChar"/>
    <w:uiPriority w:val="99"/>
    <w:semiHidden/>
    <w:unhideWhenUsed/>
    <w:rsid w:val="00C32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50"/>
    <w:pPr>
      <w:ind w:left="720"/>
      <w:contextualSpacing/>
    </w:pPr>
  </w:style>
  <w:style w:type="paragraph" w:styleId="Header">
    <w:name w:val="header"/>
    <w:basedOn w:val="Normal"/>
    <w:link w:val="HeaderChar"/>
    <w:uiPriority w:val="99"/>
    <w:unhideWhenUsed/>
    <w:rsid w:val="00FC3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823"/>
  </w:style>
  <w:style w:type="paragraph" w:styleId="Footer">
    <w:name w:val="footer"/>
    <w:basedOn w:val="Normal"/>
    <w:link w:val="FooterChar"/>
    <w:uiPriority w:val="99"/>
    <w:unhideWhenUsed/>
    <w:rsid w:val="00FC3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823"/>
  </w:style>
  <w:style w:type="paragraph" w:styleId="BalloonText">
    <w:name w:val="Balloon Text"/>
    <w:basedOn w:val="Normal"/>
    <w:link w:val="BalloonTextChar"/>
    <w:uiPriority w:val="99"/>
    <w:semiHidden/>
    <w:unhideWhenUsed/>
    <w:rsid w:val="00C32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48FB-01F5-407C-B6C9-59120383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2013-09-12T08:15:00Z</cp:lastPrinted>
  <dcterms:created xsi:type="dcterms:W3CDTF">2013-10-01T13:12:00Z</dcterms:created>
  <dcterms:modified xsi:type="dcterms:W3CDTF">2013-10-01T13:12:00Z</dcterms:modified>
</cp:coreProperties>
</file>