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921" w:rsidRPr="00140263" w:rsidRDefault="00121921" w:rsidP="00140263">
      <w:pPr>
        <w:pStyle w:val="NoSpacing"/>
        <w:jc w:val="both"/>
        <w:rPr>
          <w:b/>
          <w:sz w:val="24"/>
          <w:szCs w:val="24"/>
          <w:lang w:val="en-US"/>
        </w:rPr>
      </w:pPr>
      <w:r w:rsidRPr="00140263">
        <w:rPr>
          <w:b/>
          <w:sz w:val="24"/>
          <w:szCs w:val="24"/>
          <w:lang w:val="en-US"/>
        </w:rPr>
        <w:t>BISHOP MWEMBE</w:t>
      </w:r>
    </w:p>
    <w:p w:rsidR="00121921" w:rsidRPr="00140263" w:rsidRDefault="00121921" w:rsidP="00140263">
      <w:pPr>
        <w:pStyle w:val="NoSpacing"/>
        <w:jc w:val="both"/>
        <w:rPr>
          <w:b/>
          <w:sz w:val="24"/>
          <w:szCs w:val="24"/>
          <w:lang w:val="en-US"/>
        </w:rPr>
      </w:pPr>
    </w:p>
    <w:p w:rsidR="00121921" w:rsidRPr="00140263" w:rsidRDefault="00121921" w:rsidP="00140263">
      <w:pPr>
        <w:pStyle w:val="NoSpacing"/>
        <w:jc w:val="both"/>
        <w:rPr>
          <w:b/>
          <w:sz w:val="24"/>
          <w:szCs w:val="24"/>
          <w:lang w:val="en-US"/>
        </w:rPr>
      </w:pPr>
      <w:r w:rsidRPr="00140263">
        <w:rPr>
          <w:b/>
          <w:sz w:val="24"/>
          <w:szCs w:val="24"/>
          <w:lang w:val="en-US"/>
        </w:rPr>
        <w:t>Versus</w:t>
      </w:r>
    </w:p>
    <w:p w:rsidR="00121921" w:rsidRPr="00140263" w:rsidRDefault="00121921" w:rsidP="00140263">
      <w:pPr>
        <w:pStyle w:val="NoSpacing"/>
        <w:jc w:val="both"/>
        <w:rPr>
          <w:b/>
          <w:sz w:val="24"/>
          <w:szCs w:val="24"/>
          <w:lang w:val="en-US"/>
        </w:rPr>
      </w:pPr>
    </w:p>
    <w:p w:rsidR="00121921" w:rsidRPr="00140263" w:rsidRDefault="00121921" w:rsidP="00140263">
      <w:pPr>
        <w:pStyle w:val="NoSpacing"/>
        <w:jc w:val="both"/>
        <w:rPr>
          <w:b/>
          <w:sz w:val="24"/>
          <w:szCs w:val="24"/>
          <w:lang w:val="en-US"/>
        </w:rPr>
      </w:pPr>
      <w:r w:rsidRPr="00140263">
        <w:rPr>
          <w:b/>
          <w:sz w:val="24"/>
          <w:szCs w:val="24"/>
          <w:lang w:val="en-US"/>
        </w:rPr>
        <w:t>THE STATE</w:t>
      </w:r>
    </w:p>
    <w:p w:rsidR="00121921" w:rsidRPr="00140263" w:rsidRDefault="00121921" w:rsidP="00140263">
      <w:pPr>
        <w:pStyle w:val="NoSpacing"/>
        <w:jc w:val="both"/>
        <w:rPr>
          <w:b/>
          <w:sz w:val="24"/>
          <w:szCs w:val="24"/>
          <w:lang w:val="en-US"/>
        </w:rPr>
      </w:pPr>
    </w:p>
    <w:p w:rsidR="00121921" w:rsidRPr="00140263" w:rsidRDefault="00121921" w:rsidP="00140263">
      <w:pPr>
        <w:pStyle w:val="NoSpacing"/>
        <w:jc w:val="both"/>
        <w:rPr>
          <w:sz w:val="24"/>
          <w:szCs w:val="24"/>
          <w:lang w:val="en-US"/>
        </w:rPr>
      </w:pPr>
      <w:r w:rsidRPr="00140263">
        <w:rPr>
          <w:sz w:val="24"/>
          <w:szCs w:val="24"/>
          <w:lang w:val="en-US"/>
        </w:rPr>
        <w:t>IN THE HIGH COURT OF ZIMBABWE</w:t>
      </w:r>
    </w:p>
    <w:p w:rsidR="00121921" w:rsidRPr="00140263" w:rsidRDefault="00121921" w:rsidP="00140263">
      <w:pPr>
        <w:pStyle w:val="NoSpacing"/>
        <w:jc w:val="both"/>
        <w:rPr>
          <w:sz w:val="24"/>
          <w:szCs w:val="24"/>
          <w:lang w:val="en-US"/>
        </w:rPr>
      </w:pPr>
      <w:r w:rsidRPr="00140263">
        <w:rPr>
          <w:sz w:val="24"/>
          <w:szCs w:val="24"/>
          <w:lang w:val="en-US"/>
        </w:rPr>
        <w:t>MOYO J</w:t>
      </w:r>
    </w:p>
    <w:p w:rsidR="00121921" w:rsidRPr="00140263" w:rsidRDefault="00121921" w:rsidP="00140263">
      <w:pPr>
        <w:pStyle w:val="NoSpacing"/>
        <w:jc w:val="both"/>
        <w:rPr>
          <w:sz w:val="24"/>
          <w:szCs w:val="24"/>
          <w:lang w:val="en-US"/>
        </w:rPr>
      </w:pPr>
      <w:r w:rsidRPr="00140263">
        <w:rPr>
          <w:sz w:val="24"/>
          <w:szCs w:val="24"/>
          <w:lang w:val="en-US"/>
        </w:rPr>
        <w:t>BULAWAYO</w:t>
      </w:r>
      <w:r w:rsidR="009D08D2">
        <w:rPr>
          <w:sz w:val="24"/>
          <w:szCs w:val="24"/>
          <w:lang w:val="en-US"/>
        </w:rPr>
        <w:t xml:space="preserve"> 24 OCTOBER 2022</w:t>
      </w:r>
    </w:p>
    <w:p w:rsidR="00121921" w:rsidRPr="00140263" w:rsidRDefault="00121921" w:rsidP="00140263">
      <w:pPr>
        <w:pStyle w:val="NoSpacing"/>
        <w:jc w:val="both"/>
        <w:rPr>
          <w:sz w:val="24"/>
          <w:szCs w:val="24"/>
          <w:lang w:val="en-US"/>
        </w:rPr>
      </w:pPr>
    </w:p>
    <w:p w:rsidR="00121921" w:rsidRPr="00140263" w:rsidRDefault="00121921" w:rsidP="00140263">
      <w:pPr>
        <w:pStyle w:val="NoSpacing"/>
        <w:jc w:val="both"/>
        <w:rPr>
          <w:b/>
          <w:sz w:val="24"/>
          <w:szCs w:val="24"/>
          <w:lang w:val="en-US"/>
        </w:rPr>
      </w:pPr>
      <w:r w:rsidRPr="00140263">
        <w:rPr>
          <w:b/>
          <w:sz w:val="24"/>
          <w:szCs w:val="24"/>
          <w:lang w:val="en-US"/>
        </w:rPr>
        <w:t xml:space="preserve">Chamber application for </w:t>
      </w:r>
      <w:proofErr w:type="spellStart"/>
      <w:r w:rsidRPr="00140263">
        <w:rPr>
          <w:b/>
          <w:sz w:val="24"/>
          <w:szCs w:val="24"/>
          <w:lang w:val="en-US"/>
        </w:rPr>
        <w:t>condonation</w:t>
      </w:r>
      <w:proofErr w:type="spellEnd"/>
      <w:r w:rsidRPr="00140263">
        <w:rPr>
          <w:b/>
          <w:sz w:val="24"/>
          <w:szCs w:val="24"/>
          <w:lang w:val="en-US"/>
        </w:rPr>
        <w:t xml:space="preserve"> of the late noting of an appeal</w:t>
      </w:r>
    </w:p>
    <w:p w:rsidR="00121921" w:rsidRPr="00140263" w:rsidRDefault="00121921" w:rsidP="00140263">
      <w:pPr>
        <w:pStyle w:val="NoSpacing"/>
        <w:jc w:val="both"/>
        <w:rPr>
          <w:b/>
          <w:sz w:val="24"/>
          <w:szCs w:val="24"/>
          <w:lang w:val="en-US"/>
        </w:rPr>
      </w:pPr>
    </w:p>
    <w:p w:rsidR="00121921" w:rsidRPr="00140263" w:rsidRDefault="00121921" w:rsidP="00140263">
      <w:pPr>
        <w:pStyle w:val="NoSpacing"/>
        <w:jc w:val="both"/>
        <w:rPr>
          <w:sz w:val="24"/>
          <w:szCs w:val="24"/>
          <w:lang w:val="en-US"/>
        </w:rPr>
      </w:pPr>
      <w:r w:rsidRPr="00140263">
        <w:rPr>
          <w:i/>
          <w:sz w:val="24"/>
          <w:szCs w:val="24"/>
          <w:lang w:val="en-US"/>
        </w:rPr>
        <w:t xml:space="preserve">Z.C. </w:t>
      </w:r>
      <w:proofErr w:type="spellStart"/>
      <w:r w:rsidRPr="00140263">
        <w:rPr>
          <w:i/>
          <w:sz w:val="24"/>
          <w:szCs w:val="24"/>
          <w:lang w:val="en-US"/>
        </w:rPr>
        <w:t>Ncube</w:t>
      </w:r>
      <w:proofErr w:type="spellEnd"/>
      <w:r w:rsidRPr="00140263">
        <w:rPr>
          <w:sz w:val="24"/>
          <w:szCs w:val="24"/>
          <w:lang w:val="en-US"/>
        </w:rPr>
        <w:t xml:space="preserve"> for the applicant</w:t>
      </w:r>
    </w:p>
    <w:p w:rsidR="00121921" w:rsidRPr="00140263" w:rsidRDefault="00121921" w:rsidP="00140263">
      <w:pPr>
        <w:pStyle w:val="NoSpacing"/>
        <w:jc w:val="both"/>
        <w:rPr>
          <w:sz w:val="24"/>
          <w:szCs w:val="24"/>
          <w:lang w:val="en-US"/>
        </w:rPr>
      </w:pPr>
      <w:r w:rsidRPr="00140263">
        <w:rPr>
          <w:i/>
          <w:sz w:val="24"/>
          <w:szCs w:val="24"/>
          <w:lang w:val="en-US"/>
        </w:rPr>
        <w:t xml:space="preserve">A. </w:t>
      </w:r>
      <w:proofErr w:type="spellStart"/>
      <w:r w:rsidRPr="00140263">
        <w:rPr>
          <w:i/>
          <w:sz w:val="24"/>
          <w:szCs w:val="24"/>
          <w:lang w:val="en-US"/>
        </w:rPr>
        <w:t>Nyathi</w:t>
      </w:r>
      <w:proofErr w:type="spellEnd"/>
      <w:r w:rsidRPr="00140263">
        <w:rPr>
          <w:sz w:val="24"/>
          <w:szCs w:val="24"/>
          <w:lang w:val="en-US"/>
        </w:rPr>
        <w:t xml:space="preserve"> for the respondent</w:t>
      </w:r>
    </w:p>
    <w:p w:rsidR="00121921" w:rsidRPr="00140263" w:rsidRDefault="00121921" w:rsidP="00140263">
      <w:pPr>
        <w:pStyle w:val="NoSpacing"/>
        <w:jc w:val="both"/>
        <w:rPr>
          <w:sz w:val="24"/>
          <w:szCs w:val="24"/>
          <w:lang w:val="en-US"/>
        </w:rPr>
      </w:pPr>
    </w:p>
    <w:p w:rsidR="00121921" w:rsidRPr="00140263" w:rsidRDefault="00121921" w:rsidP="00140263">
      <w:pPr>
        <w:jc w:val="both"/>
        <w:rPr>
          <w:sz w:val="24"/>
          <w:szCs w:val="24"/>
          <w:lang w:val="en-US"/>
        </w:rPr>
      </w:pPr>
      <w:r w:rsidRPr="00140263">
        <w:rPr>
          <w:sz w:val="24"/>
          <w:szCs w:val="24"/>
          <w:lang w:val="en-US"/>
        </w:rPr>
        <w:tab/>
      </w:r>
      <w:r w:rsidRPr="00140263">
        <w:rPr>
          <w:b/>
          <w:sz w:val="24"/>
          <w:szCs w:val="24"/>
          <w:lang w:val="en-US"/>
        </w:rPr>
        <w:t>MOYO J:</w:t>
      </w:r>
      <w:r w:rsidRPr="00140263">
        <w:rPr>
          <w:b/>
          <w:sz w:val="24"/>
          <w:szCs w:val="24"/>
          <w:lang w:val="en-US"/>
        </w:rPr>
        <w:tab/>
      </w:r>
      <w:r w:rsidRPr="00140263">
        <w:rPr>
          <w:sz w:val="24"/>
          <w:szCs w:val="24"/>
          <w:lang w:val="en-US"/>
        </w:rPr>
        <w:t>This is an appeal that was brought to me via the chamber book.  I dealt with the matter in chambers and dismissed the application for lack of prospects of success on appeal.</w:t>
      </w:r>
    </w:p>
    <w:p w:rsidR="00121921" w:rsidRPr="00140263" w:rsidRDefault="00121921" w:rsidP="00140263">
      <w:pPr>
        <w:jc w:val="both"/>
        <w:rPr>
          <w:sz w:val="24"/>
          <w:szCs w:val="24"/>
          <w:lang w:val="en-US"/>
        </w:rPr>
      </w:pPr>
      <w:r w:rsidRPr="00140263">
        <w:rPr>
          <w:sz w:val="24"/>
          <w:szCs w:val="24"/>
          <w:lang w:val="en-US"/>
        </w:rPr>
        <w:tab/>
        <w:t>The application has sought detailed reasons.  Here are they:</w:t>
      </w:r>
    </w:p>
    <w:p w:rsidR="00121921" w:rsidRPr="00140263" w:rsidRDefault="00121921" w:rsidP="00140263">
      <w:pPr>
        <w:jc w:val="both"/>
        <w:rPr>
          <w:sz w:val="24"/>
          <w:szCs w:val="24"/>
          <w:lang w:val="en-US"/>
        </w:rPr>
      </w:pPr>
      <w:r w:rsidRPr="00140263">
        <w:rPr>
          <w:sz w:val="24"/>
          <w:szCs w:val="24"/>
          <w:lang w:val="en-US"/>
        </w:rPr>
        <w:tab/>
        <w:t xml:space="preserve">The applicant was convicted by the magistrate sitting at </w:t>
      </w:r>
      <w:proofErr w:type="spellStart"/>
      <w:r w:rsidRPr="00140263">
        <w:rPr>
          <w:sz w:val="24"/>
          <w:szCs w:val="24"/>
          <w:lang w:val="en-US"/>
        </w:rPr>
        <w:t>Binga</w:t>
      </w:r>
      <w:proofErr w:type="spellEnd"/>
      <w:r w:rsidRPr="00140263">
        <w:rPr>
          <w:sz w:val="24"/>
          <w:szCs w:val="24"/>
          <w:lang w:val="en-US"/>
        </w:rPr>
        <w:t xml:space="preserve"> Magistrates’ Court of contravening section 45 (1) as read with section 128 (b) and another count of contravening section 45 (1) of the Parks and Wildlife Act (Chapter 20:14).  On the 1</w:t>
      </w:r>
      <w:r w:rsidRPr="00140263">
        <w:rPr>
          <w:sz w:val="24"/>
          <w:szCs w:val="24"/>
          <w:vertAlign w:val="superscript"/>
          <w:lang w:val="en-US"/>
        </w:rPr>
        <w:t>st</w:t>
      </w:r>
      <w:r w:rsidRPr="00140263">
        <w:rPr>
          <w:sz w:val="24"/>
          <w:szCs w:val="24"/>
          <w:lang w:val="en-US"/>
        </w:rPr>
        <w:t xml:space="preserve"> count he was sentenced to the mandatory 9 years imprisonment.  On the 2</w:t>
      </w:r>
      <w:r w:rsidRPr="00140263">
        <w:rPr>
          <w:sz w:val="24"/>
          <w:szCs w:val="24"/>
          <w:vertAlign w:val="superscript"/>
          <w:lang w:val="en-US"/>
        </w:rPr>
        <w:t>nd</w:t>
      </w:r>
      <w:r w:rsidRPr="00140263">
        <w:rPr>
          <w:sz w:val="24"/>
          <w:szCs w:val="24"/>
          <w:lang w:val="en-US"/>
        </w:rPr>
        <w:t xml:space="preserve"> count, he was sentenced to 12 months imprisonment which was however, ordered to run concurrently with the 1</w:t>
      </w:r>
      <w:r w:rsidRPr="00140263">
        <w:rPr>
          <w:sz w:val="24"/>
          <w:szCs w:val="24"/>
          <w:vertAlign w:val="superscript"/>
          <w:lang w:val="en-US"/>
        </w:rPr>
        <w:t>st</w:t>
      </w:r>
      <w:r w:rsidRPr="00140263">
        <w:rPr>
          <w:sz w:val="24"/>
          <w:szCs w:val="24"/>
          <w:lang w:val="en-US"/>
        </w:rPr>
        <w:t xml:space="preserve"> count.</w:t>
      </w:r>
    </w:p>
    <w:p w:rsidR="00121921" w:rsidRPr="00140263" w:rsidRDefault="00121921" w:rsidP="00140263">
      <w:pPr>
        <w:jc w:val="both"/>
        <w:rPr>
          <w:sz w:val="24"/>
          <w:szCs w:val="24"/>
          <w:lang w:val="en-US"/>
        </w:rPr>
      </w:pPr>
      <w:r w:rsidRPr="00140263">
        <w:rPr>
          <w:sz w:val="24"/>
          <w:szCs w:val="24"/>
          <w:lang w:val="en-US"/>
        </w:rPr>
        <w:tab/>
        <w:t>The facts of the matter are that the accused was arrested w</w:t>
      </w:r>
      <w:r w:rsidR="008E3D2C" w:rsidRPr="00140263">
        <w:rPr>
          <w:sz w:val="24"/>
          <w:szCs w:val="24"/>
          <w:lang w:val="en-US"/>
        </w:rPr>
        <w:t>h</w:t>
      </w:r>
      <w:r w:rsidRPr="00140263">
        <w:rPr>
          <w:sz w:val="24"/>
          <w:szCs w:val="24"/>
          <w:lang w:val="en-US"/>
        </w:rPr>
        <w:t>ilst carrying 6 pangolin scales worth US$5 000 in a sack.  The police acted on a tip off and arrested the accused person who did not have a permit as required by law.</w:t>
      </w:r>
    </w:p>
    <w:p w:rsidR="00121921" w:rsidRPr="00140263" w:rsidRDefault="00121921" w:rsidP="00140263">
      <w:pPr>
        <w:jc w:val="both"/>
        <w:rPr>
          <w:sz w:val="24"/>
          <w:szCs w:val="24"/>
          <w:lang w:val="en-US"/>
        </w:rPr>
      </w:pPr>
      <w:r w:rsidRPr="00140263">
        <w:rPr>
          <w:sz w:val="24"/>
          <w:szCs w:val="24"/>
          <w:lang w:val="en-US"/>
        </w:rPr>
        <w:tab/>
        <w:t>In the 2</w:t>
      </w:r>
      <w:r w:rsidRPr="00140263">
        <w:rPr>
          <w:sz w:val="24"/>
          <w:szCs w:val="24"/>
          <w:vertAlign w:val="superscript"/>
          <w:lang w:val="en-US"/>
        </w:rPr>
        <w:t>nd</w:t>
      </w:r>
      <w:r w:rsidRPr="00140263">
        <w:rPr>
          <w:sz w:val="24"/>
          <w:szCs w:val="24"/>
          <w:lang w:val="en-US"/>
        </w:rPr>
        <w:t xml:space="preserve"> count, upon further </w:t>
      </w:r>
      <w:r w:rsidR="008E3D2C" w:rsidRPr="00140263">
        <w:rPr>
          <w:sz w:val="24"/>
          <w:szCs w:val="24"/>
          <w:lang w:val="en-US"/>
        </w:rPr>
        <w:t>search</w:t>
      </w:r>
      <w:r w:rsidR="003302FD" w:rsidRPr="00140263">
        <w:rPr>
          <w:sz w:val="24"/>
          <w:szCs w:val="24"/>
          <w:lang w:val="en-US"/>
        </w:rPr>
        <w:t xml:space="preserve"> accused was found with 2 python skins.  He also faile</w:t>
      </w:r>
      <w:r w:rsidR="008E3D2C" w:rsidRPr="00140263">
        <w:rPr>
          <w:sz w:val="24"/>
          <w:szCs w:val="24"/>
          <w:lang w:val="en-US"/>
        </w:rPr>
        <w:t>d to produce a permit</w:t>
      </w:r>
      <w:r w:rsidR="003302FD" w:rsidRPr="00140263">
        <w:rPr>
          <w:sz w:val="24"/>
          <w:szCs w:val="24"/>
          <w:lang w:val="en-US"/>
        </w:rPr>
        <w:t xml:space="preserve"> regarding those.</w:t>
      </w:r>
    </w:p>
    <w:p w:rsidR="003302FD" w:rsidRPr="00140263" w:rsidRDefault="003302FD" w:rsidP="00140263">
      <w:pPr>
        <w:jc w:val="both"/>
        <w:rPr>
          <w:b/>
          <w:sz w:val="24"/>
          <w:szCs w:val="24"/>
          <w:lang w:val="en-US"/>
        </w:rPr>
      </w:pPr>
      <w:r w:rsidRPr="00140263">
        <w:rPr>
          <w:b/>
          <w:sz w:val="24"/>
          <w:szCs w:val="24"/>
          <w:lang w:val="en-US"/>
        </w:rPr>
        <w:t>Ad conviction</w:t>
      </w:r>
    </w:p>
    <w:p w:rsidR="003302FD" w:rsidRPr="00140263" w:rsidRDefault="003302FD" w:rsidP="00140263">
      <w:pPr>
        <w:jc w:val="both"/>
        <w:rPr>
          <w:sz w:val="24"/>
          <w:szCs w:val="24"/>
          <w:lang w:val="en-US"/>
        </w:rPr>
      </w:pPr>
      <w:r w:rsidRPr="00140263">
        <w:rPr>
          <w:sz w:val="24"/>
          <w:szCs w:val="24"/>
          <w:lang w:val="en-US"/>
        </w:rPr>
        <w:tab/>
        <w:t xml:space="preserve">It is the appellant’s contention that the learned magistrate misdirected herself in convicting the appellant for unlawful possession when the state had not proved same.  Also that the court </w:t>
      </w:r>
      <w:r w:rsidRPr="00140263">
        <w:rPr>
          <w:i/>
          <w:sz w:val="24"/>
          <w:szCs w:val="24"/>
          <w:lang w:val="en-US"/>
        </w:rPr>
        <w:t>a quo</w:t>
      </w:r>
      <w:r w:rsidRPr="00140263">
        <w:rPr>
          <w:sz w:val="24"/>
          <w:szCs w:val="24"/>
          <w:lang w:val="en-US"/>
        </w:rPr>
        <w:t xml:space="preserve"> misdirected itself in dismissing the appellant’s contention that he inherited the trophies.  The learned magistrate held the view th</w:t>
      </w:r>
      <w:r w:rsidR="008E3D2C" w:rsidRPr="00140263">
        <w:rPr>
          <w:sz w:val="24"/>
          <w:szCs w:val="24"/>
          <w:lang w:val="en-US"/>
        </w:rPr>
        <w:t>a</w:t>
      </w:r>
      <w:r w:rsidRPr="00140263">
        <w:rPr>
          <w:sz w:val="24"/>
          <w:szCs w:val="24"/>
          <w:lang w:val="en-US"/>
        </w:rPr>
        <w:t xml:space="preserve">t once the appellant was found in possession of these items, he then had to come up with a reasonable explanation of his </w:t>
      </w:r>
      <w:r w:rsidRPr="00140263">
        <w:rPr>
          <w:sz w:val="24"/>
          <w:szCs w:val="24"/>
          <w:lang w:val="en-US"/>
        </w:rPr>
        <w:lastRenderedPageBreak/>
        <w:t>possession, that is to say, he brings the possession within the ambit of the law.  The st</w:t>
      </w:r>
      <w:r w:rsidR="008E3D2C" w:rsidRPr="00140263">
        <w:rPr>
          <w:sz w:val="24"/>
          <w:szCs w:val="24"/>
          <w:lang w:val="en-US"/>
        </w:rPr>
        <w:t>a</w:t>
      </w:r>
      <w:r w:rsidRPr="00140263">
        <w:rPr>
          <w:sz w:val="24"/>
          <w:szCs w:val="24"/>
          <w:lang w:val="en-US"/>
        </w:rPr>
        <w:t>te witness</w:t>
      </w:r>
      <w:r w:rsidR="00DF2B51">
        <w:rPr>
          <w:sz w:val="24"/>
          <w:szCs w:val="24"/>
          <w:lang w:val="en-US"/>
        </w:rPr>
        <w:t>es</w:t>
      </w:r>
      <w:r w:rsidRPr="00140263">
        <w:rPr>
          <w:sz w:val="24"/>
          <w:szCs w:val="24"/>
          <w:lang w:val="en-US"/>
        </w:rPr>
        <w:t xml:space="preserve"> told the court that appellant </w:t>
      </w:r>
      <w:r w:rsidR="00935CF4">
        <w:rPr>
          <w:sz w:val="24"/>
          <w:szCs w:val="24"/>
          <w:lang w:val="en-US"/>
        </w:rPr>
        <w:t xml:space="preserve">never </w:t>
      </w:r>
      <w:bookmarkStart w:id="0" w:name="_GoBack"/>
      <w:bookmarkEnd w:id="0"/>
      <w:r w:rsidRPr="00140263">
        <w:rPr>
          <w:sz w:val="24"/>
          <w:szCs w:val="24"/>
          <w:lang w:val="en-US"/>
        </w:rPr>
        <w:t>told them that he intended to take the items to Parks and Wildlife.  The learned magistrate in a way threw out accused’s version and accepted the version of the state witnesses in the 2</w:t>
      </w:r>
      <w:r w:rsidRPr="00140263">
        <w:rPr>
          <w:sz w:val="24"/>
          <w:szCs w:val="24"/>
          <w:vertAlign w:val="superscript"/>
          <w:lang w:val="en-US"/>
        </w:rPr>
        <w:t>nd</w:t>
      </w:r>
      <w:r w:rsidRPr="00140263">
        <w:rPr>
          <w:sz w:val="24"/>
          <w:szCs w:val="24"/>
          <w:lang w:val="en-US"/>
        </w:rPr>
        <w:t xml:space="preserve"> from last paragraph at page 3 of the judgment wherein he states that the witnesses told the court that accused said he was selling the items and that they never heard of Reward </w:t>
      </w:r>
      <w:proofErr w:type="spellStart"/>
      <w:r w:rsidRPr="00140263">
        <w:rPr>
          <w:sz w:val="24"/>
          <w:szCs w:val="24"/>
          <w:lang w:val="en-US"/>
        </w:rPr>
        <w:t>Munkuli</w:t>
      </w:r>
      <w:proofErr w:type="spellEnd"/>
      <w:r w:rsidRPr="00140263">
        <w:rPr>
          <w:sz w:val="24"/>
          <w:szCs w:val="24"/>
          <w:lang w:val="en-US"/>
        </w:rPr>
        <w:t>.</w:t>
      </w:r>
    </w:p>
    <w:p w:rsidR="003302FD" w:rsidRPr="00140263" w:rsidRDefault="003302FD" w:rsidP="00140263">
      <w:pPr>
        <w:jc w:val="both"/>
        <w:rPr>
          <w:sz w:val="24"/>
          <w:szCs w:val="24"/>
          <w:lang w:val="en-US"/>
        </w:rPr>
      </w:pPr>
      <w:r w:rsidRPr="00140263">
        <w:rPr>
          <w:sz w:val="24"/>
          <w:szCs w:val="24"/>
          <w:lang w:val="en-US"/>
        </w:rPr>
        <w:tab/>
        <w:t>In essence the court adopted the version of the st</w:t>
      </w:r>
      <w:r w:rsidR="008E3D2C" w:rsidRPr="00140263">
        <w:rPr>
          <w:sz w:val="24"/>
          <w:szCs w:val="24"/>
          <w:lang w:val="en-US"/>
        </w:rPr>
        <w:t>a</w:t>
      </w:r>
      <w:r w:rsidRPr="00140263">
        <w:rPr>
          <w:sz w:val="24"/>
          <w:szCs w:val="24"/>
          <w:lang w:val="en-US"/>
        </w:rPr>
        <w:t>te witnesses.  The magistrate in my view correctly applied section 97 (8) of the Parks and Wildlife Act as logically, once the state has proved physical possession, it is for the accused to w</w:t>
      </w:r>
      <w:r w:rsidR="009D08D2">
        <w:rPr>
          <w:sz w:val="24"/>
          <w:szCs w:val="24"/>
          <w:lang w:val="en-US"/>
        </w:rPr>
        <w:t>r</w:t>
      </w:r>
      <w:r w:rsidRPr="00140263">
        <w:rPr>
          <w:sz w:val="24"/>
          <w:szCs w:val="24"/>
          <w:lang w:val="en-US"/>
        </w:rPr>
        <w:t>iggle his way out of culpability by giving a reasonable explanation for the possession by co</w:t>
      </w:r>
      <w:r w:rsidR="008E3D2C" w:rsidRPr="00140263">
        <w:rPr>
          <w:sz w:val="24"/>
          <w:szCs w:val="24"/>
          <w:lang w:val="en-US"/>
        </w:rPr>
        <w:t>m</w:t>
      </w:r>
      <w:r w:rsidRPr="00140263">
        <w:rPr>
          <w:sz w:val="24"/>
          <w:szCs w:val="24"/>
          <w:lang w:val="en-US"/>
        </w:rPr>
        <w:t>ing up with a version concerning his possession that rebuts the state case.  The learned magistrate held that the accused failed in this regard.</w:t>
      </w:r>
    </w:p>
    <w:p w:rsidR="003302FD" w:rsidRPr="00140263" w:rsidRDefault="003302FD" w:rsidP="00140263">
      <w:pPr>
        <w:jc w:val="both"/>
        <w:rPr>
          <w:b/>
          <w:sz w:val="24"/>
          <w:szCs w:val="24"/>
          <w:lang w:val="en-US"/>
        </w:rPr>
      </w:pPr>
      <w:r w:rsidRPr="00140263">
        <w:rPr>
          <w:b/>
          <w:sz w:val="24"/>
          <w:szCs w:val="24"/>
          <w:lang w:val="en-US"/>
        </w:rPr>
        <w:t>Ad sentence</w:t>
      </w:r>
    </w:p>
    <w:p w:rsidR="003302FD" w:rsidRPr="00140263" w:rsidRDefault="003302FD" w:rsidP="00140263">
      <w:pPr>
        <w:jc w:val="both"/>
        <w:rPr>
          <w:sz w:val="24"/>
          <w:szCs w:val="24"/>
          <w:lang w:val="en-US"/>
        </w:rPr>
      </w:pPr>
      <w:r w:rsidRPr="00140263">
        <w:rPr>
          <w:sz w:val="24"/>
          <w:szCs w:val="24"/>
          <w:lang w:val="en-US"/>
        </w:rPr>
        <w:tab/>
        <w:t>That the st</w:t>
      </w:r>
      <w:r w:rsidR="008E3D2C" w:rsidRPr="00140263">
        <w:rPr>
          <w:sz w:val="24"/>
          <w:szCs w:val="24"/>
          <w:lang w:val="en-US"/>
        </w:rPr>
        <w:t>a</w:t>
      </w:r>
      <w:r w:rsidRPr="00140263">
        <w:rPr>
          <w:sz w:val="24"/>
          <w:szCs w:val="24"/>
          <w:lang w:val="en-US"/>
        </w:rPr>
        <w:t xml:space="preserve">te in the court </w:t>
      </w:r>
      <w:r w:rsidRPr="00140263">
        <w:rPr>
          <w:i/>
          <w:sz w:val="24"/>
          <w:szCs w:val="24"/>
          <w:lang w:val="en-US"/>
        </w:rPr>
        <w:t>a quo</w:t>
      </w:r>
      <w:r w:rsidRPr="00140263">
        <w:rPr>
          <w:sz w:val="24"/>
          <w:szCs w:val="24"/>
          <w:lang w:val="en-US"/>
        </w:rPr>
        <w:t xml:space="preserve"> conceded tha</w:t>
      </w:r>
      <w:r w:rsidR="008E3D2C" w:rsidRPr="00140263">
        <w:rPr>
          <w:sz w:val="24"/>
          <w:szCs w:val="24"/>
          <w:lang w:val="en-US"/>
        </w:rPr>
        <w:t xml:space="preserve">t there are special circumstances </w:t>
      </w:r>
      <w:r w:rsidRPr="00140263">
        <w:rPr>
          <w:sz w:val="24"/>
          <w:szCs w:val="24"/>
          <w:lang w:val="en-US"/>
        </w:rPr>
        <w:t>is not apparent from the court record as at page 40 of the bundle</w:t>
      </w:r>
      <w:r w:rsidR="009D08D2">
        <w:rPr>
          <w:sz w:val="24"/>
          <w:szCs w:val="24"/>
          <w:lang w:val="en-US"/>
        </w:rPr>
        <w:t>, t</w:t>
      </w:r>
      <w:r w:rsidRPr="00140263">
        <w:rPr>
          <w:sz w:val="24"/>
          <w:szCs w:val="24"/>
          <w:lang w:val="en-US"/>
        </w:rPr>
        <w:t xml:space="preserve">he state </w:t>
      </w:r>
      <w:r w:rsidR="008325C2" w:rsidRPr="00140263">
        <w:rPr>
          <w:sz w:val="24"/>
          <w:szCs w:val="24"/>
          <w:lang w:val="en-US"/>
        </w:rPr>
        <w:t xml:space="preserve">submitted that it did </w:t>
      </w:r>
      <w:r w:rsidR="009D08D2">
        <w:rPr>
          <w:sz w:val="24"/>
          <w:szCs w:val="24"/>
          <w:lang w:val="en-US"/>
        </w:rPr>
        <w:t xml:space="preserve">not </w:t>
      </w:r>
      <w:r w:rsidR="008325C2" w:rsidRPr="00140263">
        <w:rPr>
          <w:sz w:val="24"/>
          <w:szCs w:val="24"/>
          <w:lang w:val="en-US"/>
        </w:rPr>
        <w:t xml:space="preserve">concede that there were special circumstances, </w:t>
      </w:r>
      <w:r w:rsidR="009D08D2">
        <w:rPr>
          <w:sz w:val="24"/>
          <w:szCs w:val="24"/>
          <w:lang w:val="en-US"/>
        </w:rPr>
        <w:t xml:space="preserve">but that if the court found them it should impose a deterrent sentence </w:t>
      </w:r>
      <w:r w:rsidR="008325C2" w:rsidRPr="00140263">
        <w:rPr>
          <w:sz w:val="24"/>
          <w:szCs w:val="24"/>
          <w:lang w:val="en-US"/>
        </w:rPr>
        <w:t>so this ground is premised on information not supported by the court record.  Again the court would logically not</w:t>
      </w:r>
      <w:r w:rsidR="008E3D2C" w:rsidRPr="00140263">
        <w:rPr>
          <w:sz w:val="24"/>
          <w:szCs w:val="24"/>
          <w:lang w:val="en-US"/>
        </w:rPr>
        <w:t xml:space="preserve"> find that being given the items by his grandfa</w:t>
      </w:r>
      <w:r w:rsidR="008325C2" w:rsidRPr="00140263">
        <w:rPr>
          <w:sz w:val="24"/>
          <w:szCs w:val="24"/>
          <w:lang w:val="en-US"/>
        </w:rPr>
        <w:t>ther would constitute special circumstances after it had found that he was selling them.  I hold the view that the issue of special circumstances would only be for consideration if he still held them as inheritance from the grandfather.  The le</w:t>
      </w:r>
      <w:r w:rsidR="008E3D2C" w:rsidRPr="00140263">
        <w:rPr>
          <w:sz w:val="24"/>
          <w:szCs w:val="24"/>
          <w:lang w:val="en-US"/>
        </w:rPr>
        <w:t>a</w:t>
      </w:r>
      <w:r w:rsidR="008325C2" w:rsidRPr="00140263">
        <w:rPr>
          <w:sz w:val="24"/>
          <w:szCs w:val="24"/>
          <w:lang w:val="en-US"/>
        </w:rPr>
        <w:t xml:space="preserve">rned magistrate distinguished the case that was cited by the </w:t>
      </w:r>
      <w:proofErr w:type="spellStart"/>
      <w:r w:rsidR="008325C2" w:rsidRPr="00140263">
        <w:rPr>
          <w:sz w:val="24"/>
          <w:szCs w:val="24"/>
          <w:lang w:val="en-US"/>
        </w:rPr>
        <w:t>defence</w:t>
      </w:r>
      <w:proofErr w:type="spellEnd"/>
      <w:r w:rsidR="008325C2" w:rsidRPr="00140263">
        <w:rPr>
          <w:sz w:val="24"/>
          <w:szCs w:val="24"/>
          <w:lang w:val="en-US"/>
        </w:rPr>
        <w:t>.</w:t>
      </w:r>
    </w:p>
    <w:p w:rsidR="008325C2" w:rsidRPr="00140263" w:rsidRDefault="008325C2" w:rsidP="00140263">
      <w:pPr>
        <w:jc w:val="both"/>
        <w:rPr>
          <w:sz w:val="24"/>
          <w:szCs w:val="24"/>
          <w:lang w:val="en-US"/>
        </w:rPr>
      </w:pPr>
      <w:r w:rsidRPr="00140263">
        <w:rPr>
          <w:sz w:val="24"/>
          <w:szCs w:val="24"/>
          <w:lang w:val="en-US"/>
        </w:rPr>
        <w:tab/>
        <w:t>With regard to the sentence relating to the 2</w:t>
      </w:r>
      <w:r w:rsidRPr="00140263">
        <w:rPr>
          <w:sz w:val="24"/>
          <w:szCs w:val="24"/>
          <w:vertAlign w:val="superscript"/>
          <w:lang w:val="en-US"/>
        </w:rPr>
        <w:t>nd</w:t>
      </w:r>
      <w:r w:rsidRPr="00140263">
        <w:rPr>
          <w:sz w:val="24"/>
          <w:szCs w:val="24"/>
          <w:lang w:val="en-US"/>
        </w:rPr>
        <w:t xml:space="preserve"> count, it appears the accused person is attacking that sentence not on the ground that it induces a sense of shock or that it is excessive or unduly harsh but that the appellant is of the view that it is inappropriate.  I have not found the sentence to be excessive and unduly harsh so as to induce a sense of s</w:t>
      </w:r>
      <w:r w:rsidR="008E3D2C" w:rsidRPr="00140263">
        <w:rPr>
          <w:sz w:val="24"/>
          <w:szCs w:val="24"/>
          <w:lang w:val="en-US"/>
        </w:rPr>
        <w:t>hock</w:t>
      </w:r>
      <w:r w:rsidRPr="00140263">
        <w:rPr>
          <w:sz w:val="24"/>
          <w:szCs w:val="24"/>
          <w:lang w:val="en-US"/>
        </w:rPr>
        <w:t>.</w:t>
      </w:r>
      <w:r w:rsidR="009D08D2">
        <w:rPr>
          <w:sz w:val="24"/>
          <w:szCs w:val="24"/>
          <w:lang w:val="en-US"/>
        </w:rPr>
        <w:t xml:space="preserve">  Sentencing as it is trite, is the province of the trial court and an appellate court will only interfere with it where there is a clear misdirection.</w:t>
      </w:r>
    </w:p>
    <w:p w:rsidR="008325C2" w:rsidRPr="00140263" w:rsidRDefault="008325C2" w:rsidP="00140263">
      <w:pPr>
        <w:jc w:val="both"/>
        <w:rPr>
          <w:sz w:val="24"/>
          <w:szCs w:val="24"/>
          <w:lang w:val="en-US"/>
        </w:rPr>
      </w:pPr>
      <w:r w:rsidRPr="00140263">
        <w:rPr>
          <w:sz w:val="24"/>
          <w:szCs w:val="24"/>
          <w:lang w:val="en-US"/>
        </w:rPr>
        <w:tab/>
        <w:t xml:space="preserve">Obviously for an application of this nature to succeed, there must be the first rung of enquiry which is whether there is a reasonable explanation for the delay in noting an appeal.  I </w:t>
      </w:r>
      <w:r w:rsidRPr="00140263">
        <w:rPr>
          <w:sz w:val="24"/>
          <w:szCs w:val="24"/>
          <w:lang w:val="en-US"/>
        </w:rPr>
        <w:lastRenderedPageBreak/>
        <w:t>have not dwelt much on the requirement for such as I hold the view that the explanation is reasonable and as clearly shown by the order I made that the application failed due to lack of prospects of success on appeal.</w:t>
      </w:r>
    </w:p>
    <w:p w:rsidR="008325C2" w:rsidRPr="00140263" w:rsidRDefault="008325C2" w:rsidP="00140263">
      <w:pPr>
        <w:jc w:val="both"/>
        <w:rPr>
          <w:sz w:val="24"/>
          <w:szCs w:val="24"/>
          <w:lang w:val="en-US"/>
        </w:rPr>
      </w:pPr>
      <w:r w:rsidRPr="00140263">
        <w:rPr>
          <w:sz w:val="24"/>
          <w:szCs w:val="24"/>
          <w:lang w:val="en-US"/>
        </w:rPr>
        <w:tab/>
        <w:t>It is for these reasons that I declined the order.</w:t>
      </w:r>
    </w:p>
    <w:p w:rsidR="008325C2" w:rsidRPr="00140263" w:rsidRDefault="008325C2" w:rsidP="00140263">
      <w:pPr>
        <w:jc w:val="both"/>
        <w:rPr>
          <w:sz w:val="24"/>
          <w:szCs w:val="24"/>
          <w:lang w:val="en-US"/>
        </w:rPr>
      </w:pPr>
    </w:p>
    <w:p w:rsidR="008325C2" w:rsidRPr="00140263" w:rsidRDefault="008325C2" w:rsidP="00140263">
      <w:pPr>
        <w:jc w:val="both"/>
        <w:rPr>
          <w:sz w:val="24"/>
          <w:szCs w:val="24"/>
          <w:lang w:val="en-US"/>
        </w:rPr>
      </w:pPr>
    </w:p>
    <w:p w:rsidR="008325C2" w:rsidRPr="00140263" w:rsidRDefault="008325C2" w:rsidP="00140263">
      <w:pPr>
        <w:pStyle w:val="NoSpacing"/>
        <w:jc w:val="both"/>
        <w:rPr>
          <w:sz w:val="24"/>
          <w:szCs w:val="24"/>
          <w:lang w:val="en-US"/>
        </w:rPr>
      </w:pPr>
      <w:proofErr w:type="spellStart"/>
      <w:r w:rsidRPr="00140263">
        <w:rPr>
          <w:i/>
          <w:sz w:val="24"/>
          <w:szCs w:val="24"/>
          <w:lang w:val="en-US"/>
        </w:rPr>
        <w:t>Ncube</w:t>
      </w:r>
      <w:proofErr w:type="spellEnd"/>
      <w:r w:rsidRPr="00140263">
        <w:rPr>
          <w:i/>
          <w:sz w:val="24"/>
          <w:szCs w:val="24"/>
          <w:lang w:val="en-US"/>
        </w:rPr>
        <w:t xml:space="preserve"> &amp; Partners</w:t>
      </w:r>
      <w:r w:rsidRPr="00140263">
        <w:rPr>
          <w:sz w:val="24"/>
          <w:szCs w:val="24"/>
          <w:lang w:val="en-US"/>
        </w:rPr>
        <w:t>, applicant’s legal practitioners</w:t>
      </w:r>
    </w:p>
    <w:p w:rsidR="008325C2" w:rsidRPr="00140263" w:rsidRDefault="008325C2" w:rsidP="00140263">
      <w:pPr>
        <w:pStyle w:val="NoSpacing"/>
        <w:jc w:val="both"/>
        <w:rPr>
          <w:sz w:val="24"/>
          <w:szCs w:val="24"/>
          <w:lang w:val="en-US"/>
        </w:rPr>
      </w:pPr>
      <w:r w:rsidRPr="00140263">
        <w:rPr>
          <w:i/>
          <w:sz w:val="24"/>
          <w:szCs w:val="24"/>
          <w:lang w:val="en-US"/>
        </w:rPr>
        <w:t>National Prosecuting Authority</w:t>
      </w:r>
      <w:r w:rsidRPr="00140263">
        <w:rPr>
          <w:sz w:val="24"/>
          <w:szCs w:val="24"/>
          <w:lang w:val="en-US"/>
        </w:rPr>
        <w:t>, respondent’s legal practitioners</w:t>
      </w:r>
    </w:p>
    <w:p w:rsidR="008325C2" w:rsidRPr="00140263" w:rsidRDefault="008325C2" w:rsidP="00140263">
      <w:pPr>
        <w:pStyle w:val="NoSpacing"/>
        <w:jc w:val="both"/>
        <w:rPr>
          <w:sz w:val="24"/>
          <w:szCs w:val="24"/>
          <w:lang w:val="en-US"/>
        </w:rPr>
      </w:pPr>
    </w:p>
    <w:p w:rsidR="00121921" w:rsidRPr="00140263" w:rsidRDefault="00121921" w:rsidP="00140263">
      <w:pPr>
        <w:jc w:val="both"/>
        <w:rPr>
          <w:b/>
          <w:sz w:val="24"/>
          <w:szCs w:val="24"/>
          <w:lang w:val="en-US"/>
        </w:rPr>
      </w:pPr>
    </w:p>
    <w:p w:rsidR="00121921" w:rsidRPr="00121921" w:rsidRDefault="00121921" w:rsidP="00140263">
      <w:pPr>
        <w:jc w:val="both"/>
        <w:rPr>
          <w:b/>
          <w:sz w:val="24"/>
          <w:szCs w:val="24"/>
          <w:lang w:val="en-US"/>
        </w:rPr>
      </w:pPr>
    </w:p>
    <w:sectPr w:rsidR="00121921" w:rsidRPr="00121921">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0F6" w:rsidRDefault="001400F6" w:rsidP="008E3D2C">
      <w:pPr>
        <w:spacing w:after="0" w:line="240" w:lineRule="auto"/>
      </w:pPr>
      <w:r>
        <w:separator/>
      </w:r>
    </w:p>
  </w:endnote>
  <w:endnote w:type="continuationSeparator" w:id="0">
    <w:p w:rsidR="001400F6" w:rsidRDefault="001400F6" w:rsidP="008E3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0F6" w:rsidRDefault="001400F6" w:rsidP="008E3D2C">
      <w:pPr>
        <w:spacing w:after="0" w:line="240" w:lineRule="auto"/>
      </w:pPr>
      <w:r>
        <w:separator/>
      </w:r>
    </w:p>
  </w:footnote>
  <w:footnote w:type="continuationSeparator" w:id="0">
    <w:p w:rsidR="001400F6" w:rsidRDefault="001400F6" w:rsidP="008E3D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2416287"/>
      <w:docPartObj>
        <w:docPartGallery w:val="Page Numbers (Top of Page)"/>
        <w:docPartUnique/>
      </w:docPartObj>
    </w:sdtPr>
    <w:sdtEndPr>
      <w:rPr>
        <w:noProof/>
      </w:rPr>
    </w:sdtEndPr>
    <w:sdtContent>
      <w:p w:rsidR="008E3D2C" w:rsidRDefault="008E3D2C">
        <w:pPr>
          <w:pStyle w:val="Header"/>
          <w:jc w:val="right"/>
          <w:rPr>
            <w:noProof/>
          </w:rPr>
        </w:pPr>
        <w:r>
          <w:fldChar w:fldCharType="begin"/>
        </w:r>
        <w:r>
          <w:instrText xml:space="preserve"> PAGE   \* MERGEFORMAT </w:instrText>
        </w:r>
        <w:r>
          <w:fldChar w:fldCharType="separate"/>
        </w:r>
        <w:r w:rsidR="00935CF4">
          <w:rPr>
            <w:noProof/>
          </w:rPr>
          <w:t>3</w:t>
        </w:r>
        <w:r>
          <w:rPr>
            <w:noProof/>
          </w:rPr>
          <w:fldChar w:fldCharType="end"/>
        </w:r>
      </w:p>
      <w:p w:rsidR="008E3D2C" w:rsidRDefault="008E3D2C">
        <w:pPr>
          <w:pStyle w:val="Header"/>
          <w:jc w:val="right"/>
          <w:rPr>
            <w:noProof/>
          </w:rPr>
        </w:pPr>
        <w:r>
          <w:rPr>
            <w:noProof/>
          </w:rPr>
          <w:t xml:space="preserve">HB </w:t>
        </w:r>
        <w:r w:rsidR="00D67EDD">
          <w:rPr>
            <w:noProof/>
          </w:rPr>
          <w:t>266</w:t>
        </w:r>
        <w:r>
          <w:rPr>
            <w:noProof/>
          </w:rPr>
          <w:t>/22</w:t>
        </w:r>
      </w:p>
      <w:p w:rsidR="008E3D2C" w:rsidRDefault="008E3D2C">
        <w:pPr>
          <w:pStyle w:val="Header"/>
          <w:jc w:val="right"/>
        </w:pPr>
        <w:r>
          <w:rPr>
            <w:noProof/>
          </w:rPr>
          <w:t>HC (COND) 47/22</w:t>
        </w:r>
      </w:p>
    </w:sdtContent>
  </w:sdt>
  <w:p w:rsidR="008E3D2C" w:rsidRDefault="008E3D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921"/>
    <w:rsid w:val="00121921"/>
    <w:rsid w:val="001400F6"/>
    <w:rsid w:val="00140263"/>
    <w:rsid w:val="003302FD"/>
    <w:rsid w:val="00452A13"/>
    <w:rsid w:val="0060192A"/>
    <w:rsid w:val="007274AB"/>
    <w:rsid w:val="007A75C7"/>
    <w:rsid w:val="008325C2"/>
    <w:rsid w:val="00847866"/>
    <w:rsid w:val="008E3D2C"/>
    <w:rsid w:val="00935CF4"/>
    <w:rsid w:val="009D08D2"/>
    <w:rsid w:val="00D67EDD"/>
    <w:rsid w:val="00DF2B5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6855C1-FE29-4314-9118-94D03862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921"/>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1921"/>
    <w:pPr>
      <w:spacing w:after="0" w:line="240" w:lineRule="auto"/>
    </w:pPr>
    <w:rPr>
      <w:rFonts w:ascii="Times New Roman" w:hAnsi="Times New Roman"/>
      <w:sz w:val="28"/>
    </w:rPr>
  </w:style>
  <w:style w:type="paragraph" w:styleId="Header">
    <w:name w:val="header"/>
    <w:basedOn w:val="Normal"/>
    <w:link w:val="HeaderChar"/>
    <w:uiPriority w:val="99"/>
    <w:unhideWhenUsed/>
    <w:rsid w:val="008E3D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D2C"/>
    <w:rPr>
      <w:rFonts w:ascii="Times New Roman" w:hAnsi="Times New Roman"/>
      <w:sz w:val="28"/>
    </w:rPr>
  </w:style>
  <w:style w:type="paragraph" w:styleId="Footer">
    <w:name w:val="footer"/>
    <w:basedOn w:val="Normal"/>
    <w:link w:val="FooterChar"/>
    <w:uiPriority w:val="99"/>
    <w:unhideWhenUsed/>
    <w:rsid w:val="008E3D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D2C"/>
    <w:rPr>
      <w:rFonts w:ascii="Times New Roman" w:hAnsi="Times New Roman"/>
      <w:sz w:val="28"/>
    </w:rPr>
  </w:style>
  <w:style w:type="paragraph" w:styleId="BalloonText">
    <w:name w:val="Balloon Text"/>
    <w:basedOn w:val="Normal"/>
    <w:link w:val="BalloonTextChar"/>
    <w:uiPriority w:val="99"/>
    <w:semiHidden/>
    <w:unhideWhenUsed/>
    <w:rsid w:val="001402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2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10</cp:revision>
  <cp:lastPrinted>2022-10-26T13:51:00Z</cp:lastPrinted>
  <dcterms:created xsi:type="dcterms:W3CDTF">2022-10-20T08:18:00Z</dcterms:created>
  <dcterms:modified xsi:type="dcterms:W3CDTF">2022-10-26T13:53:00Z</dcterms:modified>
</cp:coreProperties>
</file>