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8CC0" w14:textId="77777777" w:rsidR="000C5AB0" w:rsidRDefault="00000000">
      <w:pPr>
        <w:spacing w:before="82" w:line="360" w:lineRule="auto"/>
        <w:ind w:left="100" w:right="3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 JUNE,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72B275AB" w14:textId="77777777" w:rsidR="000C5AB0" w:rsidRDefault="00000000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SEPTEMBER,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43590BBF" w14:textId="77777777" w:rsidR="000C5AB0" w:rsidRDefault="000C5AB0">
      <w:pPr>
        <w:pStyle w:val="BodyText"/>
        <w:ind w:left="0"/>
        <w:rPr>
          <w:rFonts w:ascii="Tahoma"/>
          <w:b/>
          <w:sz w:val="28"/>
        </w:rPr>
      </w:pPr>
    </w:p>
    <w:p w14:paraId="4A246425" w14:textId="77777777" w:rsidR="000C5AB0" w:rsidRDefault="00000000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14:paraId="7122BD66" w14:textId="77777777" w:rsidR="000C5AB0" w:rsidRDefault="00000000">
      <w:pPr>
        <w:spacing w:before="80" w:line="360" w:lineRule="auto"/>
        <w:ind w:left="171" w:right="476" w:hanging="71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LC/H/278/23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LC/H/103/23</w:t>
      </w:r>
    </w:p>
    <w:p w14:paraId="5CC8E9B7" w14:textId="77777777" w:rsidR="000C5AB0" w:rsidRDefault="000C5AB0">
      <w:pPr>
        <w:spacing w:line="360" w:lineRule="auto"/>
        <w:rPr>
          <w:rFonts w:ascii="Tahoma"/>
          <w:sz w:val="24"/>
        </w:rPr>
        <w:sectPr w:rsidR="000C5AB0">
          <w:footerReference w:type="default" r:id="rId6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4805" w:space="251"/>
            <w:col w:w="4194"/>
          </w:cols>
        </w:sectPr>
      </w:pPr>
    </w:p>
    <w:p w14:paraId="22BAEE78" w14:textId="77777777" w:rsidR="000C5AB0" w:rsidRDefault="000C5AB0">
      <w:pPr>
        <w:pStyle w:val="BodyText"/>
        <w:ind w:left="0"/>
        <w:rPr>
          <w:rFonts w:ascii="Tahoma"/>
          <w:b/>
          <w:sz w:val="20"/>
        </w:rPr>
      </w:pPr>
    </w:p>
    <w:p w14:paraId="785B3507" w14:textId="77777777" w:rsidR="000C5AB0" w:rsidRDefault="000C5AB0">
      <w:pPr>
        <w:pStyle w:val="BodyText"/>
        <w:spacing w:before="8"/>
        <w:ind w:left="0"/>
        <w:rPr>
          <w:rFonts w:ascii="Tahoma"/>
          <w:b/>
          <w:sz w:val="19"/>
        </w:rPr>
      </w:pPr>
    </w:p>
    <w:p w14:paraId="5E0E39AA" w14:textId="77777777" w:rsidR="000C5AB0" w:rsidRDefault="00000000">
      <w:pPr>
        <w:tabs>
          <w:tab w:val="left" w:pos="6773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BINDURA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NICKEL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CORPORATION</w:t>
      </w:r>
      <w:r>
        <w:rPr>
          <w:rFonts w:ascii="Tahoma"/>
          <w:b/>
          <w:sz w:val="24"/>
        </w:rPr>
        <w:tab/>
        <w:t>Applicant</w:t>
      </w:r>
    </w:p>
    <w:p w14:paraId="62C70CCB" w14:textId="77777777" w:rsidR="000C5AB0" w:rsidRDefault="000C5AB0">
      <w:pPr>
        <w:pStyle w:val="BodyText"/>
        <w:spacing w:before="1"/>
        <w:ind w:left="0"/>
        <w:rPr>
          <w:rFonts w:ascii="Tahoma"/>
          <w:b/>
          <w:sz w:val="24"/>
        </w:rPr>
      </w:pPr>
    </w:p>
    <w:p w14:paraId="0942A004" w14:textId="77777777" w:rsidR="000C5AB0" w:rsidRDefault="00000000">
      <w:pPr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14:paraId="5C016BE1" w14:textId="77777777" w:rsidR="000C5AB0" w:rsidRDefault="000C5AB0">
      <w:pPr>
        <w:pStyle w:val="BodyText"/>
        <w:spacing w:before="11"/>
        <w:ind w:left="0"/>
        <w:rPr>
          <w:rFonts w:ascii="Tahoma"/>
          <w:sz w:val="23"/>
        </w:rPr>
      </w:pPr>
    </w:p>
    <w:p w14:paraId="3D9479F2" w14:textId="77777777" w:rsidR="000C5AB0" w:rsidRDefault="00000000">
      <w:pPr>
        <w:tabs>
          <w:tab w:val="left" w:pos="6756"/>
        </w:tabs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FRANCIS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MADYIRAPANZE</w:t>
      </w:r>
      <w:r>
        <w:rPr>
          <w:rFonts w:ascii="Tahoma"/>
          <w:b/>
          <w:sz w:val="24"/>
        </w:rPr>
        <w:tab/>
        <w:t>Respondent</w:t>
      </w:r>
    </w:p>
    <w:p w14:paraId="0416FF47" w14:textId="77777777" w:rsidR="000C5AB0" w:rsidRDefault="000C5AB0">
      <w:pPr>
        <w:pStyle w:val="BodyText"/>
        <w:ind w:left="0"/>
        <w:rPr>
          <w:rFonts w:ascii="Tahoma"/>
          <w:b/>
          <w:sz w:val="28"/>
        </w:rPr>
      </w:pPr>
    </w:p>
    <w:p w14:paraId="014BE96A" w14:textId="77777777" w:rsidR="000C5AB0" w:rsidRDefault="000C5AB0">
      <w:pPr>
        <w:pStyle w:val="BodyText"/>
        <w:ind w:left="0"/>
        <w:rPr>
          <w:rFonts w:ascii="Tahoma"/>
          <w:b/>
          <w:sz w:val="28"/>
        </w:rPr>
      </w:pPr>
    </w:p>
    <w:p w14:paraId="584637D6" w14:textId="77777777" w:rsidR="000C5AB0" w:rsidRDefault="000C5AB0">
      <w:pPr>
        <w:pStyle w:val="BodyText"/>
        <w:ind w:left="0"/>
        <w:rPr>
          <w:rFonts w:ascii="Tahoma"/>
          <w:b/>
          <w:sz w:val="28"/>
        </w:rPr>
      </w:pPr>
    </w:p>
    <w:p w14:paraId="18D8ECA7" w14:textId="77777777" w:rsidR="000C5AB0" w:rsidRDefault="000C5AB0">
      <w:pPr>
        <w:pStyle w:val="BodyText"/>
        <w:ind w:left="0"/>
        <w:rPr>
          <w:rFonts w:ascii="Tahoma"/>
          <w:b/>
          <w:sz w:val="30"/>
        </w:rPr>
      </w:pPr>
    </w:p>
    <w:p w14:paraId="54FB94CA" w14:textId="77777777" w:rsidR="000C5AB0" w:rsidRDefault="00000000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Honourable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14:paraId="5287E638" w14:textId="77777777" w:rsidR="000C5AB0" w:rsidRDefault="000C5AB0">
      <w:pPr>
        <w:pStyle w:val="BodyText"/>
        <w:spacing w:before="7"/>
        <w:ind w:left="0"/>
        <w:rPr>
          <w:rFonts w:ascii="Tahoma"/>
          <w:b/>
          <w:sz w:val="39"/>
        </w:rPr>
      </w:pPr>
    </w:p>
    <w:p w14:paraId="4297CE35" w14:textId="77777777" w:rsidR="000C5AB0" w:rsidRDefault="00000000">
      <w:pPr>
        <w:tabs>
          <w:tab w:val="left" w:pos="2025"/>
        </w:tabs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Appellant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Matsikidze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Attorneys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at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Law</w:t>
      </w:r>
    </w:p>
    <w:p w14:paraId="54CE9541" w14:textId="77777777" w:rsidR="000C5AB0" w:rsidRDefault="00000000">
      <w:pPr>
        <w:tabs>
          <w:tab w:val="left" w:pos="2068"/>
        </w:tabs>
        <w:spacing w:before="144"/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Chimuka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Mafunga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Commercial Attorneys</w:t>
      </w:r>
    </w:p>
    <w:p w14:paraId="1440BBD4" w14:textId="77777777" w:rsidR="000C5AB0" w:rsidRDefault="000C5AB0">
      <w:pPr>
        <w:pStyle w:val="BodyText"/>
        <w:ind w:left="0"/>
        <w:rPr>
          <w:rFonts w:ascii="Tahoma"/>
          <w:sz w:val="28"/>
        </w:rPr>
      </w:pPr>
    </w:p>
    <w:p w14:paraId="127265FF" w14:textId="77777777" w:rsidR="000C5AB0" w:rsidRDefault="00000000">
      <w:pPr>
        <w:spacing w:before="242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14:paraId="49BFA108" w14:textId="77777777" w:rsidR="000C5AB0" w:rsidRDefault="000C5AB0">
      <w:pPr>
        <w:pStyle w:val="BodyText"/>
        <w:ind w:left="0"/>
        <w:rPr>
          <w:rFonts w:ascii="Tahoma"/>
          <w:b/>
          <w:sz w:val="28"/>
        </w:rPr>
      </w:pPr>
    </w:p>
    <w:p w14:paraId="57918EFD" w14:textId="77777777" w:rsidR="000C5AB0" w:rsidRDefault="000C5AB0">
      <w:pPr>
        <w:pStyle w:val="BodyText"/>
        <w:spacing w:before="4"/>
        <w:ind w:left="0"/>
        <w:rPr>
          <w:rFonts w:ascii="Tahoma"/>
          <w:b/>
          <w:sz w:val="21"/>
        </w:rPr>
      </w:pPr>
    </w:p>
    <w:p w14:paraId="06276D02" w14:textId="77777777" w:rsidR="000C5AB0" w:rsidRDefault="00000000">
      <w:pPr>
        <w:pStyle w:val="BodyText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 this</w:t>
      </w:r>
      <w:r>
        <w:rPr>
          <w:spacing w:val="-4"/>
        </w:rPr>
        <w:t xml:space="preserve"> </w:t>
      </w:r>
      <w:r>
        <w:t>Court’s</w:t>
      </w:r>
      <w:r>
        <w:rPr>
          <w:spacing w:val="-1"/>
        </w:rPr>
        <w:t xml:space="preserve"> </w:t>
      </w:r>
      <w:r>
        <w:t>Judgement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Supreme</w:t>
      </w:r>
      <w:r>
        <w:rPr>
          <w:spacing w:val="-3"/>
        </w:rPr>
        <w:t xml:space="preserve"> </w:t>
      </w:r>
      <w:r>
        <w:t>Court.</w:t>
      </w:r>
    </w:p>
    <w:p w14:paraId="318DAB30" w14:textId="77777777" w:rsidR="000C5AB0" w:rsidRDefault="00000000">
      <w:pPr>
        <w:pStyle w:val="BodyText"/>
        <w:spacing w:before="180"/>
      </w:pPr>
      <w:r>
        <w:rPr>
          <w:u w:val="single"/>
        </w:rPr>
        <w:t>BACKGROUND:</w:t>
      </w:r>
    </w:p>
    <w:p w14:paraId="22ED1287" w14:textId="77777777" w:rsidR="000C5AB0" w:rsidRDefault="000C5AB0">
      <w:pPr>
        <w:pStyle w:val="BodyText"/>
        <w:spacing w:before="4"/>
        <w:ind w:left="0"/>
        <w:rPr>
          <w:sz w:val="10"/>
        </w:rPr>
      </w:pPr>
    </w:p>
    <w:p w14:paraId="7BEC8075" w14:textId="77777777" w:rsidR="000C5AB0" w:rsidRDefault="00000000">
      <w:pPr>
        <w:pStyle w:val="BodyText"/>
        <w:spacing w:before="57"/>
      </w:pPr>
      <w:r>
        <w:t>A brief background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is as</w:t>
      </w:r>
      <w:r>
        <w:rPr>
          <w:spacing w:val="-3"/>
        </w:rPr>
        <w:t xml:space="preserve"> </w:t>
      </w:r>
      <w:r>
        <w:t>follows;</w:t>
      </w:r>
    </w:p>
    <w:p w14:paraId="3B090A48" w14:textId="77777777" w:rsidR="000C5AB0" w:rsidRDefault="00000000">
      <w:pPr>
        <w:pStyle w:val="BodyText"/>
        <w:spacing w:before="180" w:line="259" w:lineRule="auto"/>
        <w:ind w:right="413"/>
      </w:pPr>
      <w:r>
        <w:t>The applicant employed the respondent before charging him with acts of misconduct, finding him</w:t>
      </w:r>
      <w:r>
        <w:rPr>
          <w:spacing w:val="-47"/>
        </w:rPr>
        <w:t xml:space="preserve"> </w:t>
      </w:r>
      <w:r>
        <w:t>guilty and</w:t>
      </w:r>
      <w:r>
        <w:rPr>
          <w:spacing w:val="-1"/>
        </w:rPr>
        <w:t xml:space="preserve"> </w:t>
      </w:r>
      <w:r>
        <w:t>dismissing</w:t>
      </w:r>
      <w:r>
        <w:rPr>
          <w:spacing w:val="-1"/>
        </w:rPr>
        <w:t xml:space="preserve"> </w:t>
      </w:r>
      <w:r>
        <w:t>him</w:t>
      </w:r>
      <w:r>
        <w:rPr>
          <w:spacing w:val="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employment.</w:t>
      </w:r>
    </w:p>
    <w:p w14:paraId="64DC36B5" w14:textId="77777777" w:rsidR="000C5AB0" w:rsidRDefault="00000000">
      <w:pPr>
        <w:pStyle w:val="BodyText"/>
        <w:spacing w:before="159" w:line="259" w:lineRule="auto"/>
        <w:ind w:right="347"/>
      </w:pPr>
      <w:r>
        <w:t>The respondent was aggrieved with the decision to find him guilty and to dismiss him. He referred</w:t>
      </w:r>
      <w:r>
        <w:rPr>
          <w:spacing w:val="-47"/>
        </w:rPr>
        <w:t xml:space="preserve"> </w:t>
      </w:r>
      <w:r>
        <w:t>the matter to the Labour Court on review. The main grievance raised by the respondent in the</w:t>
      </w:r>
      <w:r>
        <w:rPr>
          <w:spacing w:val="1"/>
        </w:rPr>
        <w:t xml:space="preserve"> </w:t>
      </w:r>
      <w:r>
        <w:t>review application was that the presiding officer of the disciplinary committee had misdirected</w:t>
      </w:r>
      <w:r>
        <w:rPr>
          <w:spacing w:val="1"/>
        </w:rPr>
        <w:t xml:space="preserve"> </w:t>
      </w:r>
      <w:r>
        <w:t>himself when he sought to clarify certain issues with the complaint and consulted and clarified the</w:t>
      </w:r>
      <w:r>
        <w:rPr>
          <w:spacing w:val="-47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proceedings.</w:t>
      </w:r>
    </w:p>
    <w:p w14:paraId="6F2BB3B0" w14:textId="77777777" w:rsidR="000C5AB0" w:rsidRDefault="00000000">
      <w:pPr>
        <w:pStyle w:val="BodyText"/>
        <w:spacing w:before="161" w:line="259" w:lineRule="auto"/>
        <w:ind w:right="848"/>
        <w:jc w:val="both"/>
      </w:pPr>
      <w:r>
        <w:t>The respondent argued that his right to a fair hearing had been breached. He was denied the</w:t>
      </w:r>
      <w:r>
        <w:rPr>
          <w:spacing w:val="-47"/>
        </w:rPr>
        <w:t xml:space="preserve"> </w:t>
      </w:r>
      <w:r>
        <w:t>opportunity to hear the clarifications which were sought by the presiding officer and to cross</w:t>
      </w:r>
      <w:r>
        <w:rPr>
          <w:spacing w:val="-47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it have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necessary.</w:t>
      </w:r>
    </w:p>
    <w:p w14:paraId="7A996364" w14:textId="77777777" w:rsidR="000C5AB0" w:rsidRDefault="00000000">
      <w:pPr>
        <w:pStyle w:val="BodyText"/>
        <w:spacing w:before="159" w:line="256" w:lineRule="auto"/>
        <w:ind w:right="432"/>
      </w:pPr>
      <w:r>
        <w:t>The Labour Court in its Judgement No. LC/H/22/3 agreed with the respondent and found that the</w:t>
      </w:r>
      <w:r>
        <w:rPr>
          <w:spacing w:val="-47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fair hearing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denied.</w:t>
      </w:r>
    </w:p>
    <w:p w14:paraId="6986E84A" w14:textId="77777777" w:rsidR="000C5AB0" w:rsidRDefault="000C5AB0">
      <w:pPr>
        <w:spacing w:line="256" w:lineRule="auto"/>
        <w:sectPr w:rsidR="000C5AB0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14:paraId="778A4D8D" w14:textId="77777777" w:rsidR="000C5AB0" w:rsidRDefault="00000000">
      <w:pPr>
        <w:pStyle w:val="BodyText"/>
        <w:spacing w:before="41"/>
      </w:pPr>
      <w:r>
        <w:lastRenderedPageBreak/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casu</w:t>
      </w:r>
      <w:r>
        <w:rPr>
          <w:spacing w:val="-1"/>
        </w:rPr>
        <w:t xml:space="preserve"> </w:t>
      </w:r>
      <w:r>
        <w:t>was aggrieved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Labour Court’s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seeks leave to</w:t>
      </w:r>
      <w:r>
        <w:rPr>
          <w:spacing w:val="1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</w:p>
    <w:p w14:paraId="0FCDFEEE" w14:textId="77777777" w:rsidR="000C5AB0" w:rsidRDefault="00000000">
      <w:pPr>
        <w:pStyle w:val="BodyText"/>
        <w:spacing w:before="22"/>
      </w:pPr>
      <w:r>
        <w:t>Supreme</w:t>
      </w:r>
      <w:r>
        <w:rPr>
          <w:spacing w:val="-3"/>
        </w:rPr>
        <w:t xml:space="preserve"> </w:t>
      </w:r>
      <w:r>
        <w:t>Court.</w:t>
      </w:r>
    </w:p>
    <w:p w14:paraId="6CB9A8BB" w14:textId="77777777" w:rsidR="000C5AB0" w:rsidRDefault="00000000">
      <w:pPr>
        <w:pStyle w:val="BodyText"/>
        <w:spacing w:before="180" w:line="259" w:lineRule="auto"/>
        <w:ind w:right="146"/>
      </w:pPr>
      <w:r>
        <w:t>Its first ground of appeal raises the point that since the parties are governed by a code of conduct</w:t>
      </w:r>
      <w:r>
        <w:rPr>
          <w:spacing w:val="1"/>
        </w:rPr>
        <w:t xml:space="preserve"> </w:t>
      </w:r>
      <w:r>
        <w:t>which allows the presiding officer to conduct the hearing in the manner that he did. It was wrong for</w:t>
      </w:r>
      <w:r>
        <w:rPr>
          <w:spacing w:val="-47"/>
        </w:rPr>
        <w:t xml:space="preserve"> </w:t>
      </w:r>
      <w:r>
        <w:t>the Court to hold such conduct as a denial of the right to a fair hearing. The provision of the code of</w:t>
      </w:r>
      <w:r>
        <w:rPr>
          <w:spacing w:val="1"/>
        </w:rPr>
        <w:t xml:space="preserve"> </w:t>
      </w:r>
      <w:r>
        <w:t>conduct relied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as follows;</w:t>
      </w:r>
    </w:p>
    <w:p w14:paraId="298AF796" w14:textId="77777777" w:rsidR="000C5AB0" w:rsidRDefault="00000000">
      <w:pPr>
        <w:spacing w:before="160" w:line="259" w:lineRule="auto"/>
        <w:ind w:left="820" w:right="545"/>
        <w:rPr>
          <w:i/>
        </w:rPr>
      </w:pPr>
      <w:r>
        <w:rPr>
          <w:i/>
        </w:rPr>
        <w:t>“(e) if during the course of the hearing, the Hearing official on his own initiative or at the</w:t>
      </w:r>
      <w:r>
        <w:rPr>
          <w:i/>
          <w:spacing w:val="-47"/>
        </w:rPr>
        <w:t xml:space="preserve"> </w:t>
      </w:r>
      <w:r>
        <w:rPr>
          <w:i/>
        </w:rPr>
        <w:t>request of the employee or his representative finds it necessary to obtain further</w:t>
      </w:r>
      <w:r>
        <w:rPr>
          <w:i/>
          <w:spacing w:val="1"/>
        </w:rPr>
        <w:t xml:space="preserve"> </w:t>
      </w:r>
      <w:r>
        <w:rPr>
          <w:i/>
        </w:rPr>
        <w:t>information,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case</w:t>
      </w:r>
      <w:r>
        <w:rPr>
          <w:i/>
          <w:spacing w:val="-2"/>
        </w:rPr>
        <w:t xml:space="preserve"> </w:t>
      </w:r>
      <w:r>
        <w:rPr>
          <w:i/>
        </w:rPr>
        <w:t>shall</w:t>
      </w:r>
      <w:r>
        <w:rPr>
          <w:i/>
          <w:spacing w:val="-3"/>
        </w:rPr>
        <w:t xml:space="preserve"> </w:t>
      </w:r>
      <w:r>
        <w:rPr>
          <w:i/>
        </w:rPr>
        <w:t>be adjourned to</w:t>
      </w:r>
      <w:r>
        <w:rPr>
          <w:i/>
          <w:spacing w:val="-1"/>
        </w:rPr>
        <w:t xml:space="preserve"> </w:t>
      </w:r>
      <w:r>
        <w:rPr>
          <w:i/>
        </w:rPr>
        <w:t>allow further investigations</w:t>
      </w:r>
    </w:p>
    <w:p w14:paraId="5348ED76" w14:textId="77777777" w:rsidR="000C5AB0" w:rsidRDefault="00000000">
      <w:pPr>
        <w:spacing w:before="159"/>
        <w:ind w:left="820"/>
        <w:rPr>
          <w:i/>
        </w:rPr>
      </w:pPr>
      <w:r>
        <w:rPr>
          <w:i/>
        </w:rPr>
        <w:t>(f)</w:t>
      </w:r>
      <w:r>
        <w:rPr>
          <w:i/>
          <w:spacing w:val="-1"/>
        </w:rPr>
        <w:t xml:space="preserve"> </w:t>
      </w:r>
      <w:r>
        <w:rPr>
          <w:i/>
        </w:rPr>
        <w:t>having</w:t>
      </w:r>
      <w:r>
        <w:rPr>
          <w:i/>
          <w:spacing w:val="-2"/>
        </w:rPr>
        <w:t xml:space="preserve"> </w:t>
      </w:r>
      <w:r>
        <w:rPr>
          <w:i/>
        </w:rPr>
        <w:t>satisfied</w:t>
      </w:r>
      <w:r>
        <w:rPr>
          <w:i/>
          <w:spacing w:val="-1"/>
        </w:rPr>
        <w:t xml:space="preserve"> </w:t>
      </w:r>
      <w:r>
        <w:rPr>
          <w:i/>
        </w:rPr>
        <w:t>himself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he has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facts,</w:t>
      </w:r>
      <w:r>
        <w:rPr>
          <w:i/>
          <w:spacing w:val="-4"/>
        </w:rPr>
        <w:t xml:space="preserve"> </w:t>
      </w:r>
      <w:r>
        <w:rPr>
          <w:i/>
        </w:rPr>
        <w:t>the hearing</w:t>
      </w:r>
      <w:r>
        <w:rPr>
          <w:i/>
          <w:spacing w:val="-2"/>
        </w:rPr>
        <w:t xml:space="preserve"> </w:t>
      </w:r>
      <w:r>
        <w:rPr>
          <w:i/>
        </w:rPr>
        <w:t>official</w:t>
      </w:r>
      <w:r>
        <w:rPr>
          <w:i/>
          <w:spacing w:val="-1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invite</w:t>
      </w:r>
      <w:r>
        <w:rPr>
          <w:i/>
          <w:spacing w:val="-3"/>
        </w:rPr>
        <w:t xml:space="preserve"> </w:t>
      </w:r>
      <w:r>
        <w:rPr>
          <w:i/>
        </w:rPr>
        <w:t>the</w:t>
      </w:r>
    </w:p>
    <w:p w14:paraId="2FCABC02" w14:textId="77777777" w:rsidR="000C5AB0" w:rsidRDefault="00000000">
      <w:pPr>
        <w:spacing w:before="22"/>
        <w:ind w:left="820"/>
        <w:rPr>
          <w:i/>
        </w:rPr>
      </w:pPr>
      <w:r>
        <w:rPr>
          <w:i/>
        </w:rPr>
        <w:t>representatives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employee,</w:t>
      </w:r>
      <w:r>
        <w:rPr>
          <w:i/>
          <w:spacing w:val="-2"/>
        </w:rPr>
        <w:t xml:space="preserve"> </w:t>
      </w: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present,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comment.”</w:t>
      </w:r>
    </w:p>
    <w:p w14:paraId="0F9B6109" w14:textId="77777777" w:rsidR="000C5AB0" w:rsidRDefault="00000000">
      <w:pPr>
        <w:pStyle w:val="BodyText"/>
        <w:spacing w:before="181" w:line="259" w:lineRule="auto"/>
        <w:ind w:right="180"/>
      </w:pPr>
      <w:r>
        <w:t>The respondent opposes the first intend ground of appeal on the basis that the Labour Court cannot</w:t>
      </w:r>
      <w:r>
        <w:rPr>
          <w:spacing w:val="-47"/>
        </w:rPr>
        <w:t xml:space="preserve"> </w:t>
      </w:r>
      <w:r>
        <w:t>sanction a process that is inherently unfair and impedes a party’s right to a fair hearing. The Court</w:t>
      </w:r>
      <w:r>
        <w:rPr>
          <w:spacing w:val="1"/>
        </w:rPr>
        <w:t xml:space="preserve"> </w:t>
      </w:r>
      <w:r>
        <w:t>could not sanction a hearing that flouts the principles of natural Justice. It was further argued that</w:t>
      </w:r>
      <w:r>
        <w:rPr>
          <w:spacing w:val="1"/>
        </w:rPr>
        <w:t xml:space="preserve"> </w:t>
      </w:r>
      <w:r>
        <w:t>the Labour Court is mandated in terms of the Labour Act [chapter 28:01] (the Act) to do justice</w:t>
      </w:r>
      <w:r>
        <w:rPr>
          <w:spacing w:val="1"/>
        </w:rPr>
        <w:t xml:space="preserve"> </w:t>
      </w:r>
      <w:r>
        <w:t>between the</w:t>
      </w:r>
      <w:r>
        <w:rPr>
          <w:spacing w:val="-2"/>
        </w:rPr>
        <w:t xml:space="preserve"> </w:t>
      </w:r>
      <w:r>
        <w:t>parties.</w:t>
      </w:r>
    </w:p>
    <w:p w14:paraId="56E6549C" w14:textId="77777777" w:rsidR="000C5AB0" w:rsidRDefault="00000000">
      <w:pPr>
        <w:pStyle w:val="BodyText"/>
        <w:spacing w:before="158" w:line="259" w:lineRule="auto"/>
        <w:ind w:right="352"/>
      </w:pPr>
      <w:r>
        <w:t>If an employee cannot participate in a hearing process that will accord him the right to be present</w:t>
      </w:r>
      <w:r>
        <w:rPr>
          <w:spacing w:val="-47"/>
        </w:rPr>
        <w:t xml:space="preserve"> </w:t>
      </w:r>
      <w:r>
        <w:t>and to participate in the hearing process, all of it, not just certain aspects of the hearing, the Court</w:t>
      </w:r>
      <w:r>
        <w:rPr>
          <w:spacing w:val="-47"/>
        </w:rPr>
        <w:t xml:space="preserve"> </w:t>
      </w:r>
      <w:r>
        <w:t>can in terms of section 2A ensure the protection of such employee’s right to natural Justice. The</w:t>
      </w:r>
      <w:r>
        <w:rPr>
          <w:spacing w:val="1"/>
        </w:rPr>
        <w:t xml:space="preserve"> </w:t>
      </w:r>
      <w:r>
        <w:t xml:space="preserve">court is mandated to ensure the </w:t>
      </w:r>
      <w:r>
        <w:rPr>
          <w:u w:val="single"/>
        </w:rPr>
        <w:t>Just</w:t>
      </w:r>
      <w:r>
        <w:t xml:space="preserve"> resolution of disputes in terms of Section 2A of the Act. A</w:t>
      </w:r>
      <w:r>
        <w:rPr>
          <w:spacing w:val="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 unjust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sense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 employee</w:t>
      </w:r>
      <w:r>
        <w:rPr>
          <w:spacing w:val="1"/>
        </w:rPr>
        <w:t xml:space="preserve"> </w:t>
      </w:r>
      <w:r>
        <w:t>cannot hear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him</w:t>
      </w:r>
      <w:r>
        <w:rPr>
          <w:spacing w:val="4"/>
        </w:rPr>
        <w:t xml:space="preserve"> </w:t>
      </w:r>
      <w:r>
        <w:t>and</w:t>
      </w:r>
    </w:p>
    <w:p w14:paraId="5D48C34E" w14:textId="77777777" w:rsidR="000C5AB0" w:rsidRDefault="00000000">
      <w:pPr>
        <w:pStyle w:val="BodyText"/>
        <w:spacing w:line="259" w:lineRule="auto"/>
        <w:ind w:right="108"/>
      </w:pPr>
      <w:r>
        <w:t>denies the principles of natural justice can indeed not be sanctioned by the Court. It is for this reason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 am</w:t>
      </w:r>
      <w:r>
        <w:rPr>
          <w:spacing w:val="1"/>
        </w:rPr>
        <w:t xml:space="preserve"> </w:t>
      </w:r>
      <w:r>
        <w:t>not persuaded that the</w:t>
      </w:r>
      <w:r>
        <w:rPr>
          <w:spacing w:val="-2"/>
        </w:rPr>
        <w:t xml:space="preserve"> </w:t>
      </w:r>
      <w:r>
        <w:t>applicant’s prospects of</w:t>
      </w:r>
      <w:r>
        <w:rPr>
          <w:spacing w:val="-2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good.</w:t>
      </w:r>
    </w:p>
    <w:p w14:paraId="4B7970FC" w14:textId="77777777" w:rsidR="000C5AB0" w:rsidRDefault="00000000">
      <w:pPr>
        <w:pStyle w:val="BodyText"/>
        <w:spacing w:before="159"/>
      </w:pP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 is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where there are good</w:t>
      </w:r>
      <w:r>
        <w:rPr>
          <w:spacing w:val="-2"/>
        </w:rPr>
        <w:t xml:space="preserve"> </w:t>
      </w:r>
      <w:r>
        <w:t>prospects of</w:t>
      </w:r>
      <w:r>
        <w:rPr>
          <w:spacing w:val="-3"/>
        </w:rPr>
        <w:t xml:space="preserve"> </w:t>
      </w:r>
      <w:r>
        <w:t>success.</w:t>
      </w:r>
    </w:p>
    <w:p w14:paraId="0CF051BC" w14:textId="77777777" w:rsidR="000C5AB0" w:rsidRDefault="00000000">
      <w:pPr>
        <w:spacing w:before="183" w:line="259" w:lineRule="auto"/>
        <w:ind w:left="100" w:right="406"/>
      </w:pPr>
      <w:r>
        <w:t xml:space="preserve">In </w:t>
      </w:r>
      <w:r>
        <w:rPr>
          <w:b/>
        </w:rPr>
        <w:t xml:space="preserve">Chikurunhe v Zimbabwe Financial Holdings SC 10/08 </w:t>
      </w:r>
      <w:r>
        <w:t>relied on by the applicant, the Court held</w:t>
      </w:r>
      <w:r>
        <w:rPr>
          <w:spacing w:val="-47"/>
        </w:rPr>
        <w:t xml:space="preserve"> </w:t>
      </w:r>
      <w:r>
        <w:t>that;</w:t>
      </w:r>
    </w:p>
    <w:p w14:paraId="7A7C5922" w14:textId="77777777" w:rsidR="000C5AB0" w:rsidRDefault="00000000">
      <w:pPr>
        <w:pStyle w:val="BodyText"/>
        <w:spacing w:before="159"/>
        <w:ind w:left="820"/>
      </w:pPr>
      <w:r>
        <w:t>“the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show inter</w:t>
      </w:r>
      <w:r>
        <w:rPr>
          <w:spacing w:val="-4"/>
        </w:rPr>
        <w:t xml:space="preserve"> </w:t>
      </w:r>
      <w:r>
        <w:t>alia</w:t>
      </w:r>
      <w:r>
        <w:rPr>
          <w:spacing w:val="-1"/>
        </w:rPr>
        <w:t xml:space="preserve"> </w:t>
      </w:r>
      <w:r>
        <w:t>that he has</w:t>
      </w:r>
      <w:r>
        <w:rPr>
          <w:spacing w:val="-1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appeal”</w:t>
      </w:r>
    </w:p>
    <w:p w14:paraId="0F746444" w14:textId="77777777" w:rsidR="000C5AB0" w:rsidRDefault="00000000">
      <w:pPr>
        <w:pStyle w:val="BodyText"/>
        <w:spacing w:before="180" w:line="259" w:lineRule="auto"/>
        <w:ind w:right="150"/>
      </w:pPr>
      <w:r>
        <w:t>Further and in any event, the section of the code does not say a hearing officer shall himself conduct</w:t>
      </w:r>
      <w:r>
        <w:rPr>
          <w:spacing w:val="-47"/>
        </w:rPr>
        <w:t xml:space="preserve"> </w:t>
      </w:r>
      <w:r>
        <w:t>the further investigations. Neither does it say the investigations shall be conducted privately in the</w:t>
      </w:r>
      <w:r>
        <w:rPr>
          <w:spacing w:val="1"/>
        </w:rPr>
        <w:t xml:space="preserve"> </w:t>
      </w:r>
      <w:r>
        <w:t>absence of the concerned employee. Allowing him to adjourn proceedings for purposes of himself</w:t>
      </w:r>
      <w:r>
        <w:rPr>
          <w:spacing w:val="1"/>
        </w:rPr>
        <w:t xml:space="preserve"> </w:t>
      </w:r>
      <w:r>
        <w:t>conducting further investigations would be manifestly unfair, unjust and contrary to principles of</w:t>
      </w:r>
      <w:r>
        <w:rPr>
          <w:spacing w:val="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Justice.</w:t>
      </w:r>
    </w:p>
    <w:p w14:paraId="7F37425E" w14:textId="77777777" w:rsidR="000C5AB0" w:rsidRDefault="00000000">
      <w:pPr>
        <w:pStyle w:val="BodyText"/>
        <w:spacing w:before="161" w:line="259" w:lineRule="auto"/>
        <w:ind w:right="113"/>
      </w:pPr>
      <w:r>
        <w:t>Subsection (f) of section 2.5.3 is not speaking to the manner of conducting further investigations, but</w:t>
      </w:r>
      <w:r>
        <w:rPr>
          <w:spacing w:val="-47"/>
        </w:rPr>
        <w:t xml:space="preserve"> </w:t>
      </w:r>
      <w:r>
        <w:t>to what the presiding officer should do after obtaining the further information. There is nothing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relied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that bars</w:t>
      </w:r>
      <w:r>
        <w:rPr>
          <w:spacing w:val="-1"/>
        </w:rPr>
        <w:t xml:space="preserve"> </w:t>
      </w:r>
      <w:r>
        <w:t>the presence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investigations.</w:t>
      </w:r>
    </w:p>
    <w:p w14:paraId="05F9FCCC" w14:textId="77777777" w:rsidR="000C5AB0" w:rsidRDefault="00000000">
      <w:pPr>
        <w:pStyle w:val="BodyText"/>
        <w:spacing w:line="267" w:lineRule="exact"/>
      </w:pPr>
      <w:r>
        <w:t>Interpreting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nonsense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hearing.</w:t>
      </w:r>
    </w:p>
    <w:p w14:paraId="6263E045" w14:textId="77777777" w:rsidR="000C5AB0" w:rsidRDefault="00000000">
      <w:pPr>
        <w:pStyle w:val="BodyText"/>
        <w:spacing w:before="182" w:line="256" w:lineRule="auto"/>
        <w:ind w:right="750"/>
      </w:pPr>
      <w:r>
        <w:t>It is for this reason again that, I am not persuaded that the applicant enjoys good prospects of</w:t>
      </w:r>
      <w:r>
        <w:rPr>
          <w:spacing w:val="-47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appeal.</w:t>
      </w:r>
    </w:p>
    <w:p w14:paraId="2C9F9FD1" w14:textId="77777777" w:rsidR="000C5AB0" w:rsidRDefault="00000000">
      <w:pPr>
        <w:pStyle w:val="BodyText"/>
        <w:spacing w:before="165" w:line="256" w:lineRule="auto"/>
        <w:ind w:right="400"/>
      </w:pPr>
      <w:r>
        <w:t>The second ground of appeal alleges that the Court erred in remitting the matter to a ‘disciplinary</w:t>
      </w:r>
      <w:r>
        <w:rPr>
          <w:spacing w:val="-47"/>
        </w:rPr>
        <w:t xml:space="preserve"> </w:t>
      </w:r>
      <w:r>
        <w:t>committee’</w:t>
      </w:r>
      <w:r>
        <w:rPr>
          <w:spacing w:val="-2"/>
        </w:rPr>
        <w:t xml:space="preserve"> </w:t>
      </w:r>
      <w:r>
        <w:t>when the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“hearing</w:t>
      </w:r>
      <w:r>
        <w:rPr>
          <w:spacing w:val="-3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“.</w:t>
      </w:r>
    </w:p>
    <w:p w14:paraId="02C2EC39" w14:textId="77777777" w:rsidR="000C5AB0" w:rsidRDefault="00000000">
      <w:pPr>
        <w:pStyle w:val="BodyText"/>
        <w:spacing w:before="164"/>
      </w:pP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proceedings,</w:t>
      </w:r>
      <w:r>
        <w:rPr>
          <w:spacing w:val="-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hearing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disciplinary committee.</w:t>
      </w:r>
    </w:p>
    <w:p w14:paraId="0AECEB47" w14:textId="77777777" w:rsidR="000C5AB0" w:rsidRDefault="000C5AB0">
      <w:pPr>
        <w:sectPr w:rsidR="000C5AB0">
          <w:pgSz w:w="11910" w:h="16840"/>
          <w:pgMar w:top="1380" w:right="1320" w:bottom="1180" w:left="1340" w:header="0" w:footer="992" w:gutter="0"/>
          <w:cols w:space="720"/>
        </w:sectPr>
      </w:pPr>
    </w:p>
    <w:p w14:paraId="3E0AA87C" w14:textId="77777777" w:rsidR="000C5AB0" w:rsidRDefault="00000000">
      <w:pPr>
        <w:pStyle w:val="BodyText"/>
        <w:spacing w:before="41" w:line="259" w:lineRule="auto"/>
        <w:ind w:right="347"/>
      </w:pPr>
      <w:r>
        <w:lastRenderedPageBreak/>
        <w:t>This cannot give rise to misdirection which is so grossly unreasonable so as to amount to a</w:t>
      </w:r>
      <w:r>
        <w:rPr>
          <w:spacing w:val="1"/>
        </w:rPr>
        <w:t xml:space="preserve"> </w:t>
      </w:r>
      <w:r>
        <w:t>misdirection in law. The misdirection must be so grossly unreasonable in the manner described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</w:rPr>
        <w:t>Hama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National</w:t>
      </w:r>
      <w:r>
        <w:rPr>
          <w:b/>
          <w:spacing w:val="-1"/>
        </w:rPr>
        <w:t xml:space="preserve"> </w:t>
      </w:r>
      <w:r>
        <w:rPr>
          <w:b/>
        </w:rPr>
        <w:t>Railways</w:t>
      </w:r>
      <w:r>
        <w:rPr>
          <w:b/>
          <w:spacing w:val="-3"/>
        </w:rPr>
        <w:t xml:space="preserve"> </w:t>
      </w:r>
      <w:r>
        <w:rPr>
          <w:b/>
        </w:rPr>
        <w:t>1996</w:t>
      </w:r>
      <w:r>
        <w:rPr>
          <w:b/>
          <w:spacing w:val="-3"/>
        </w:rPr>
        <w:t xml:space="preserve"> </w:t>
      </w:r>
      <w:r>
        <w:rPr>
          <w:b/>
        </w:rPr>
        <w:t>(1)</w:t>
      </w:r>
      <w:r>
        <w:rPr>
          <w:b/>
          <w:spacing w:val="-3"/>
        </w:rPr>
        <w:t xml:space="preserve"> </w:t>
      </w:r>
      <w:r>
        <w:rPr>
          <w:b/>
        </w:rPr>
        <w:t>ZLR</w:t>
      </w:r>
      <w:r>
        <w:rPr>
          <w:b/>
          <w:spacing w:val="-3"/>
        </w:rPr>
        <w:t xml:space="preserve"> </w:t>
      </w:r>
      <w:r>
        <w:rPr>
          <w:b/>
        </w:rPr>
        <w:t>664</w:t>
      </w:r>
      <w:r>
        <w:rPr>
          <w:b/>
          <w:spacing w:val="5"/>
        </w:rPr>
        <w:t xml:space="preserve"> </w:t>
      </w:r>
      <w:r>
        <w:t>Zimbabwe</w:t>
      </w:r>
      <w:r>
        <w:rPr>
          <w:spacing w:val="-3"/>
        </w:rPr>
        <w:t xml:space="preserve"> </w:t>
      </w:r>
      <w:r>
        <w:t>where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that;</w:t>
      </w:r>
    </w:p>
    <w:p w14:paraId="39EE7587" w14:textId="77777777" w:rsidR="000C5AB0" w:rsidRDefault="00000000">
      <w:pPr>
        <w:spacing w:before="160" w:line="259" w:lineRule="auto"/>
        <w:ind w:left="820" w:right="172"/>
        <w:rPr>
          <w:i/>
        </w:rPr>
      </w:pPr>
      <w:r>
        <w:rPr>
          <w:i/>
        </w:rPr>
        <w:t>“the general rule of the law, as regards nationality, is that an appellate court will not</w:t>
      </w:r>
      <w:r>
        <w:rPr>
          <w:i/>
          <w:spacing w:val="1"/>
        </w:rPr>
        <w:t xml:space="preserve"> </w:t>
      </w:r>
      <w:r>
        <w:rPr>
          <w:i/>
        </w:rPr>
        <w:t>interfere with a decision of a trial court based purely on a finding of fact unless it is</w:t>
      </w:r>
      <w:r>
        <w:rPr>
          <w:i/>
          <w:spacing w:val="1"/>
        </w:rPr>
        <w:t xml:space="preserve"> </w:t>
      </w:r>
      <w:r>
        <w:rPr>
          <w:i/>
        </w:rPr>
        <w:t>satisfied</w:t>
      </w:r>
      <w:r>
        <w:rPr>
          <w:i/>
          <w:spacing w:val="-47"/>
        </w:rPr>
        <w:t xml:space="preserve"> </w:t>
      </w:r>
      <w:r>
        <w:rPr>
          <w:i/>
        </w:rPr>
        <w:t>that, having regard to the evidence placed before the trail court, the finding complained of is</w:t>
      </w:r>
      <w:r>
        <w:rPr>
          <w:i/>
          <w:spacing w:val="-47"/>
        </w:rPr>
        <w:t xml:space="preserve"> </w:t>
      </w:r>
      <w:r>
        <w:rPr>
          <w:i/>
        </w:rPr>
        <w:t>so outrageous in its defiance of logic or of accepted moral standards that no sensible person</w:t>
      </w:r>
      <w:r>
        <w:rPr>
          <w:i/>
          <w:spacing w:val="1"/>
        </w:rPr>
        <w:t xml:space="preserve"> </w:t>
      </w:r>
      <w:r>
        <w:rPr>
          <w:i/>
        </w:rPr>
        <w:t>who had applied his mind to the question to be decided could have arrived at such a</w:t>
      </w:r>
      <w:r>
        <w:rPr>
          <w:i/>
          <w:spacing w:val="1"/>
        </w:rPr>
        <w:t xml:space="preserve"> </w:t>
      </w:r>
      <w:r>
        <w:rPr>
          <w:i/>
        </w:rPr>
        <w:t xml:space="preserve">conclusion. </w:t>
      </w:r>
      <w:r>
        <w:rPr>
          <w:b/>
          <w:i/>
        </w:rPr>
        <w:t>Bitcoin v Rosenberg 1936 AD 380 at 395—7; Secretary of State for Education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 Science v Metropolitan Borough of Tameside G [1976] 3 ALL ER 665 (CA) AT 671e—h;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Council of Service Unions v Minister for the Civil Service, supra, at 951a—b; PF-ZAPU v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Minister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Justice, Legal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Parliamentary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Affairs (2)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1985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(1)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ZLR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305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(S) AT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326—G.</w:t>
      </w:r>
      <w:r>
        <w:rPr>
          <w:b/>
          <w:i/>
          <w:spacing w:val="-2"/>
        </w:rPr>
        <w:t xml:space="preserve"> </w:t>
      </w:r>
      <w:r>
        <w:rPr>
          <w:i/>
        </w:rPr>
        <w:t>”</w:t>
      </w:r>
    </w:p>
    <w:p w14:paraId="0C1F9A75" w14:textId="77777777" w:rsidR="000C5AB0" w:rsidRDefault="00000000">
      <w:pPr>
        <w:pStyle w:val="BodyText"/>
        <w:spacing w:before="157" w:line="259" w:lineRule="auto"/>
        <w:ind w:right="253"/>
      </w:pPr>
      <w:r>
        <w:t>It can therefore not be said that the court in writing the words “disciplinary committee instead of</w:t>
      </w:r>
      <w:r>
        <w:rPr>
          <w:spacing w:val="1"/>
        </w:rPr>
        <w:t xml:space="preserve"> </w:t>
      </w:r>
      <w:r>
        <w:t>“hearing officer” made a factual finding which is so grossly unreasonable that it defies logic. This is</w:t>
      </w:r>
      <w:r>
        <w:rPr>
          <w:spacing w:val="1"/>
        </w:rPr>
        <w:t xml:space="preserve"> </w:t>
      </w:r>
      <w:r>
        <w:t>not a factual finding. At most it can be said to be an error that is common to both sides and can be</w:t>
      </w:r>
      <w:r>
        <w:rPr>
          <w:spacing w:val="1"/>
        </w:rPr>
        <w:t xml:space="preserve"> </w:t>
      </w:r>
      <w:r>
        <w:t>corrected in terms of section 92C of the Act. The second ground of appeal is not challenging any</w:t>
      </w:r>
      <w:r>
        <w:rPr>
          <w:spacing w:val="1"/>
        </w:rPr>
        <w:t xml:space="preserve"> </w:t>
      </w:r>
      <w:r>
        <w:t>point of law neither does it seek to challenge any factual finding that is so grossly unreasonable. On</w:t>
      </w:r>
      <w:r>
        <w:rPr>
          <w:spacing w:val="-47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have</w:t>
      </w:r>
      <w:r>
        <w:rPr>
          <w:spacing w:val="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success.</w:t>
      </w:r>
    </w:p>
    <w:p w14:paraId="337528E3" w14:textId="77777777" w:rsidR="000C5AB0" w:rsidRDefault="00000000">
      <w:pPr>
        <w:pStyle w:val="BodyText"/>
        <w:spacing w:before="161" w:line="259" w:lineRule="auto"/>
        <w:ind w:right="347"/>
      </w:pPr>
      <w:r>
        <w:t>The grounds of appeal do not raise points of law and an error is not a factual finding made by the</w:t>
      </w:r>
      <w:r>
        <w:rPr>
          <w:spacing w:val="1"/>
        </w:rPr>
        <w:t xml:space="preserve"> </w:t>
      </w:r>
      <w:r>
        <w:t>court. But even if it was, it is not so gross as to amount to a point of law. It cannot be said to be a</w:t>
      </w:r>
      <w:r>
        <w:rPr>
          <w:spacing w:val="1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misdirection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facts. There</w:t>
      </w:r>
      <w:r>
        <w:rPr>
          <w:spacing w:val="1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 success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intended appeal.</w:t>
      </w:r>
    </w:p>
    <w:p w14:paraId="30AE50A7" w14:textId="77777777" w:rsidR="000C5AB0" w:rsidRDefault="00000000">
      <w:pPr>
        <w:pStyle w:val="BodyText"/>
        <w:spacing w:before="159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appropriate;</w:t>
      </w:r>
    </w:p>
    <w:p w14:paraId="2A58D562" w14:textId="77777777" w:rsidR="000C5AB0" w:rsidRDefault="00000000">
      <w:pPr>
        <w:spacing w:before="181"/>
        <w:ind w:left="100"/>
        <w:rPr>
          <w:b/>
        </w:rPr>
      </w:pPr>
      <w:r>
        <w:rPr>
          <w:b/>
          <w:u w:val="single"/>
        </w:rPr>
        <w:t>ORDER:</w:t>
      </w:r>
    </w:p>
    <w:p w14:paraId="2CFEEBB7" w14:textId="77777777" w:rsidR="000C5AB0" w:rsidRDefault="000C5AB0">
      <w:pPr>
        <w:pStyle w:val="BodyText"/>
        <w:spacing w:before="2"/>
        <w:ind w:left="0"/>
        <w:rPr>
          <w:b/>
          <w:sz w:val="10"/>
        </w:rPr>
      </w:pPr>
    </w:p>
    <w:p w14:paraId="4AA5A086" w14:textId="7EEF9FA1" w:rsidR="000C5AB0" w:rsidRDefault="00000000">
      <w:pPr>
        <w:pStyle w:val="BodyText"/>
        <w:spacing w:before="56"/>
      </w:pP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 hereby</w:t>
      </w:r>
      <w:r>
        <w:rPr>
          <w:spacing w:val="-2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costs.</w:t>
      </w:r>
    </w:p>
    <w:p w14:paraId="4F0C14BD" w14:textId="77777777" w:rsidR="000C5AB0" w:rsidRDefault="000C5AB0">
      <w:pPr>
        <w:pStyle w:val="BodyText"/>
        <w:ind w:left="0"/>
        <w:rPr>
          <w:sz w:val="20"/>
        </w:rPr>
      </w:pPr>
    </w:p>
    <w:p w14:paraId="1D846B42" w14:textId="77777777" w:rsidR="000C5AB0" w:rsidRDefault="000C5AB0">
      <w:pPr>
        <w:pStyle w:val="BodyText"/>
        <w:ind w:left="0"/>
        <w:rPr>
          <w:sz w:val="20"/>
        </w:rPr>
      </w:pPr>
    </w:p>
    <w:p w14:paraId="7C137939" w14:textId="77777777" w:rsidR="000C5AB0" w:rsidRDefault="00000000">
      <w:pPr>
        <w:pStyle w:val="BodyText"/>
        <w:spacing w:before="10"/>
        <w:ind w:left="0"/>
        <w:rPr>
          <w:sz w:val="26"/>
        </w:rPr>
      </w:pPr>
      <w:r>
        <w:pict w14:anchorId="02BFA33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55.65pt;margin-top:18.3pt;width:290.9pt;height:105.15pt;z-index:-251658240;mso-wrap-distance-left:0;mso-wrap-distance-right:0;mso-position-horizontal-relative:page" filled="f" stroked="f">
            <v:textbox inset="0,0,0,0">
              <w:txbxContent>
                <w:p w14:paraId="69097DD7" w14:textId="77777777" w:rsidR="000C5AB0" w:rsidRDefault="000C5AB0">
                  <w:pPr>
                    <w:pStyle w:val="BodyText"/>
                    <w:ind w:left="0"/>
                  </w:pPr>
                </w:p>
                <w:p w14:paraId="2C2D9F23" w14:textId="77777777" w:rsidR="000C5AB0" w:rsidRDefault="000C5AB0">
                  <w:pPr>
                    <w:pStyle w:val="BodyText"/>
                    <w:ind w:left="0"/>
                  </w:pPr>
                </w:p>
                <w:p w14:paraId="6D3EC91E" w14:textId="77777777" w:rsidR="000C5AB0" w:rsidRDefault="000C5AB0">
                  <w:pPr>
                    <w:pStyle w:val="BodyText"/>
                    <w:ind w:left="0"/>
                  </w:pPr>
                </w:p>
                <w:p w14:paraId="1CB68813" w14:textId="77777777" w:rsidR="000C5AB0" w:rsidRDefault="000C5AB0">
                  <w:pPr>
                    <w:pStyle w:val="BodyText"/>
                    <w:spacing w:before="4"/>
                    <w:ind w:left="0"/>
                    <w:rPr>
                      <w:sz w:val="26"/>
                    </w:rPr>
                  </w:pPr>
                </w:p>
                <w:p w14:paraId="218F0444" w14:textId="77777777" w:rsidR="000C5AB0" w:rsidRDefault="00000000">
                  <w:pPr>
                    <w:pStyle w:val="BodyText"/>
                    <w:ind w:left="867"/>
                  </w:pPr>
                  <w:r>
                    <w:t>………………………………………………………….</w:t>
                  </w:r>
                </w:p>
                <w:p w14:paraId="06A3637F" w14:textId="77777777" w:rsidR="000C5AB0" w:rsidRDefault="00000000">
                  <w:pPr>
                    <w:spacing w:before="182"/>
                    <w:ind w:left="2284" w:right="2415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JUDGE</w:t>
                  </w:r>
                </w:p>
              </w:txbxContent>
            </v:textbox>
            <w10:wrap type="topAndBottom" anchorx="page"/>
          </v:shape>
        </w:pict>
      </w:r>
    </w:p>
    <w:sectPr w:rsidR="000C5AB0">
      <w:pgSz w:w="11910" w:h="16840"/>
      <w:pgMar w:top="138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066D" w14:textId="77777777" w:rsidR="00954AC7" w:rsidRDefault="00954AC7">
      <w:r>
        <w:separator/>
      </w:r>
    </w:p>
  </w:endnote>
  <w:endnote w:type="continuationSeparator" w:id="0">
    <w:p w14:paraId="1D45F892" w14:textId="77777777" w:rsidR="00954AC7" w:rsidRDefault="0095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FC9B" w14:textId="77777777" w:rsidR="000C5AB0" w:rsidRDefault="00000000">
    <w:pPr>
      <w:pStyle w:val="BodyText"/>
      <w:spacing w:line="14" w:lineRule="auto"/>
      <w:ind w:left="0"/>
      <w:rPr>
        <w:sz w:val="20"/>
      </w:rPr>
    </w:pPr>
    <w:r>
      <w:pict w14:anchorId="245A256A">
        <v:rect id="_x0000_s1026" style="position:absolute;margin-left:70.6pt;margin-top:778.3pt;width:454.25pt;height:.5pt;z-index:-15786496;mso-position-horizontal-relative:page;mso-position-vertical-relative:page" fillcolor="#d9d9d9" stroked="f">
          <w10:wrap anchorx="page" anchory="page"/>
        </v:rect>
      </w:pict>
    </w:r>
    <w:r>
      <w:pict w14:anchorId="315A1C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pt;margin-top:780.9pt;width:53.5pt;height:13.05pt;z-index:-15785984;mso-position-horizontal-relative:page;mso-position-vertical-relative:page" filled="f" stroked="f">
          <v:textbox inset="0,0,0,0">
            <w:txbxContent>
              <w:p w14:paraId="5C2F331D" w14:textId="77777777" w:rsidR="000C5AB0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34D6" w14:textId="77777777" w:rsidR="00954AC7" w:rsidRDefault="00954AC7">
      <w:r>
        <w:separator/>
      </w:r>
    </w:p>
  </w:footnote>
  <w:footnote w:type="continuationSeparator" w:id="0">
    <w:p w14:paraId="70B1E906" w14:textId="77777777" w:rsidR="00954AC7" w:rsidRDefault="00954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AB0"/>
    <w:rsid w:val="000C5AB0"/>
    <w:rsid w:val="00954AC7"/>
    <w:rsid w:val="00F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CB9A92"/>
  <w15:docId w15:val="{ED895359-1BC7-4B27-9901-71B0432A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 Tokowoyo</cp:lastModifiedBy>
  <cp:revision>2</cp:revision>
  <dcterms:created xsi:type="dcterms:W3CDTF">2023-09-22T13:46:00Z</dcterms:created>
  <dcterms:modified xsi:type="dcterms:W3CDTF">2023-09-22T13:46:00Z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2023-09-22T00:00:00Z</vt:filetime>
  </property>
</Properties>
</file>