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63CD" w14:textId="370CA689" w:rsidR="00D77DAD" w:rsidRPr="00B1784B" w:rsidRDefault="00D77DAD" w:rsidP="00B1784B">
      <w:pPr>
        <w:pStyle w:val="NoSpacing"/>
        <w:spacing w:before="0" w:beforeAutospacing="0" w:after="0" w:afterAutospacing="0"/>
        <w:jc w:val="both"/>
        <w:rPr>
          <w:szCs w:val="24"/>
        </w:rPr>
      </w:pPr>
      <w:bookmarkStart w:id="0" w:name="_GoBack"/>
      <w:bookmarkEnd w:id="0"/>
      <w:r w:rsidRPr="00B1784B">
        <w:rPr>
          <w:szCs w:val="24"/>
        </w:rPr>
        <w:t xml:space="preserve">BIGGIE MOYOWESHUMBA </w:t>
      </w:r>
    </w:p>
    <w:p w14:paraId="153F0E58" w14:textId="544BEE89" w:rsidR="00D77DAD" w:rsidRPr="00B1784B" w:rsidRDefault="00B1784B" w:rsidP="00B1784B">
      <w:pPr>
        <w:pStyle w:val="NoSpacing"/>
        <w:spacing w:before="0" w:beforeAutospacing="0" w:after="0" w:afterAutospacing="0"/>
        <w:jc w:val="both"/>
        <w:rPr>
          <w:szCs w:val="24"/>
        </w:rPr>
      </w:pPr>
      <w:r w:rsidRPr="00B1784B">
        <w:rPr>
          <w:szCs w:val="24"/>
        </w:rPr>
        <w:t xml:space="preserve">and </w:t>
      </w:r>
    </w:p>
    <w:p w14:paraId="406BCCC4" w14:textId="52D0B4BC" w:rsidR="00D77DAD" w:rsidRPr="00B1784B" w:rsidRDefault="00D77DAD" w:rsidP="00B1784B">
      <w:pPr>
        <w:pStyle w:val="NoSpacing"/>
        <w:spacing w:before="0" w:beforeAutospacing="0" w:after="0" w:afterAutospacing="0"/>
        <w:jc w:val="both"/>
        <w:rPr>
          <w:szCs w:val="24"/>
        </w:rPr>
      </w:pPr>
      <w:r w:rsidRPr="00B1784B">
        <w:rPr>
          <w:szCs w:val="24"/>
        </w:rPr>
        <w:t>SHAPPYSTONE MUTASA</w:t>
      </w:r>
    </w:p>
    <w:p w14:paraId="71FABF69" w14:textId="3BBC04CF" w:rsidR="00D77DAD" w:rsidRPr="00B1784B" w:rsidRDefault="00B1784B" w:rsidP="00B1784B">
      <w:pPr>
        <w:pStyle w:val="NoSpacing"/>
        <w:spacing w:before="0" w:beforeAutospacing="0" w:after="0" w:afterAutospacing="0"/>
        <w:jc w:val="both"/>
        <w:rPr>
          <w:szCs w:val="24"/>
        </w:rPr>
      </w:pPr>
      <w:r w:rsidRPr="00B1784B">
        <w:rPr>
          <w:szCs w:val="24"/>
        </w:rPr>
        <w:t xml:space="preserve">and </w:t>
      </w:r>
    </w:p>
    <w:p w14:paraId="6839DC65" w14:textId="75512163" w:rsidR="00D77DAD" w:rsidRPr="00B1784B" w:rsidRDefault="00D77DAD" w:rsidP="00B1784B">
      <w:pPr>
        <w:pStyle w:val="NoSpacing"/>
        <w:spacing w:before="0" w:beforeAutospacing="0" w:after="0" w:afterAutospacing="0"/>
        <w:jc w:val="both"/>
        <w:rPr>
          <w:szCs w:val="24"/>
        </w:rPr>
      </w:pPr>
      <w:r w:rsidRPr="00B1784B">
        <w:rPr>
          <w:szCs w:val="24"/>
        </w:rPr>
        <w:t>GODFREY CHINHOYI</w:t>
      </w:r>
    </w:p>
    <w:p w14:paraId="37ED18CA" w14:textId="2E160CAB" w:rsidR="00D77DAD" w:rsidRPr="00B1784B" w:rsidRDefault="00B1784B" w:rsidP="00B1784B">
      <w:pPr>
        <w:pStyle w:val="NoSpacing"/>
        <w:spacing w:before="0" w:beforeAutospacing="0" w:after="0" w:afterAutospacing="0"/>
        <w:jc w:val="both"/>
        <w:rPr>
          <w:szCs w:val="24"/>
        </w:rPr>
      </w:pPr>
      <w:r w:rsidRPr="00B1784B">
        <w:rPr>
          <w:szCs w:val="24"/>
        </w:rPr>
        <w:t xml:space="preserve">and </w:t>
      </w:r>
    </w:p>
    <w:p w14:paraId="193E2731" w14:textId="33D94ED7" w:rsidR="00D77DAD" w:rsidRPr="00B1784B" w:rsidRDefault="00D77DAD" w:rsidP="00B1784B">
      <w:pPr>
        <w:pStyle w:val="NoSpacing"/>
        <w:spacing w:before="0" w:beforeAutospacing="0" w:after="0" w:afterAutospacing="0"/>
        <w:jc w:val="both"/>
        <w:rPr>
          <w:szCs w:val="24"/>
        </w:rPr>
      </w:pPr>
      <w:r w:rsidRPr="00B1784B">
        <w:rPr>
          <w:szCs w:val="24"/>
        </w:rPr>
        <w:t xml:space="preserve">PHILIP GARDNER  </w:t>
      </w:r>
    </w:p>
    <w:p w14:paraId="3BA9D029" w14:textId="1630A85B" w:rsidR="00D77DAD" w:rsidRPr="00B1784B" w:rsidRDefault="00B1784B" w:rsidP="00B1784B">
      <w:pPr>
        <w:pStyle w:val="NoSpacing"/>
        <w:spacing w:before="0" w:beforeAutospacing="0" w:after="0" w:afterAutospacing="0"/>
        <w:jc w:val="both"/>
        <w:rPr>
          <w:szCs w:val="24"/>
        </w:rPr>
      </w:pPr>
      <w:r w:rsidRPr="00B1784B">
        <w:rPr>
          <w:szCs w:val="24"/>
        </w:rPr>
        <w:t>versus</w:t>
      </w:r>
    </w:p>
    <w:p w14:paraId="21140AF3" w14:textId="7E340426" w:rsidR="00D77DAD" w:rsidRPr="00B1784B" w:rsidRDefault="00D77DAD" w:rsidP="00B1784B">
      <w:pPr>
        <w:pStyle w:val="NoSpacing"/>
        <w:spacing w:before="0" w:beforeAutospacing="0" w:after="0" w:afterAutospacing="0"/>
        <w:jc w:val="both"/>
        <w:rPr>
          <w:szCs w:val="24"/>
        </w:rPr>
      </w:pPr>
      <w:r w:rsidRPr="00B1784B">
        <w:rPr>
          <w:szCs w:val="24"/>
        </w:rPr>
        <w:t xml:space="preserve">CITY OF HARARE </w:t>
      </w:r>
    </w:p>
    <w:p w14:paraId="31306B6C" w14:textId="0DC0B34A" w:rsidR="00D77DAD" w:rsidRPr="00B1784B" w:rsidRDefault="00B1784B" w:rsidP="00B1784B">
      <w:pPr>
        <w:pStyle w:val="NoSpacing"/>
        <w:spacing w:before="0" w:beforeAutospacing="0" w:after="0" w:afterAutospacing="0"/>
        <w:jc w:val="both"/>
        <w:rPr>
          <w:szCs w:val="24"/>
        </w:rPr>
      </w:pPr>
      <w:r w:rsidRPr="00B1784B">
        <w:rPr>
          <w:szCs w:val="24"/>
        </w:rPr>
        <w:t xml:space="preserve">and </w:t>
      </w:r>
    </w:p>
    <w:p w14:paraId="77C9A900" w14:textId="52EA2A03" w:rsidR="00D77DAD" w:rsidRPr="00B1784B" w:rsidRDefault="00D77DAD" w:rsidP="00B1784B">
      <w:pPr>
        <w:pStyle w:val="NoSpacing"/>
        <w:spacing w:before="0" w:beforeAutospacing="0" w:after="0" w:afterAutospacing="0"/>
        <w:jc w:val="both"/>
        <w:rPr>
          <w:szCs w:val="24"/>
        </w:rPr>
      </w:pPr>
      <w:r w:rsidRPr="00B1784B">
        <w:rPr>
          <w:szCs w:val="24"/>
        </w:rPr>
        <w:t>NATIONAL SOCIAL SECURITY AUTHORITY</w:t>
      </w:r>
    </w:p>
    <w:p w14:paraId="246B5B17" w14:textId="77777777" w:rsidR="00D77DAD" w:rsidRDefault="00D77DAD" w:rsidP="00B1784B">
      <w:pPr>
        <w:pStyle w:val="NoSpacing"/>
        <w:spacing w:before="0" w:beforeAutospacing="0" w:after="0" w:afterAutospacing="0"/>
        <w:jc w:val="both"/>
        <w:rPr>
          <w:szCs w:val="24"/>
        </w:rPr>
      </w:pPr>
    </w:p>
    <w:p w14:paraId="00554B59" w14:textId="77777777" w:rsidR="00B1784B" w:rsidRPr="00B1784B" w:rsidRDefault="00B1784B" w:rsidP="00B1784B">
      <w:pPr>
        <w:pStyle w:val="NoSpacing"/>
        <w:spacing w:before="0" w:beforeAutospacing="0" w:after="0" w:afterAutospacing="0"/>
        <w:jc w:val="both"/>
        <w:rPr>
          <w:szCs w:val="24"/>
        </w:rPr>
      </w:pPr>
    </w:p>
    <w:p w14:paraId="1906A7C4" w14:textId="4A141ACF" w:rsidR="00D77DAD" w:rsidRPr="00D10188" w:rsidRDefault="00D77DAD" w:rsidP="00B1784B">
      <w:pPr>
        <w:pStyle w:val="NoSpacing"/>
        <w:spacing w:before="0" w:beforeAutospacing="0" w:after="0" w:afterAutospacing="0"/>
        <w:jc w:val="both"/>
        <w:rPr>
          <w:szCs w:val="24"/>
        </w:rPr>
      </w:pPr>
      <w:r w:rsidRPr="00D10188">
        <w:rPr>
          <w:szCs w:val="24"/>
        </w:rPr>
        <w:t>HIGH COURT OF ZIMBABWE</w:t>
      </w:r>
    </w:p>
    <w:p w14:paraId="2F5EBB35" w14:textId="46FEB129" w:rsidR="00D77DAD" w:rsidRPr="00B1784B" w:rsidRDefault="00D77DAD" w:rsidP="00B1784B">
      <w:pPr>
        <w:pStyle w:val="NoSpacing"/>
        <w:spacing w:before="0" w:beforeAutospacing="0" w:after="0" w:afterAutospacing="0"/>
        <w:jc w:val="both"/>
        <w:rPr>
          <w:b/>
          <w:szCs w:val="24"/>
        </w:rPr>
      </w:pPr>
      <w:r w:rsidRPr="00B1784B">
        <w:rPr>
          <w:b/>
          <w:szCs w:val="24"/>
        </w:rPr>
        <w:t>DUBE-BANDA J</w:t>
      </w:r>
    </w:p>
    <w:p w14:paraId="2CFF4A1A" w14:textId="47BDDFC5" w:rsidR="00D77DAD" w:rsidRDefault="00B1784B" w:rsidP="00B1784B">
      <w:pPr>
        <w:pStyle w:val="NoSpacing"/>
        <w:spacing w:before="0" w:beforeAutospacing="0" w:after="0" w:afterAutospacing="0"/>
        <w:jc w:val="both"/>
        <w:rPr>
          <w:szCs w:val="24"/>
        </w:rPr>
      </w:pPr>
      <w:r>
        <w:rPr>
          <w:szCs w:val="24"/>
        </w:rPr>
        <w:t xml:space="preserve">HARARE; </w:t>
      </w:r>
      <w:r w:rsidR="007B6EF0">
        <w:rPr>
          <w:szCs w:val="24"/>
        </w:rPr>
        <w:t>17 February 2025 &amp; 13 May 2025</w:t>
      </w:r>
    </w:p>
    <w:p w14:paraId="5DCC8E91" w14:textId="77777777" w:rsidR="00D77DAD" w:rsidRDefault="00D77DAD" w:rsidP="00B1784B">
      <w:pPr>
        <w:pStyle w:val="NoSpacing"/>
        <w:spacing w:before="0" w:beforeAutospacing="0" w:after="0" w:afterAutospacing="0"/>
        <w:jc w:val="both"/>
        <w:rPr>
          <w:szCs w:val="24"/>
        </w:rPr>
      </w:pPr>
    </w:p>
    <w:p w14:paraId="63384822" w14:textId="77777777" w:rsidR="00B1784B" w:rsidRPr="00D10188" w:rsidRDefault="00B1784B" w:rsidP="00B1784B">
      <w:pPr>
        <w:pStyle w:val="NoSpacing"/>
        <w:spacing w:before="0" w:beforeAutospacing="0" w:after="0" w:afterAutospacing="0"/>
        <w:jc w:val="both"/>
        <w:rPr>
          <w:szCs w:val="24"/>
        </w:rPr>
      </w:pPr>
    </w:p>
    <w:p w14:paraId="58CA894E" w14:textId="411077A3" w:rsidR="00D77DAD" w:rsidRPr="00B1784B" w:rsidRDefault="00D77DAD" w:rsidP="00B1784B">
      <w:pPr>
        <w:pStyle w:val="NoSpacing"/>
        <w:spacing w:before="0" w:beforeAutospacing="0" w:after="0" w:afterAutospacing="0"/>
        <w:jc w:val="both"/>
        <w:rPr>
          <w:b/>
          <w:i/>
          <w:szCs w:val="24"/>
        </w:rPr>
      </w:pPr>
      <w:r w:rsidRPr="00B1784B">
        <w:rPr>
          <w:b/>
          <w:i/>
          <w:szCs w:val="24"/>
        </w:rPr>
        <w:t>Application for a</w:t>
      </w:r>
      <w:r w:rsidR="008F77D8" w:rsidRPr="00B1784B">
        <w:rPr>
          <w:b/>
          <w:i/>
          <w:szCs w:val="24"/>
        </w:rPr>
        <w:t xml:space="preserve"> </w:t>
      </w:r>
      <w:r w:rsidR="008F77D8" w:rsidRPr="00B1784B">
        <w:rPr>
          <w:b/>
          <w:i/>
          <w:iCs/>
          <w:szCs w:val="24"/>
        </w:rPr>
        <w:t>declaratur a</w:t>
      </w:r>
      <w:r w:rsidR="008F77D8" w:rsidRPr="00B1784B">
        <w:rPr>
          <w:b/>
          <w:i/>
          <w:szCs w:val="24"/>
        </w:rPr>
        <w:t>nd interdict</w:t>
      </w:r>
      <w:r w:rsidRPr="00B1784B">
        <w:rPr>
          <w:b/>
          <w:i/>
          <w:szCs w:val="24"/>
        </w:rPr>
        <w:t xml:space="preserve"> </w:t>
      </w:r>
    </w:p>
    <w:p w14:paraId="6D026893" w14:textId="77777777" w:rsidR="00D77DAD" w:rsidRDefault="00D77DAD" w:rsidP="00B1784B">
      <w:pPr>
        <w:pStyle w:val="NoSpacing"/>
        <w:spacing w:before="0" w:beforeAutospacing="0" w:after="0" w:afterAutospacing="0"/>
        <w:jc w:val="both"/>
        <w:rPr>
          <w:szCs w:val="24"/>
        </w:rPr>
      </w:pPr>
    </w:p>
    <w:p w14:paraId="5A3E74FD" w14:textId="77777777" w:rsidR="00B1784B" w:rsidRPr="00D10188" w:rsidRDefault="00B1784B" w:rsidP="00B1784B">
      <w:pPr>
        <w:pStyle w:val="NoSpacing"/>
        <w:spacing w:before="0" w:beforeAutospacing="0" w:after="0" w:afterAutospacing="0"/>
        <w:jc w:val="both"/>
        <w:rPr>
          <w:szCs w:val="24"/>
        </w:rPr>
      </w:pPr>
    </w:p>
    <w:p w14:paraId="1072B72E" w14:textId="4355D2BA" w:rsidR="00D77DAD" w:rsidRPr="00D10188" w:rsidRDefault="007B6EF0" w:rsidP="00B1784B">
      <w:pPr>
        <w:pStyle w:val="NoSpacing"/>
        <w:spacing w:before="0" w:beforeAutospacing="0" w:after="0" w:afterAutospacing="0"/>
        <w:jc w:val="both"/>
        <w:rPr>
          <w:szCs w:val="24"/>
        </w:rPr>
      </w:pPr>
      <w:r w:rsidRPr="007B6EF0">
        <w:rPr>
          <w:i/>
          <w:iCs/>
          <w:szCs w:val="24"/>
        </w:rPr>
        <w:t>E. Mubaiwa</w:t>
      </w:r>
      <w:r>
        <w:rPr>
          <w:szCs w:val="24"/>
        </w:rPr>
        <w:t xml:space="preserve"> </w:t>
      </w:r>
      <w:r w:rsidR="00D77DAD" w:rsidRPr="00D10188">
        <w:rPr>
          <w:szCs w:val="24"/>
        </w:rPr>
        <w:t>for the applicant</w:t>
      </w:r>
      <w:r w:rsidR="00D77DAD">
        <w:rPr>
          <w:szCs w:val="24"/>
        </w:rPr>
        <w:t>s</w:t>
      </w:r>
    </w:p>
    <w:p w14:paraId="1BEA2938" w14:textId="6C016330" w:rsidR="00D77DAD" w:rsidRDefault="007B6EF0" w:rsidP="00B1784B">
      <w:pPr>
        <w:pStyle w:val="NoSpacing"/>
        <w:spacing w:before="0" w:beforeAutospacing="0" w:after="0" w:afterAutospacing="0"/>
        <w:jc w:val="both"/>
        <w:rPr>
          <w:szCs w:val="24"/>
        </w:rPr>
      </w:pPr>
      <w:r w:rsidRPr="007B6EF0">
        <w:rPr>
          <w:i/>
          <w:iCs/>
          <w:szCs w:val="24"/>
        </w:rPr>
        <w:t>Ms. C. M. Mushayi</w:t>
      </w:r>
      <w:r>
        <w:rPr>
          <w:szCs w:val="24"/>
        </w:rPr>
        <w:t xml:space="preserve"> </w:t>
      </w:r>
      <w:r w:rsidR="00D77DAD" w:rsidRPr="00D10188">
        <w:rPr>
          <w:szCs w:val="24"/>
        </w:rPr>
        <w:t>for the</w:t>
      </w:r>
      <w:r w:rsidR="00B1784B">
        <w:rPr>
          <w:szCs w:val="24"/>
        </w:rPr>
        <w:t xml:space="preserve"> 1</w:t>
      </w:r>
      <w:r w:rsidR="00B1784B" w:rsidRPr="00B1784B">
        <w:rPr>
          <w:szCs w:val="24"/>
          <w:vertAlign w:val="superscript"/>
        </w:rPr>
        <w:t>st</w:t>
      </w:r>
      <w:r w:rsidR="00B1784B">
        <w:rPr>
          <w:szCs w:val="24"/>
        </w:rPr>
        <w:t xml:space="preserve"> </w:t>
      </w:r>
      <w:r w:rsidR="00D77DAD" w:rsidRPr="00D10188">
        <w:rPr>
          <w:szCs w:val="24"/>
        </w:rPr>
        <w:t>respondent</w:t>
      </w:r>
    </w:p>
    <w:p w14:paraId="0C471024" w14:textId="77777777" w:rsidR="00B1784B" w:rsidRDefault="00B1784B" w:rsidP="00B1784B">
      <w:pPr>
        <w:pStyle w:val="NoSpacing"/>
        <w:spacing w:before="0" w:beforeAutospacing="0" w:after="0" w:afterAutospacing="0"/>
        <w:jc w:val="both"/>
        <w:rPr>
          <w:szCs w:val="24"/>
        </w:rPr>
      </w:pPr>
    </w:p>
    <w:p w14:paraId="1D42F78B" w14:textId="77777777" w:rsidR="00B1784B" w:rsidRPr="00D10188" w:rsidRDefault="00B1784B" w:rsidP="00B1784B">
      <w:pPr>
        <w:pStyle w:val="NoSpacing"/>
        <w:spacing w:before="0" w:beforeAutospacing="0" w:after="0" w:afterAutospacing="0"/>
        <w:jc w:val="both"/>
        <w:rPr>
          <w:szCs w:val="24"/>
        </w:rPr>
      </w:pPr>
    </w:p>
    <w:p w14:paraId="46A0F48E" w14:textId="0E93160C" w:rsidR="00D77DAD" w:rsidRPr="00C063A6" w:rsidRDefault="00D77DAD" w:rsidP="00B1784B">
      <w:pPr>
        <w:spacing w:after="0" w:line="240" w:lineRule="auto"/>
        <w:jc w:val="both"/>
        <w:rPr>
          <w:rFonts w:ascii="Times New Roman" w:hAnsi="Times New Roman" w:cs="Times New Roman"/>
          <w:bCs/>
          <w:sz w:val="24"/>
          <w:szCs w:val="24"/>
        </w:rPr>
      </w:pPr>
      <w:r w:rsidRPr="00C063A6">
        <w:rPr>
          <w:szCs w:val="24"/>
        </w:rPr>
        <w:tab/>
      </w:r>
      <w:r w:rsidR="00D03599" w:rsidRPr="00C063A6">
        <w:rPr>
          <w:rFonts w:ascii="Times New Roman" w:hAnsi="Times New Roman" w:cs="Times New Roman"/>
          <w:bCs/>
          <w:sz w:val="24"/>
          <w:szCs w:val="24"/>
        </w:rPr>
        <w:t>DUBE-BANDA J</w:t>
      </w:r>
      <w:r w:rsidRPr="00C063A6">
        <w:rPr>
          <w:rFonts w:ascii="Times New Roman" w:hAnsi="Times New Roman" w:cs="Times New Roman"/>
          <w:bCs/>
          <w:sz w:val="24"/>
          <w:szCs w:val="24"/>
        </w:rPr>
        <w:t>:</w:t>
      </w:r>
    </w:p>
    <w:p w14:paraId="16D35EEE" w14:textId="77777777" w:rsidR="00B1784B" w:rsidRDefault="00B1784B" w:rsidP="00B1784B">
      <w:pPr>
        <w:spacing w:after="0" w:line="240" w:lineRule="auto"/>
        <w:jc w:val="both"/>
        <w:rPr>
          <w:rFonts w:ascii="Times New Roman" w:hAnsi="Times New Roman" w:cs="Times New Roman"/>
          <w:b/>
          <w:bCs/>
          <w:sz w:val="24"/>
          <w:szCs w:val="24"/>
        </w:rPr>
      </w:pPr>
    </w:p>
    <w:p w14:paraId="45ED8E6D" w14:textId="77777777" w:rsidR="00B1784B" w:rsidRPr="00D03599" w:rsidRDefault="00B1784B" w:rsidP="00B1784B">
      <w:pPr>
        <w:spacing w:after="0" w:line="240" w:lineRule="auto"/>
        <w:jc w:val="both"/>
        <w:rPr>
          <w:rFonts w:ascii="Times New Roman" w:hAnsi="Times New Roman" w:cs="Times New Roman"/>
          <w:b/>
          <w:bCs/>
          <w:sz w:val="24"/>
          <w:szCs w:val="24"/>
          <w:lang w:val="en-US"/>
        </w:rPr>
      </w:pPr>
    </w:p>
    <w:p w14:paraId="2E9FB412" w14:textId="457DCDC1" w:rsidR="002B529B" w:rsidRPr="00B1784B" w:rsidRDefault="00B00FAE"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This is an application for</w:t>
      </w:r>
      <w:r w:rsidR="002B529B" w:rsidRPr="00B1784B">
        <w:rPr>
          <w:rFonts w:ascii="Times New Roman" w:hAnsi="Times New Roman" w:cs="Times New Roman"/>
          <w:sz w:val="24"/>
          <w:szCs w:val="24"/>
          <w:lang w:val="en-US"/>
        </w:rPr>
        <w:t>,</w:t>
      </w:r>
      <w:r w:rsidR="002B529B" w:rsidRPr="00B1784B">
        <w:rPr>
          <w:rFonts w:ascii="Times New Roman" w:hAnsi="Times New Roman" w:cs="Times New Roman"/>
          <w:i/>
          <w:iCs/>
          <w:sz w:val="24"/>
          <w:szCs w:val="24"/>
          <w:lang w:val="en-US"/>
        </w:rPr>
        <w:t xml:space="preserve"> inter alia</w:t>
      </w:r>
      <w:r w:rsidR="002B529B" w:rsidRPr="00B1784B">
        <w:rPr>
          <w:rFonts w:ascii="Times New Roman" w:hAnsi="Times New Roman" w:cs="Times New Roman"/>
          <w:sz w:val="24"/>
          <w:szCs w:val="24"/>
          <w:lang w:val="en-US"/>
        </w:rPr>
        <w:t xml:space="preserve">, </w:t>
      </w:r>
      <w:r w:rsidRPr="00B1784B">
        <w:rPr>
          <w:rFonts w:ascii="Times New Roman" w:hAnsi="Times New Roman" w:cs="Times New Roman"/>
          <w:sz w:val="24"/>
          <w:szCs w:val="24"/>
          <w:lang w:val="en-US"/>
        </w:rPr>
        <w:t xml:space="preserve">a </w:t>
      </w:r>
      <w:r w:rsidR="002B529B" w:rsidRPr="00B1784B">
        <w:rPr>
          <w:rFonts w:ascii="Times New Roman" w:hAnsi="Times New Roman" w:cs="Times New Roman"/>
          <w:i/>
          <w:iCs/>
          <w:sz w:val="24"/>
          <w:szCs w:val="24"/>
          <w:lang w:val="en-US"/>
        </w:rPr>
        <w:t xml:space="preserve">declaratur </w:t>
      </w:r>
      <w:r w:rsidR="002B529B" w:rsidRPr="00B1784B">
        <w:rPr>
          <w:rFonts w:ascii="Times New Roman" w:hAnsi="Times New Roman" w:cs="Times New Roman"/>
          <w:sz w:val="24"/>
          <w:szCs w:val="24"/>
          <w:lang w:val="en-US"/>
        </w:rPr>
        <w:t>and an interdict</w:t>
      </w:r>
      <w:r w:rsidRPr="00B1784B">
        <w:rPr>
          <w:rFonts w:ascii="Times New Roman" w:hAnsi="Times New Roman" w:cs="Times New Roman"/>
          <w:sz w:val="24"/>
          <w:szCs w:val="24"/>
          <w:lang w:val="en-US"/>
        </w:rPr>
        <w:t xml:space="preserve">.  The </w:t>
      </w:r>
      <w:r w:rsidR="002B529B" w:rsidRPr="00B1784B">
        <w:rPr>
          <w:rFonts w:ascii="Times New Roman" w:hAnsi="Times New Roman" w:cs="Times New Roman"/>
          <w:sz w:val="24"/>
          <w:szCs w:val="24"/>
          <w:lang w:val="en-US"/>
        </w:rPr>
        <w:t xml:space="preserve">relief sought is couched as follows: </w:t>
      </w:r>
    </w:p>
    <w:p w14:paraId="77F590C4" w14:textId="232F94A4" w:rsidR="00BD3683" w:rsidRDefault="002B529B" w:rsidP="00B1784B">
      <w:pPr>
        <w:pStyle w:val="ListParagraph"/>
        <w:numPr>
          <w:ilvl w:val="0"/>
          <w:numId w:val="2"/>
        </w:numPr>
        <w:spacing w:after="0" w:line="360" w:lineRule="auto"/>
        <w:jc w:val="both"/>
        <w:rPr>
          <w:rFonts w:ascii="Times New Roman" w:hAnsi="Times New Roman" w:cs="Times New Roman"/>
          <w:sz w:val="24"/>
          <w:szCs w:val="24"/>
          <w:lang w:val="en-US"/>
        </w:rPr>
      </w:pPr>
      <w:r w:rsidRPr="00BD3683">
        <w:rPr>
          <w:rFonts w:ascii="Times New Roman" w:hAnsi="Times New Roman" w:cs="Times New Roman"/>
          <w:sz w:val="24"/>
          <w:szCs w:val="24"/>
          <w:lang w:val="en-US"/>
        </w:rPr>
        <w:t>That the</w:t>
      </w:r>
      <w:r w:rsidR="00255689">
        <w:rPr>
          <w:rFonts w:ascii="Times New Roman" w:hAnsi="Times New Roman" w:cs="Times New Roman"/>
          <w:sz w:val="24"/>
          <w:szCs w:val="24"/>
          <w:lang w:val="en-US"/>
        </w:rPr>
        <w:t xml:space="preserve"> first and second</w:t>
      </w:r>
      <w:r w:rsidRPr="00BD3683">
        <w:rPr>
          <w:rFonts w:ascii="Times New Roman" w:hAnsi="Times New Roman" w:cs="Times New Roman"/>
          <w:sz w:val="24"/>
          <w:szCs w:val="24"/>
          <w:lang w:val="en-US"/>
        </w:rPr>
        <w:t xml:space="preserve"> respondents together with any persons acting or purporting to act on their behalf and / or acting in common purpose with them be and are hereby interdicted </w:t>
      </w:r>
      <w:r w:rsidR="00BD3683" w:rsidRPr="00BD3683">
        <w:rPr>
          <w:rFonts w:ascii="Times New Roman" w:hAnsi="Times New Roman" w:cs="Times New Roman"/>
          <w:sz w:val="24"/>
          <w:szCs w:val="24"/>
          <w:lang w:val="en-US"/>
        </w:rPr>
        <w:t>from proceeding</w:t>
      </w:r>
      <w:r w:rsidR="00B00FAE" w:rsidRPr="00BD3683">
        <w:rPr>
          <w:rFonts w:ascii="Times New Roman" w:hAnsi="Times New Roman" w:cs="Times New Roman"/>
          <w:sz w:val="24"/>
          <w:szCs w:val="24"/>
          <w:lang w:val="en-US"/>
        </w:rPr>
        <w:t xml:space="preserve"> with the construction of the Glaudina </w:t>
      </w:r>
      <w:r w:rsidR="00A11786" w:rsidRPr="00BD3683">
        <w:rPr>
          <w:rFonts w:ascii="Times New Roman" w:hAnsi="Times New Roman" w:cs="Times New Roman"/>
          <w:sz w:val="24"/>
          <w:szCs w:val="24"/>
          <w:lang w:val="en-US"/>
        </w:rPr>
        <w:t xml:space="preserve">and Kuwadzana </w:t>
      </w:r>
      <w:r w:rsidR="00BD3683" w:rsidRPr="00BD3683">
        <w:rPr>
          <w:rFonts w:ascii="Times New Roman" w:hAnsi="Times New Roman" w:cs="Times New Roman"/>
          <w:sz w:val="24"/>
          <w:szCs w:val="24"/>
          <w:lang w:val="en-US"/>
        </w:rPr>
        <w:t xml:space="preserve">Extension Junction along Bulawayo Road based on the Draft Plan Number TPY/WR/1/24. </w:t>
      </w:r>
      <w:r w:rsidR="00A11786" w:rsidRPr="00BD3683">
        <w:rPr>
          <w:rFonts w:ascii="Times New Roman" w:hAnsi="Times New Roman" w:cs="Times New Roman"/>
          <w:sz w:val="24"/>
          <w:szCs w:val="24"/>
          <w:lang w:val="en-US"/>
        </w:rPr>
        <w:t xml:space="preserve"> </w:t>
      </w:r>
    </w:p>
    <w:p w14:paraId="56F1803E" w14:textId="18D216BD" w:rsidR="00BD3683" w:rsidRDefault="00BD3683" w:rsidP="00B1784B">
      <w:pPr>
        <w:pStyle w:val="ListParagraph"/>
        <w:numPr>
          <w:ilvl w:val="0"/>
          <w:numId w:val="2"/>
        </w:numPr>
        <w:spacing w:after="0" w:line="360" w:lineRule="auto"/>
        <w:jc w:val="both"/>
        <w:rPr>
          <w:rFonts w:ascii="Times New Roman" w:hAnsi="Times New Roman" w:cs="Times New Roman"/>
          <w:sz w:val="24"/>
          <w:szCs w:val="24"/>
          <w:lang w:val="en-US"/>
        </w:rPr>
      </w:pPr>
      <w:r w:rsidRPr="00BD3683">
        <w:rPr>
          <w:rFonts w:ascii="Times New Roman" w:hAnsi="Times New Roman" w:cs="Times New Roman"/>
          <w:sz w:val="24"/>
          <w:szCs w:val="24"/>
          <w:lang w:val="en-US"/>
        </w:rPr>
        <w:t>It is hereby declared that certain immovable property, known as Stand number 2224 to 2296 Glaudina Township</w:t>
      </w:r>
      <w:r>
        <w:rPr>
          <w:rFonts w:ascii="Times New Roman" w:hAnsi="Times New Roman" w:cs="Times New Roman"/>
          <w:sz w:val="24"/>
          <w:szCs w:val="24"/>
          <w:lang w:val="en-US"/>
        </w:rPr>
        <w:t xml:space="preserve"> depicted on General Plan CT 2670 (SR 28532) as duly allocated to applicants and other members of Gillingham Pay Scheme. </w:t>
      </w:r>
    </w:p>
    <w:p w14:paraId="2F3726CB" w14:textId="77777777" w:rsidR="00B1784B" w:rsidRDefault="00A11786"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 xml:space="preserve">The application is opposed by the first respondent. The second respondent has neither filed a notice of opposition nor participated in this hearing. I take it that it has taken a decision to abide by the decision of the court. </w:t>
      </w:r>
    </w:p>
    <w:p w14:paraId="12312C29" w14:textId="77777777" w:rsidR="00B1784B" w:rsidRDefault="0044426C"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lastRenderedPageBreak/>
        <w:t xml:space="preserve">At the commencement of the hearing, the applicant raised a preliminary point that the application is not opposed. It was </w:t>
      </w:r>
      <w:r w:rsidR="00BC3B11" w:rsidRPr="00B1784B">
        <w:rPr>
          <w:rFonts w:ascii="Times New Roman" w:hAnsi="Times New Roman" w:cs="Times New Roman"/>
          <w:sz w:val="24"/>
          <w:szCs w:val="24"/>
          <w:lang w:val="en-US"/>
        </w:rPr>
        <w:t>contended that the opposing papers have not been authorized by the Council. It was argued that the Urban Councils Act [</w:t>
      </w:r>
      <w:r w:rsidR="00BC3B11" w:rsidRPr="00255689">
        <w:rPr>
          <w:rFonts w:ascii="Times New Roman" w:hAnsi="Times New Roman" w:cs="Times New Roman"/>
          <w:i/>
          <w:sz w:val="24"/>
          <w:szCs w:val="24"/>
          <w:lang w:val="en-US"/>
        </w:rPr>
        <w:t xml:space="preserve">Chapter </w:t>
      </w:r>
      <w:r w:rsidR="007B6EF0" w:rsidRPr="00255689">
        <w:rPr>
          <w:rFonts w:ascii="Times New Roman" w:hAnsi="Times New Roman" w:cs="Times New Roman"/>
          <w:i/>
          <w:sz w:val="24"/>
          <w:szCs w:val="24"/>
          <w:lang w:val="en-US"/>
        </w:rPr>
        <w:t>29:15</w:t>
      </w:r>
      <w:r w:rsidR="00BC3B11" w:rsidRPr="00B1784B">
        <w:rPr>
          <w:rFonts w:ascii="Times New Roman" w:hAnsi="Times New Roman" w:cs="Times New Roman"/>
          <w:sz w:val="24"/>
          <w:szCs w:val="24"/>
          <w:lang w:val="en-US"/>
        </w:rPr>
        <w:t xml:space="preserve">] does not give the </w:t>
      </w:r>
      <w:r w:rsidR="007B6EF0" w:rsidRPr="00B1784B">
        <w:rPr>
          <w:rFonts w:ascii="Times New Roman" w:hAnsi="Times New Roman" w:cs="Times New Roman"/>
          <w:sz w:val="24"/>
          <w:szCs w:val="24"/>
          <w:lang w:val="en-US"/>
        </w:rPr>
        <w:t>deponent, i.e.,</w:t>
      </w:r>
      <w:r w:rsidR="00BC3B11" w:rsidRPr="00B1784B">
        <w:rPr>
          <w:rFonts w:ascii="Times New Roman" w:hAnsi="Times New Roman" w:cs="Times New Roman"/>
          <w:sz w:val="24"/>
          <w:szCs w:val="24"/>
          <w:lang w:val="en-US"/>
        </w:rPr>
        <w:t xml:space="preserve"> the Town Clerk authority to litigate </w:t>
      </w:r>
      <w:r w:rsidR="00B1784B">
        <w:rPr>
          <w:rFonts w:ascii="Times New Roman" w:hAnsi="Times New Roman" w:cs="Times New Roman"/>
          <w:sz w:val="24"/>
          <w:szCs w:val="24"/>
          <w:lang w:val="en-US"/>
        </w:rPr>
        <w:t xml:space="preserve">without a Council resolution. </w:t>
      </w:r>
      <w:r w:rsidR="00BC3B11" w:rsidRPr="00B1784B">
        <w:rPr>
          <w:rFonts w:ascii="Times New Roman" w:hAnsi="Times New Roman" w:cs="Times New Roman"/>
          <w:sz w:val="24"/>
          <w:szCs w:val="24"/>
          <w:lang w:val="en-US"/>
        </w:rPr>
        <w:t>It was submitted that without a council resolution</w:t>
      </w:r>
      <w:r w:rsidR="00285103" w:rsidRPr="00B1784B">
        <w:rPr>
          <w:rFonts w:ascii="Times New Roman" w:hAnsi="Times New Roman" w:cs="Times New Roman"/>
          <w:sz w:val="24"/>
          <w:szCs w:val="24"/>
          <w:lang w:val="en-US"/>
        </w:rPr>
        <w:t xml:space="preserve"> the application is unopposed, and it must be treated as an unopposed matter.  </w:t>
      </w:r>
      <w:r w:rsidR="00BC3B11" w:rsidRPr="00B1784B">
        <w:rPr>
          <w:rFonts w:ascii="Times New Roman" w:hAnsi="Times New Roman" w:cs="Times New Roman"/>
          <w:sz w:val="24"/>
          <w:szCs w:val="24"/>
          <w:lang w:val="en-US"/>
        </w:rPr>
        <w:t xml:space="preserve"> </w:t>
      </w:r>
    </w:p>
    <w:p w14:paraId="21E66AC2" w14:textId="77777777" w:rsidR="00B1784B" w:rsidRDefault="00A4685A"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i/>
          <w:iCs/>
          <w:sz w:val="24"/>
          <w:szCs w:val="24"/>
          <w:lang w:val="en-US"/>
        </w:rPr>
        <w:t>Per contra</w:t>
      </w:r>
      <w:r w:rsidRPr="00B1784B">
        <w:rPr>
          <w:rFonts w:ascii="Times New Roman" w:hAnsi="Times New Roman" w:cs="Times New Roman"/>
          <w:sz w:val="24"/>
          <w:szCs w:val="24"/>
          <w:lang w:val="en-US"/>
        </w:rPr>
        <w:t xml:space="preserve">, the first respondent argued that the deponent is the Town </w:t>
      </w:r>
      <w:r w:rsidR="00F26DDD" w:rsidRPr="00B1784B">
        <w:rPr>
          <w:rFonts w:ascii="Times New Roman" w:hAnsi="Times New Roman" w:cs="Times New Roman"/>
          <w:sz w:val="24"/>
          <w:szCs w:val="24"/>
          <w:lang w:val="en-US"/>
        </w:rPr>
        <w:t xml:space="preserve">Clerk and in terms of s </w:t>
      </w:r>
      <w:r w:rsidRPr="00B1784B">
        <w:rPr>
          <w:rFonts w:ascii="Times New Roman" w:hAnsi="Times New Roman" w:cs="Times New Roman"/>
          <w:sz w:val="24"/>
          <w:szCs w:val="24"/>
          <w:lang w:val="en-US"/>
        </w:rPr>
        <w:t xml:space="preserve">36 of the Urban Councils Act </w:t>
      </w:r>
      <w:r w:rsidR="00F26DDD" w:rsidRPr="00B1784B">
        <w:rPr>
          <w:rFonts w:ascii="Times New Roman" w:hAnsi="Times New Roman" w:cs="Times New Roman"/>
          <w:sz w:val="24"/>
          <w:szCs w:val="24"/>
          <w:lang w:val="en-US"/>
        </w:rPr>
        <w:t>he is authorized</w:t>
      </w:r>
      <w:r w:rsidRPr="00B1784B">
        <w:rPr>
          <w:rFonts w:ascii="Times New Roman" w:hAnsi="Times New Roman" w:cs="Times New Roman"/>
          <w:sz w:val="24"/>
          <w:szCs w:val="24"/>
          <w:lang w:val="en-US"/>
        </w:rPr>
        <w:t xml:space="preserve"> to depose to the opposing affidavit on behalf of the Council. </w:t>
      </w:r>
      <w:r w:rsidR="00F26DDD" w:rsidRPr="00B1784B">
        <w:rPr>
          <w:rFonts w:ascii="Times New Roman" w:hAnsi="Times New Roman" w:cs="Times New Roman"/>
          <w:sz w:val="24"/>
          <w:szCs w:val="24"/>
          <w:lang w:val="en-US"/>
        </w:rPr>
        <w:t xml:space="preserve">It was submitted that the preliminary point has no merit and ought to be refused. </w:t>
      </w:r>
    </w:p>
    <w:p w14:paraId="01B843EE" w14:textId="2B8F589C" w:rsidR="00B1784B" w:rsidRPr="00B1784B" w:rsidRDefault="00F26DDD"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 xml:space="preserve">My view is that the applicant is conflating two distinct issues, i.e., the authority to litigate and being a witness. The Town Clerk is not litigating; it is Council that is litigating. The Town Clerk   is a witness.  He is </w:t>
      </w:r>
      <w:r w:rsidR="00B42071" w:rsidRPr="00B1784B">
        <w:rPr>
          <w:rFonts w:ascii="Times New Roman" w:hAnsi="Times New Roman" w:cs="Times New Roman"/>
          <w:sz w:val="24"/>
          <w:szCs w:val="24"/>
          <w:lang w:val="en-US"/>
        </w:rPr>
        <w:t xml:space="preserve">competent, </w:t>
      </w:r>
      <w:r w:rsidR="00B42071" w:rsidRPr="00B1784B">
        <w:rPr>
          <w:rFonts w:ascii="Times New Roman" w:hAnsi="Times New Roman" w:cs="Times New Roman"/>
          <w:sz w:val="24"/>
          <w:szCs w:val="24"/>
        </w:rPr>
        <w:t>in the reading of r 58 (4)(a) of the High Court Rules, 2021</w:t>
      </w:r>
      <w:r w:rsidRPr="00B1784B">
        <w:rPr>
          <w:rFonts w:ascii="Times New Roman" w:hAnsi="Times New Roman" w:cs="Times New Roman"/>
          <w:sz w:val="24"/>
          <w:szCs w:val="24"/>
        </w:rPr>
        <w:t xml:space="preserve"> to swear to </w:t>
      </w:r>
      <w:r w:rsidR="00385801" w:rsidRPr="00B1784B">
        <w:rPr>
          <w:rFonts w:ascii="Times New Roman" w:hAnsi="Times New Roman" w:cs="Times New Roman"/>
          <w:sz w:val="24"/>
          <w:szCs w:val="24"/>
        </w:rPr>
        <w:t xml:space="preserve">the opposing </w:t>
      </w:r>
      <w:r w:rsidRPr="00B1784B">
        <w:rPr>
          <w:rFonts w:ascii="Times New Roman" w:hAnsi="Times New Roman" w:cs="Times New Roman"/>
          <w:sz w:val="24"/>
          <w:szCs w:val="24"/>
        </w:rPr>
        <w:t xml:space="preserve">affidavit on the basis that he </w:t>
      </w:r>
      <w:r w:rsidR="00B42071" w:rsidRPr="00B1784B">
        <w:rPr>
          <w:rFonts w:ascii="Times New Roman" w:hAnsi="Times New Roman" w:cs="Times New Roman"/>
          <w:sz w:val="24"/>
          <w:szCs w:val="24"/>
        </w:rPr>
        <w:t>can swear to the fact</w:t>
      </w:r>
      <w:r w:rsidR="00255689">
        <w:rPr>
          <w:rFonts w:ascii="Times New Roman" w:hAnsi="Times New Roman" w:cs="Times New Roman"/>
          <w:sz w:val="24"/>
          <w:szCs w:val="24"/>
        </w:rPr>
        <w:t xml:space="preserve">s or averments set out therein. </w:t>
      </w:r>
      <w:r w:rsidR="00BE28CE" w:rsidRPr="00B1784B">
        <w:rPr>
          <w:rFonts w:ascii="Times New Roman" w:hAnsi="Times New Roman" w:cs="Times New Roman"/>
          <w:sz w:val="24"/>
          <w:szCs w:val="24"/>
        </w:rPr>
        <w:t>As a witness to depos</w:t>
      </w:r>
      <w:r w:rsidR="0042353E">
        <w:rPr>
          <w:rFonts w:ascii="Times New Roman" w:hAnsi="Times New Roman" w:cs="Times New Roman"/>
          <w:sz w:val="24"/>
          <w:szCs w:val="24"/>
        </w:rPr>
        <w:t xml:space="preserve">ing </w:t>
      </w:r>
      <w:r w:rsidR="00BE28CE" w:rsidRPr="00B1784B">
        <w:rPr>
          <w:rFonts w:ascii="Times New Roman" w:hAnsi="Times New Roman" w:cs="Times New Roman"/>
          <w:sz w:val="24"/>
          <w:szCs w:val="24"/>
        </w:rPr>
        <w:t xml:space="preserve">to an opposing affidavit, he does not require a resolution. </w:t>
      </w:r>
      <w:r w:rsidR="00B42071" w:rsidRPr="00B1784B">
        <w:rPr>
          <w:rFonts w:ascii="Times New Roman" w:hAnsi="Times New Roman" w:cs="Times New Roman"/>
          <w:sz w:val="24"/>
          <w:szCs w:val="24"/>
        </w:rPr>
        <w:t>See W</w:t>
      </w:r>
      <w:r w:rsidR="00A57D11" w:rsidRPr="00B1784B">
        <w:rPr>
          <w:rFonts w:ascii="Times New Roman" w:hAnsi="Times New Roman" w:cs="Times New Roman"/>
          <w:i/>
          <w:iCs/>
          <w:sz w:val="24"/>
          <w:szCs w:val="24"/>
        </w:rPr>
        <w:t xml:space="preserve">illoughby’s Investments (Pvt) Ltd v Peruke Investments (Pvt) Ltd &amp; Anor </w:t>
      </w:r>
      <w:r w:rsidR="00A57D11" w:rsidRPr="00B1784B">
        <w:rPr>
          <w:rFonts w:ascii="Times New Roman" w:hAnsi="Times New Roman" w:cs="Times New Roman"/>
          <w:sz w:val="24"/>
          <w:szCs w:val="24"/>
        </w:rPr>
        <w:t>2014 (1) ZLR 501 (H</w:t>
      </w:r>
      <w:r w:rsidR="00DD2EBF" w:rsidRPr="00B1784B">
        <w:rPr>
          <w:rFonts w:ascii="Times New Roman" w:hAnsi="Times New Roman" w:cs="Times New Roman"/>
          <w:sz w:val="24"/>
          <w:szCs w:val="24"/>
        </w:rPr>
        <w:t>)</w:t>
      </w:r>
      <w:r w:rsidR="00BE28CE" w:rsidRPr="00B1784B">
        <w:rPr>
          <w:rFonts w:ascii="Times New Roman" w:hAnsi="Times New Roman" w:cs="Times New Roman"/>
          <w:sz w:val="24"/>
          <w:szCs w:val="24"/>
        </w:rPr>
        <w:t>.</w:t>
      </w:r>
      <w:r w:rsidR="00A57D11" w:rsidRPr="00B1784B">
        <w:rPr>
          <w:rFonts w:ascii="Times New Roman" w:hAnsi="Times New Roman" w:cs="Times New Roman"/>
          <w:sz w:val="24"/>
          <w:szCs w:val="24"/>
        </w:rPr>
        <w:t xml:space="preserve"> </w:t>
      </w:r>
      <w:r w:rsidR="00220D5F" w:rsidRPr="00B1784B">
        <w:rPr>
          <w:rFonts w:ascii="Times New Roman" w:hAnsi="Times New Roman" w:cs="Times New Roman"/>
          <w:sz w:val="24"/>
          <w:szCs w:val="24"/>
        </w:rPr>
        <w:t xml:space="preserve">He is responsible for the administration of Council. See </w:t>
      </w:r>
      <w:r w:rsidR="00AE710C" w:rsidRPr="00B1784B">
        <w:rPr>
          <w:rFonts w:ascii="Times New Roman" w:hAnsi="Times New Roman" w:cs="Times New Roman"/>
          <w:i/>
          <w:iCs/>
          <w:sz w:val="24"/>
          <w:szCs w:val="24"/>
        </w:rPr>
        <w:t xml:space="preserve">Home of Angels Housing Co-Operative Society Limited and 5 Others v City of Harare </w:t>
      </w:r>
      <w:r w:rsidR="00220D5F" w:rsidRPr="00B1784B">
        <w:rPr>
          <w:rFonts w:ascii="Times New Roman" w:hAnsi="Times New Roman" w:cs="Times New Roman"/>
          <w:sz w:val="24"/>
          <w:szCs w:val="24"/>
        </w:rPr>
        <w:t>[</w:t>
      </w:r>
      <w:r w:rsidR="00AE710C" w:rsidRPr="00B1784B">
        <w:rPr>
          <w:rFonts w:ascii="Times New Roman" w:hAnsi="Times New Roman" w:cs="Times New Roman"/>
          <w:sz w:val="24"/>
          <w:szCs w:val="24"/>
        </w:rPr>
        <w:t xml:space="preserve">2022] ZWHHC </w:t>
      </w:r>
      <w:r w:rsidR="00DD2EBF" w:rsidRPr="00B1784B">
        <w:rPr>
          <w:rFonts w:ascii="Times New Roman" w:hAnsi="Times New Roman" w:cs="Times New Roman"/>
          <w:sz w:val="24"/>
          <w:szCs w:val="24"/>
        </w:rPr>
        <w:t>800; Trustees</w:t>
      </w:r>
      <w:r w:rsidR="00DD2EBF" w:rsidRPr="00B1784B">
        <w:rPr>
          <w:rFonts w:ascii="Times New Roman" w:hAnsi="Times New Roman" w:cs="Times New Roman"/>
          <w:i/>
          <w:iCs/>
          <w:sz w:val="24"/>
          <w:szCs w:val="24"/>
        </w:rPr>
        <w:t xml:space="preserve">, United Mutare Residents and Ratepayers Trust v City of Mutare &amp; Anor </w:t>
      </w:r>
      <w:r w:rsidR="00DD2EBF" w:rsidRPr="00B1784B">
        <w:rPr>
          <w:rFonts w:ascii="Times New Roman" w:hAnsi="Times New Roman" w:cs="Times New Roman"/>
          <w:sz w:val="24"/>
          <w:szCs w:val="24"/>
        </w:rPr>
        <w:t>[2019] ZWMTHC 3.</w:t>
      </w:r>
      <w:r w:rsidR="00190511" w:rsidRPr="00B1784B">
        <w:rPr>
          <w:rFonts w:ascii="Times New Roman" w:hAnsi="Times New Roman" w:cs="Times New Roman"/>
          <w:sz w:val="24"/>
          <w:szCs w:val="24"/>
        </w:rPr>
        <w:t xml:space="preserve"> This preliminary point is ill-advised and has no merit, it is accordingly refused.  </w:t>
      </w:r>
    </w:p>
    <w:p w14:paraId="57CBF77E" w14:textId="77777777" w:rsidR="00B1784B" w:rsidRPr="00B1784B" w:rsidRDefault="00A75E6C"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The first respondent took a preliminary point that the applicants have no</w:t>
      </w:r>
      <w:r w:rsidRPr="00B1784B">
        <w:rPr>
          <w:rFonts w:ascii="Times New Roman" w:hAnsi="Times New Roman" w:cs="Times New Roman"/>
          <w:i/>
          <w:iCs/>
          <w:sz w:val="24"/>
          <w:szCs w:val="24"/>
          <w:lang w:val="en-US"/>
        </w:rPr>
        <w:t xml:space="preserve"> locus standi</w:t>
      </w:r>
      <w:r w:rsidRPr="00B1784B">
        <w:rPr>
          <w:rFonts w:ascii="Times New Roman" w:hAnsi="Times New Roman" w:cs="Times New Roman"/>
          <w:sz w:val="24"/>
          <w:szCs w:val="24"/>
          <w:lang w:val="en-US"/>
        </w:rPr>
        <w:t xml:space="preserve"> in this matter. </w:t>
      </w:r>
      <w:r w:rsidR="008F77D8" w:rsidRPr="00B1784B">
        <w:rPr>
          <w:rFonts w:ascii="Times New Roman" w:hAnsi="Times New Roman" w:cs="Times New Roman"/>
          <w:sz w:val="24"/>
          <w:szCs w:val="24"/>
          <w:lang w:val="en-US"/>
        </w:rPr>
        <w:t xml:space="preserve">It was argued that the </w:t>
      </w:r>
      <w:r w:rsidR="00F07D98" w:rsidRPr="00B1784B">
        <w:rPr>
          <w:rFonts w:ascii="Times New Roman" w:hAnsi="Times New Roman" w:cs="Times New Roman"/>
          <w:sz w:val="24"/>
          <w:szCs w:val="24"/>
        </w:rPr>
        <w:t xml:space="preserve">applicants allege that they are members of </w:t>
      </w:r>
      <w:r w:rsidR="00F07D98" w:rsidRPr="00B1784B">
        <w:rPr>
          <w:rFonts w:ascii="Times New Roman" w:hAnsi="Times New Roman" w:cs="Times New Roman"/>
          <w:i/>
          <w:iCs/>
          <w:sz w:val="24"/>
          <w:szCs w:val="24"/>
        </w:rPr>
        <w:t>“Gillingham Pay Scheme”</w:t>
      </w:r>
      <w:r w:rsidR="008F77D8" w:rsidRPr="00B1784B">
        <w:rPr>
          <w:rFonts w:ascii="Times New Roman" w:hAnsi="Times New Roman" w:cs="Times New Roman"/>
          <w:i/>
          <w:iCs/>
          <w:sz w:val="24"/>
          <w:szCs w:val="24"/>
        </w:rPr>
        <w:t xml:space="preserve">, </w:t>
      </w:r>
      <w:r w:rsidR="008F77D8" w:rsidRPr="00B1784B">
        <w:rPr>
          <w:rFonts w:ascii="Times New Roman" w:hAnsi="Times New Roman" w:cs="Times New Roman"/>
          <w:sz w:val="24"/>
          <w:szCs w:val="24"/>
        </w:rPr>
        <w:t>how</w:t>
      </w:r>
      <w:r w:rsidR="00F07D98" w:rsidRPr="00B1784B">
        <w:rPr>
          <w:rFonts w:ascii="Times New Roman" w:hAnsi="Times New Roman" w:cs="Times New Roman"/>
          <w:sz w:val="24"/>
          <w:szCs w:val="24"/>
        </w:rPr>
        <w:t xml:space="preserve">ever, they have not described what this pay scheme is and why they have decided to institute the present application on its behalf without the </w:t>
      </w:r>
      <w:r w:rsidR="00224AF3" w:rsidRPr="00B1784B">
        <w:rPr>
          <w:rFonts w:ascii="Times New Roman" w:hAnsi="Times New Roman" w:cs="Times New Roman"/>
          <w:sz w:val="24"/>
          <w:szCs w:val="24"/>
        </w:rPr>
        <w:t>S</w:t>
      </w:r>
      <w:r w:rsidR="00F07D98" w:rsidRPr="00B1784B">
        <w:rPr>
          <w:rFonts w:ascii="Times New Roman" w:hAnsi="Times New Roman" w:cs="Times New Roman"/>
          <w:sz w:val="24"/>
          <w:szCs w:val="24"/>
        </w:rPr>
        <w:t xml:space="preserve">cheme’s authority or involvement. It was argued further that the applicants have not even shown how they are members of the said pay scheme. </w:t>
      </w:r>
    </w:p>
    <w:p w14:paraId="5AE68563" w14:textId="100949F5" w:rsidR="00B1784B" w:rsidRDefault="00224AF3"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 xml:space="preserve">To counter the contention that they have no </w:t>
      </w:r>
      <w:r w:rsidRPr="00B1784B">
        <w:rPr>
          <w:rFonts w:ascii="Times New Roman" w:hAnsi="Times New Roman" w:cs="Times New Roman"/>
          <w:i/>
          <w:iCs/>
          <w:sz w:val="24"/>
          <w:szCs w:val="24"/>
          <w:lang w:val="en-US"/>
        </w:rPr>
        <w:t>locus standi</w:t>
      </w:r>
      <w:r w:rsidRPr="00B1784B">
        <w:rPr>
          <w:rFonts w:ascii="Times New Roman" w:hAnsi="Times New Roman" w:cs="Times New Roman"/>
          <w:sz w:val="24"/>
          <w:szCs w:val="24"/>
          <w:lang w:val="en-US"/>
        </w:rPr>
        <w:t xml:space="preserve"> in this matter, t</w:t>
      </w:r>
      <w:r w:rsidR="00F07D98" w:rsidRPr="00B1784B">
        <w:rPr>
          <w:rFonts w:ascii="Times New Roman" w:hAnsi="Times New Roman" w:cs="Times New Roman"/>
          <w:sz w:val="24"/>
          <w:szCs w:val="24"/>
          <w:lang w:val="en-US"/>
        </w:rPr>
        <w:t xml:space="preserve">he applicants argued that they have </w:t>
      </w:r>
      <w:r w:rsidR="00F07D98" w:rsidRPr="00B1784B">
        <w:rPr>
          <w:rFonts w:ascii="Times New Roman" w:hAnsi="Times New Roman" w:cs="Times New Roman"/>
          <w:i/>
          <w:iCs/>
          <w:sz w:val="24"/>
          <w:szCs w:val="24"/>
          <w:lang w:val="en-US"/>
        </w:rPr>
        <w:t>locus standi</w:t>
      </w:r>
      <w:r w:rsidR="00F07D98" w:rsidRPr="00B1784B">
        <w:rPr>
          <w:rFonts w:ascii="Times New Roman" w:hAnsi="Times New Roman" w:cs="Times New Roman"/>
          <w:sz w:val="24"/>
          <w:szCs w:val="24"/>
          <w:lang w:val="en-US"/>
        </w:rPr>
        <w:t xml:space="preserve"> as members of the Scheme </w:t>
      </w:r>
      <w:r w:rsidR="004B2219" w:rsidRPr="00B1784B">
        <w:rPr>
          <w:rFonts w:ascii="Times New Roman" w:hAnsi="Times New Roman" w:cs="Times New Roman"/>
          <w:sz w:val="24"/>
          <w:szCs w:val="24"/>
          <w:lang w:val="en-US"/>
        </w:rPr>
        <w:t>and</w:t>
      </w:r>
      <w:r w:rsidR="00F07D98" w:rsidRPr="00B1784B">
        <w:rPr>
          <w:rFonts w:ascii="Times New Roman" w:hAnsi="Times New Roman" w:cs="Times New Roman"/>
          <w:sz w:val="24"/>
          <w:szCs w:val="24"/>
          <w:lang w:val="en-US"/>
        </w:rPr>
        <w:t xml:space="preserve"> as beneficiaries of the stands. They contend that they were allocated stands, and together with other members of the Scheme undertook water reticulation and road construction with the knowledge and approval of </w:t>
      </w:r>
      <w:r w:rsidR="004B2219" w:rsidRPr="00B1784B">
        <w:rPr>
          <w:rFonts w:ascii="Times New Roman" w:hAnsi="Times New Roman" w:cs="Times New Roman"/>
          <w:sz w:val="24"/>
          <w:szCs w:val="24"/>
          <w:lang w:val="en-US"/>
        </w:rPr>
        <w:t>the Council</w:t>
      </w:r>
      <w:r w:rsidR="00F07D98" w:rsidRPr="00B1784B">
        <w:rPr>
          <w:rFonts w:ascii="Times New Roman" w:hAnsi="Times New Roman" w:cs="Times New Roman"/>
          <w:sz w:val="24"/>
          <w:szCs w:val="24"/>
          <w:lang w:val="en-US"/>
        </w:rPr>
        <w:t>.</w:t>
      </w:r>
      <w:r w:rsidR="00255689">
        <w:rPr>
          <w:rFonts w:ascii="Times New Roman" w:hAnsi="Times New Roman" w:cs="Times New Roman"/>
          <w:sz w:val="24"/>
          <w:szCs w:val="24"/>
          <w:lang w:val="en-US"/>
        </w:rPr>
        <w:t xml:space="preserve"> </w:t>
      </w:r>
      <w:r w:rsidRPr="00B1784B">
        <w:rPr>
          <w:rFonts w:ascii="Times New Roman" w:hAnsi="Times New Roman" w:cs="Times New Roman"/>
          <w:sz w:val="24"/>
          <w:szCs w:val="24"/>
          <w:lang w:val="en-US"/>
        </w:rPr>
        <w:t xml:space="preserve">They argued that in </w:t>
      </w:r>
      <w:r w:rsidR="00BD3683" w:rsidRPr="00B1784B">
        <w:rPr>
          <w:rFonts w:ascii="Times New Roman" w:hAnsi="Times New Roman" w:cs="Times New Roman"/>
          <w:sz w:val="24"/>
          <w:szCs w:val="24"/>
          <w:lang w:val="en-US"/>
        </w:rPr>
        <w:t>these</w:t>
      </w:r>
      <w:r w:rsidRPr="00B1784B">
        <w:rPr>
          <w:rFonts w:ascii="Times New Roman" w:hAnsi="Times New Roman" w:cs="Times New Roman"/>
          <w:sz w:val="24"/>
          <w:szCs w:val="24"/>
          <w:lang w:val="en-US"/>
        </w:rPr>
        <w:t xml:space="preserve"> circumstances, they have a direct and substantial interest in this matter.  </w:t>
      </w:r>
    </w:p>
    <w:p w14:paraId="03FCB1A0" w14:textId="5932978A" w:rsidR="00B1784B" w:rsidRDefault="00F868A7"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i/>
          <w:iCs/>
          <w:sz w:val="24"/>
          <w:szCs w:val="24"/>
        </w:rPr>
        <w:lastRenderedPageBreak/>
        <w:t xml:space="preserve">Locus standi </w:t>
      </w:r>
      <w:r w:rsidRPr="00B1784B">
        <w:rPr>
          <w:rFonts w:ascii="Times New Roman" w:hAnsi="Times New Roman" w:cs="Times New Roman"/>
          <w:sz w:val="24"/>
          <w:szCs w:val="24"/>
        </w:rPr>
        <w:t xml:space="preserve">relates to whether a particular applicant is entitled to seek redress from the courts in respect of a particular issue. </w:t>
      </w:r>
      <w:r w:rsidR="000A6095" w:rsidRPr="00B1784B">
        <w:rPr>
          <w:rFonts w:ascii="Times New Roman" w:hAnsi="Times New Roman" w:cs="Times New Roman"/>
          <w:sz w:val="24"/>
          <w:szCs w:val="24"/>
        </w:rPr>
        <w:t xml:space="preserve">The applicants have a direct and substantial interest necessary to satisfy </w:t>
      </w:r>
      <w:r w:rsidR="00224AF3" w:rsidRPr="00B1784B">
        <w:rPr>
          <w:rFonts w:ascii="Times New Roman" w:hAnsi="Times New Roman" w:cs="Times New Roman"/>
          <w:sz w:val="24"/>
          <w:szCs w:val="24"/>
        </w:rPr>
        <w:t xml:space="preserve">the requirement of </w:t>
      </w:r>
      <w:r w:rsidR="00224AF3" w:rsidRPr="00B1784B">
        <w:rPr>
          <w:rFonts w:ascii="Times New Roman" w:hAnsi="Times New Roman" w:cs="Times New Roman"/>
          <w:i/>
          <w:iCs/>
          <w:sz w:val="24"/>
          <w:szCs w:val="24"/>
        </w:rPr>
        <w:t xml:space="preserve">locus standi </w:t>
      </w:r>
      <w:r w:rsidR="000A6095" w:rsidRPr="00B1784B">
        <w:rPr>
          <w:rFonts w:ascii="Times New Roman" w:hAnsi="Times New Roman" w:cs="Times New Roman"/>
          <w:sz w:val="24"/>
          <w:szCs w:val="24"/>
        </w:rPr>
        <w:t xml:space="preserve">in these proceedings. Their interest stems from the fact that they contend that they were allocated stands and have   </w:t>
      </w:r>
      <w:r w:rsidR="000A6095" w:rsidRPr="00B1784B">
        <w:rPr>
          <w:rFonts w:ascii="Times New Roman" w:hAnsi="Times New Roman" w:cs="Times New Roman"/>
          <w:sz w:val="24"/>
          <w:szCs w:val="24"/>
          <w:lang w:val="en-US"/>
        </w:rPr>
        <w:t xml:space="preserve">together with other members of the Scheme undertook water reticulation and road construction with the knowledge and approval of the Council. </w:t>
      </w:r>
      <w:r w:rsidR="00224AF3" w:rsidRPr="00B1784B">
        <w:rPr>
          <w:rFonts w:ascii="Times New Roman" w:hAnsi="Times New Roman" w:cs="Times New Roman"/>
          <w:sz w:val="24"/>
          <w:szCs w:val="24"/>
          <w:lang w:val="en-US"/>
        </w:rPr>
        <w:t xml:space="preserve">The fact that they have </w:t>
      </w:r>
      <w:r w:rsidR="00224AF3" w:rsidRPr="00B1784B">
        <w:rPr>
          <w:rFonts w:ascii="Times New Roman" w:hAnsi="Times New Roman" w:cs="Times New Roman"/>
          <w:sz w:val="24"/>
          <w:szCs w:val="24"/>
        </w:rPr>
        <w:t>decided to institute the present application outside the Scheme is inconsequential.</w:t>
      </w:r>
      <w:r w:rsidR="00BD3683" w:rsidRPr="00B1784B">
        <w:rPr>
          <w:rFonts w:ascii="Times New Roman" w:hAnsi="Times New Roman" w:cs="Times New Roman"/>
          <w:sz w:val="24"/>
          <w:szCs w:val="24"/>
        </w:rPr>
        <w:t xml:space="preserve"> The applicant has </w:t>
      </w:r>
      <w:r w:rsidR="00BD3683" w:rsidRPr="00B1784B">
        <w:rPr>
          <w:rFonts w:ascii="Times New Roman" w:hAnsi="Times New Roman" w:cs="Times New Roman"/>
          <w:i/>
          <w:iCs/>
          <w:sz w:val="24"/>
          <w:szCs w:val="24"/>
        </w:rPr>
        <w:t>locus standi</w:t>
      </w:r>
      <w:r w:rsidR="00BD3683" w:rsidRPr="00B1784B">
        <w:rPr>
          <w:rFonts w:ascii="Times New Roman" w:hAnsi="Times New Roman" w:cs="Times New Roman"/>
          <w:sz w:val="24"/>
          <w:szCs w:val="24"/>
        </w:rPr>
        <w:t xml:space="preserve"> only in relation to the stand the</w:t>
      </w:r>
      <w:r w:rsidR="00B1784B">
        <w:rPr>
          <w:rFonts w:ascii="Times New Roman" w:hAnsi="Times New Roman" w:cs="Times New Roman"/>
          <w:sz w:val="24"/>
          <w:szCs w:val="24"/>
        </w:rPr>
        <w:t xml:space="preserve">y claim they were allocated. </w:t>
      </w:r>
      <w:r w:rsidR="000A6095" w:rsidRPr="00B1784B">
        <w:rPr>
          <w:rFonts w:ascii="Times New Roman" w:hAnsi="Times New Roman" w:cs="Times New Roman"/>
          <w:sz w:val="24"/>
          <w:szCs w:val="24"/>
          <w:lang w:val="en-US"/>
        </w:rPr>
        <w:t xml:space="preserve">In the circumstances, the preliminary point that the applicants have no </w:t>
      </w:r>
      <w:r w:rsidR="000A6095" w:rsidRPr="00B1784B">
        <w:rPr>
          <w:rFonts w:ascii="Times New Roman" w:hAnsi="Times New Roman" w:cs="Times New Roman"/>
          <w:i/>
          <w:iCs/>
          <w:sz w:val="24"/>
          <w:szCs w:val="24"/>
          <w:lang w:val="en-US"/>
        </w:rPr>
        <w:t>locus standi</w:t>
      </w:r>
      <w:r w:rsidR="000A6095" w:rsidRPr="00B1784B">
        <w:rPr>
          <w:rFonts w:ascii="Times New Roman" w:hAnsi="Times New Roman" w:cs="Times New Roman"/>
          <w:sz w:val="24"/>
          <w:szCs w:val="24"/>
          <w:lang w:val="en-US"/>
        </w:rPr>
        <w:t xml:space="preserve"> has no merit and is refused.   </w:t>
      </w:r>
    </w:p>
    <w:p w14:paraId="53593B5D" w14:textId="72B3FD5F" w:rsidR="00B1784B" w:rsidRDefault="00224AF3"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 xml:space="preserve">I now turn to the merits. </w:t>
      </w:r>
      <w:r w:rsidR="000C20F7" w:rsidRPr="00B1784B">
        <w:rPr>
          <w:rFonts w:ascii="Times New Roman" w:hAnsi="Times New Roman" w:cs="Times New Roman"/>
          <w:sz w:val="24"/>
          <w:szCs w:val="24"/>
          <w:lang w:val="en-US"/>
        </w:rPr>
        <w:t>In summary, the applicants’ case is that they are members of what is called Gill</w:t>
      </w:r>
      <w:r w:rsidR="00B1784B">
        <w:rPr>
          <w:rFonts w:ascii="Times New Roman" w:hAnsi="Times New Roman" w:cs="Times New Roman"/>
          <w:sz w:val="24"/>
          <w:szCs w:val="24"/>
          <w:lang w:val="en-US"/>
        </w:rPr>
        <w:t xml:space="preserve">ingham Pay Scheme (“Scheme”). </w:t>
      </w:r>
      <w:r w:rsidR="000C20F7" w:rsidRPr="00B1784B">
        <w:rPr>
          <w:rFonts w:ascii="Times New Roman" w:hAnsi="Times New Roman" w:cs="Times New Roman"/>
          <w:sz w:val="24"/>
          <w:szCs w:val="24"/>
          <w:lang w:val="en-US"/>
        </w:rPr>
        <w:t xml:space="preserve">They allege that in March 2014, as members of the   Scheme applied for stands Glaudina. It is averred that the City of Harare (“Council”) on 14 November 2014, allocated the applicants a block of unserviced residential stands known as stand numbers 2234 to 2296 in Glaudina Township, Harare. It is alleged that the applicants and others complied with the conditions of the allocation letter and have undertaken and completed the following: established and approval of Lay Out Plan; surveying the land and approval of Survey Diagrams by the Surveyor General, in terms of General Plan CT2670 (SR 28532); drawing and getting approval of </w:t>
      </w:r>
      <w:r w:rsidR="00D31655" w:rsidRPr="00B1784B">
        <w:rPr>
          <w:rFonts w:ascii="Times New Roman" w:hAnsi="Times New Roman" w:cs="Times New Roman"/>
          <w:sz w:val="24"/>
          <w:szCs w:val="24"/>
          <w:lang w:val="en-US"/>
        </w:rPr>
        <w:t>Water Reticulation</w:t>
      </w:r>
      <w:r w:rsidR="000C20F7" w:rsidRPr="00B1784B">
        <w:rPr>
          <w:rFonts w:ascii="Times New Roman" w:hAnsi="Times New Roman" w:cs="Times New Roman"/>
          <w:sz w:val="24"/>
          <w:szCs w:val="24"/>
          <w:lang w:val="en-US"/>
        </w:rPr>
        <w:t xml:space="preserve"> Designs by Council; and drawing and getting approval of Road Designs. The applicants contend </w:t>
      </w:r>
      <w:r w:rsidR="0076569A" w:rsidRPr="00B1784B">
        <w:rPr>
          <w:rFonts w:ascii="Times New Roman" w:hAnsi="Times New Roman" w:cs="Times New Roman"/>
          <w:sz w:val="24"/>
          <w:szCs w:val="24"/>
          <w:lang w:val="en-US"/>
        </w:rPr>
        <w:t xml:space="preserve">further </w:t>
      </w:r>
      <w:r w:rsidR="000C20F7" w:rsidRPr="00B1784B">
        <w:rPr>
          <w:rFonts w:ascii="Times New Roman" w:hAnsi="Times New Roman" w:cs="Times New Roman"/>
          <w:sz w:val="24"/>
          <w:szCs w:val="24"/>
          <w:lang w:val="en-US"/>
        </w:rPr>
        <w:t xml:space="preserve">that they, and other members of the Scheme, have been in peaceful possession of the stands and have been finalizing the servicing of the land. </w:t>
      </w:r>
    </w:p>
    <w:p w14:paraId="168E13DB" w14:textId="77777777" w:rsidR="00B1784B" w:rsidRDefault="000C20F7"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 xml:space="preserve">The applicants contend that this application has been necessitated by the following: that on 19 March 2024 the National Social Security Authority (“NASSA”) started mobilizing equipment to construct a junction along Bulawayo Road, identified as Glaudina and Kuwadzana Extension Junction (“Junction”).  The applicant allege that Council allowed NASSA to construct the Junction in line with a draft layout plan number TPY/WR/1/24. The applicants contend that the layout plan interferes with their rights and interests as depicted on General Plan CT2670 (SR 28532). It is averred that should the respondents continue constructing the Junction based on the draft layout plan TPY/WR/1/24, the road from the Junction will encroach into the applicant’s stands and destroy the pegs and water pipes. The applicants </w:t>
      </w:r>
      <w:r w:rsidR="00C970F2" w:rsidRPr="00B1784B">
        <w:rPr>
          <w:rFonts w:ascii="Times New Roman" w:hAnsi="Times New Roman" w:cs="Times New Roman"/>
          <w:sz w:val="24"/>
          <w:szCs w:val="24"/>
          <w:lang w:val="en-US"/>
        </w:rPr>
        <w:t>argue</w:t>
      </w:r>
      <w:r w:rsidRPr="00B1784B">
        <w:rPr>
          <w:rFonts w:ascii="Times New Roman" w:hAnsi="Times New Roman" w:cs="Times New Roman"/>
          <w:sz w:val="24"/>
          <w:szCs w:val="24"/>
          <w:lang w:val="en-US"/>
        </w:rPr>
        <w:t xml:space="preserve"> that in general they are not </w:t>
      </w:r>
      <w:r w:rsidRPr="00B1784B">
        <w:rPr>
          <w:rFonts w:ascii="Times New Roman" w:hAnsi="Times New Roman" w:cs="Times New Roman"/>
          <w:sz w:val="24"/>
          <w:szCs w:val="24"/>
          <w:lang w:val="en-US"/>
        </w:rPr>
        <w:lastRenderedPageBreak/>
        <w:t>opposed to the development of the Junction, they are opposed to it being done in terms of a draft layout plan TPY/WR/1/24.</w:t>
      </w:r>
    </w:p>
    <w:p w14:paraId="5B47A2E5" w14:textId="670AAC88" w:rsidR="00B1784B" w:rsidRPr="00B1784B" w:rsidRDefault="00CF35EE"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lang w:val="en-US"/>
        </w:rPr>
        <w:t>In summary, it was argued that the a</w:t>
      </w:r>
      <w:r w:rsidR="00B1784B" w:rsidRPr="00B1784B">
        <w:rPr>
          <w:rFonts w:ascii="Times New Roman" w:hAnsi="Times New Roman" w:cs="Times New Roman"/>
          <w:sz w:val="24"/>
          <w:szCs w:val="24"/>
        </w:rPr>
        <w:t>pplicants</w:t>
      </w:r>
      <w:r w:rsidRPr="00B1784B">
        <w:rPr>
          <w:rFonts w:ascii="Times New Roman" w:hAnsi="Times New Roman" w:cs="Times New Roman"/>
          <w:sz w:val="24"/>
          <w:szCs w:val="24"/>
        </w:rPr>
        <w:t xml:space="preserve"> were never allocated the land and therefore have no rights on the land in question.</w:t>
      </w:r>
      <w:r w:rsidR="00255689">
        <w:rPr>
          <w:rFonts w:ascii="Times New Roman" w:hAnsi="Times New Roman" w:cs="Times New Roman"/>
          <w:sz w:val="24"/>
          <w:szCs w:val="24"/>
        </w:rPr>
        <w:t xml:space="preserve"> </w:t>
      </w:r>
      <w:r w:rsidRPr="00B1784B">
        <w:rPr>
          <w:rFonts w:ascii="Times New Roman" w:hAnsi="Times New Roman" w:cs="Times New Roman"/>
          <w:sz w:val="24"/>
          <w:szCs w:val="24"/>
        </w:rPr>
        <w:t xml:space="preserve">It was contended </w:t>
      </w:r>
      <w:r w:rsidRPr="00B1784B">
        <w:rPr>
          <w:rFonts w:ascii="Times New Roman" w:hAnsi="Times New Roman" w:cs="Times New Roman"/>
          <w:sz w:val="24"/>
          <w:szCs w:val="24"/>
          <w:lang w:val="en-US"/>
        </w:rPr>
        <w:t xml:space="preserve">that the </w:t>
      </w:r>
      <w:r w:rsidRPr="00B1784B">
        <w:rPr>
          <w:rFonts w:ascii="Times New Roman" w:hAnsi="Times New Roman" w:cs="Times New Roman"/>
          <w:sz w:val="24"/>
          <w:szCs w:val="24"/>
        </w:rPr>
        <w:t xml:space="preserve">attached survey diagram is unclear and missing necessary columns to enable it to sufficiently comment from an informed position. It was argued that notably the records do not show that the Council   made an application to subdivide the land for residential purposes on behalf of the applicants leading to approval of the survey diagram. Further, it was contended that a survey diagram, whether approved or unapproved is not proof of allocation of stands to the applicants and therefore irrelevant in these proceedings. </w:t>
      </w:r>
    </w:p>
    <w:p w14:paraId="1CCC0668" w14:textId="77777777" w:rsidR="00B1784B" w:rsidRPr="00B1784B" w:rsidRDefault="00CF35EE"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 xml:space="preserve">It was </w:t>
      </w:r>
      <w:r w:rsidR="003957F0" w:rsidRPr="00B1784B">
        <w:rPr>
          <w:rFonts w:ascii="Times New Roman" w:hAnsi="Times New Roman" w:cs="Times New Roman"/>
          <w:sz w:val="24"/>
          <w:szCs w:val="24"/>
        </w:rPr>
        <w:t>argued that</w:t>
      </w:r>
      <w:r w:rsidRPr="00B1784B">
        <w:rPr>
          <w:rFonts w:ascii="Times New Roman" w:hAnsi="Times New Roman" w:cs="Times New Roman"/>
          <w:sz w:val="24"/>
          <w:szCs w:val="24"/>
        </w:rPr>
        <w:t xml:space="preserve"> the documents attached in support of the  application</w:t>
      </w:r>
      <w:r w:rsidR="003957F0" w:rsidRPr="00B1784B">
        <w:rPr>
          <w:rFonts w:ascii="Times New Roman" w:hAnsi="Times New Roman" w:cs="Times New Roman"/>
          <w:sz w:val="24"/>
          <w:szCs w:val="24"/>
        </w:rPr>
        <w:t xml:space="preserve">, being an application for residential stands in Glaudina Township; a letter from Council acknowledging receipt of the application, and a letter from Council advising that the members of the Scheme have been allocated a block of unserviced  residential stands numbers 2224 to 2296 Glaudina  Township, under certain conditions are all </w:t>
      </w:r>
      <w:r w:rsidR="009A5E56" w:rsidRPr="00B1784B">
        <w:rPr>
          <w:rFonts w:ascii="Times New Roman" w:hAnsi="Times New Roman" w:cs="Times New Roman"/>
          <w:sz w:val="24"/>
          <w:szCs w:val="24"/>
        </w:rPr>
        <w:t xml:space="preserve">fraudulent and </w:t>
      </w:r>
      <w:r w:rsidR="003957F0" w:rsidRPr="00B1784B">
        <w:rPr>
          <w:rFonts w:ascii="Times New Roman" w:hAnsi="Times New Roman" w:cs="Times New Roman"/>
          <w:sz w:val="24"/>
          <w:szCs w:val="24"/>
        </w:rPr>
        <w:t xml:space="preserve">fake because the Scheme did not apply for land, and it was never allocated any land.   </w:t>
      </w:r>
    </w:p>
    <w:p w14:paraId="017BC5FD" w14:textId="77777777" w:rsidR="00B1784B" w:rsidRPr="00B1784B" w:rsidRDefault="00734A54"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 xml:space="preserve">It was argued that Council allocates stands to individuals who are on its housing waiting list. It was submitted further that no such Scheme answering to the name Gillingham Pay Scheme exist. Further, </w:t>
      </w:r>
      <w:r w:rsidR="009A5E56" w:rsidRPr="00B1784B">
        <w:rPr>
          <w:rFonts w:ascii="Times New Roman" w:hAnsi="Times New Roman" w:cs="Times New Roman"/>
          <w:sz w:val="24"/>
          <w:szCs w:val="24"/>
        </w:rPr>
        <w:t>Council does</w:t>
      </w:r>
      <w:r w:rsidRPr="00B1784B">
        <w:rPr>
          <w:rFonts w:ascii="Times New Roman" w:hAnsi="Times New Roman" w:cs="Times New Roman"/>
          <w:sz w:val="24"/>
          <w:szCs w:val="24"/>
        </w:rPr>
        <w:t xml:space="preserve"> not allocate land to pay schemes which have no legal capacity. Block allocations are only applied to</w:t>
      </w:r>
      <w:r w:rsidR="009A5E56" w:rsidRPr="00B1784B">
        <w:rPr>
          <w:rFonts w:ascii="Times New Roman" w:hAnsi="Times New Roman" w:cs="Times New Roman"/>
          <w:sz w:val="24"/>
          <w:szCs w:val="24"/>
        </w:rPr>
        <w:t xml:space="preserve"> </w:t>
      </w:r>
      <w:r w:rsidRPr="00B1784B">
        <w:rPr>
          <w:rFonts w:ascii="Times New Roman" w:hAnsi="Times New Roman" w:cs="Times New Roman"/>
          <w:sz w:val="24"/>
          <w:szCs w:val="24"/>
        </w:rPr>
        <w:t>registered cooperatives with members verifiable with the Registrar of</w:t>
      </w:r>
      <w:r w:rsidR="009A5E56" w:rsidRPr="00B1784B">
        <w:rPr>
          <w:rFonts w:ascii="Times New Roman" w:hAnsi="Times New Roman" w:cs="Times New Roman"/>
          <w:sz w:val="24"/>
          <w:szCs w:val="24"/>
        </w:rPr>
        <w:t xml:space="preserve"> C</w:t>
      </w:r>
      <w:r w:rsidRPr="00B1784B">
        <w:rPr>
          <w:rFonts w:ascii="Times New Roman" w:hAnsi="Times New Roman" w:cs="Times New Roman"/>
          <w:sz w:val="24"/>
          <w:szCs w:val="24"/>
        </w:rPr>
        <w:t>ooperatives</w:t>
      </w:r>
      <w:r w:rsidR="009A5E56" w:rsidRPr="00B1784B">
        <w:rPr>
          <w:rFonts w:ascii="Times New Roman" w:hAnsi="Times New Roman" w:cs="Times New Roman"/>
          <w:sz w:val="24"/>
          <w:szCs w:val="24"/>
        </w:rPr>
        <w:t>.</w:t>
      </w:r>
      <w:r w:rsidR="007F3E81" w:rsidRPr="00B1784B">
        <w:rPr>
          <w:rFonts w:ascii="Times New Roman" w:hAnsi="Times New Roman" w:cs="Times New Roman"/>
          <w:sz w:val="24"/>
          <w:szCs w:val="24"/>
        </w:rPr>
        <w:t xml:space="preserve"> There is no council resolution confirming such allocation or offer, which is a prerequisite before Council allocates land.</w:t>
      </w:r>
      <w:r w:rsidR="00C75EA9" w:rsidRPr="00B1784B">
        <w:rPr>
          <w:rFonts w:ascii="Times New Roman" w:hAnsi="Times New Roman" w:cs="Times New Roman"/>
          <w:sz w:val="24"/>
          <w:szCs w:val="24"/>
        </w:rPr>
        <w:t xml:space="preserve"> Because the Council never resolved to allocate the land, it never published the said allocation as mandated by law to publish any alienation of land in terms of section 152 of the Urban Councils Act to enable members of the public to make objections or representations having inspected the resolutions, terms and conditions of such alienation. </w:t>
      </w:r>
    </w:p>
    <w:p w14:paraId="29AFD5AE" w14:textId="76A0BA4E" w:rsidR="00B1784B" w:rsidRPr="00B1784B" w:rsidRDefault="00C75EA9"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Further it was argued that the</w:t>
      </w:r>
      <w:r w:rsidR="00243142">
        <w:rPr>
          <w:rFonts w:ascii="Times New Roman" w:hAnsi="Times New Roman" w:cs="Times New Roman"/>
          <w:sz w:val="24"/>
          <w:szCs w:val="24"/>
        </w:rPr>
        <w:t>y</w:t>
      </w:r>
      <w:r w:rsidRPr="00B1784B">
        <w:rPr>
          <w:rFonts w:ascii="Times New Roman" w:hAnsi="Times New Roman" w:cs="Times New Roman"/>
          <w:sz w:val="24"/>
          <w:szCs w:val="24"/>
        </w:rPr>
        <w:t xml:space="preserve"> </w:t>
      </w:r>
      <w:r w:rsidR="00243142">
        <w:rPr>
          <w:rFonts w:ascii="Times New Roman" w:hAnsi="Times New Roman" w:cs="Times New Roman"/>
          <w:sz w:val="24"/>
          <w:szCs w:val="24"/>
        </w:rPr>
        <w:t>c</w:t>
      </w:r>
      <w:r w:rsidRPr="00B1784B">
        <w:rPr>
          <w:rFonts w:ascii="Times New Roman" w:hAnsi="Times New Roman" w:cs="Times New Roman"/>
          <w:sz w:val="24"/>
          <w:szCs w:val="24"/>
        </w:rPr>
        <w:t xml:space="preserve">annot seek to rely on the approvals for the water designs as they used fake documents to have the inspections done. It was submitted that the land was never allocated to the Scheme, and the applicants have no legal interest on the land to enable </w:t>
      </w:r>
      <w:r w:rsidR="00442AEA">
        <w:rPr>
          <w:rFonts w:ascii="Times New Roman" w:hAnsi="Times New Roman" w:cs="Times New Roman"/>
          <w:sz w:val="24"/>
          <w:szCs w:val="24"/>
        </w:rPr>
        <w:t xml:space="preserve">them </w:t>
      </w:r>
      <w:r w:rsidRPr="00B1784B">
        <w:rPr>
          <w:rFonts w:ascii="Times New Roman" w:hAnsi="Times New Roman" w:cs="Times New Roman"/>
          <w:sz w:val="24"/>
          <w:szCs w:val="24"/>
        </w:rPr>
        <w:t xml:space="preserve">to make an application of this nature. It was submitted that the applicants instituted this application </w:t>
      </w:r>
      <w:r w:rsidR="00415896" w:rsidRPr="00B1784B">
        <w:rPr>
          <w:rFonts w:ascii="Times New Roman" w:hAnsi="Times New Roman" w:cs="Times New Roman"/>
          <w:sz w:val="24"/>
          <w:szCs w:val="24"/>
        </w:rPr>
        <w:t>aware</w:t>
      </w:r>
      <w:r w:rsidRPr="00B1784B">
        <w:rPr>
          <w:rFonts w:ascii="Times New Roman" w:hAnsi="Times New Roman" w:cs="Times New Roman"/>
          <w:sz w:val="24"/>
          <w:szCs w:val="24"/>
        </w:rPr>
        <w:t xml:space="preserve"> that the Scheme they seek to rely</w:t>
      </w:r>
      <w:r w:rsidR="00415896" w:rsidRPr="00B1784B">
        <w:rPr>
          <w:rFonts w:ascii="Times New Roman" w:hAnsi="Times New Roman" w:cs="Times New Roman"/>
          <w:sz w:val="24"/>
          <w:szCs w:val="24"/>
        </w:rPr>
        <w:t xml:space="preserve"> </w:t>
      </w:r>
      <w:r w:rsidRPr="00B1784B">
        <w:rPr>
          <w:rFonts w:ascii="Times New Roman" w:hAnsi="Times New Roman" w:cs="Times New Roman"/>
          <w:sz w:val="24"/>
          <w:szCs w:val="24"/>
        </w:rPr>
        <w:t xml:space="preserve">on has </w:t>
      </w:r>
      <w:r w:rsidRPr="00B1784B">
        <w:rPr>
          <w:rFonts w:ascii="Times New Roman" w:hAnsi="Times New Roman" w:cs="Times New Roman"/>
          <w:sz w:val="24"/>
          <w:szCs w:val="24"/>
        </w:rPr>
        <w:lastRenderedPageBreak/>
        <w:t xml:space="preserve">fake documents. </w:t>
      </w:r>
      <w:r w:rsidR="00415896" w:rsidRPr="00B1784B">
        <w:rPr>
          <w:rFonts w:ascii="Times New Roman" w:hAnsi="Times New Roman" w:cs="Times New Roman"/>
          <w:sz w:val="24"/>
          <w:szCs w:val="24"/>
        </w:rPr>
        <w:t xml:space="preserve">It was submitted that the application be dismissed with costs on a legal practitioner and client scale.  </w:t>
      </w:r>
    </w:p>
    <w:p w14:paraId="77473DAF" w14:textId="77777777" w:rsidR="00B1784B" w:rsidRPr="00B1784B" w:rsidRDefault="00B03193"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 xml:space="preserve">The burden or </w:t>
      </w:r>
      <w:r w:rsidRPr="00B1784B">
        <w:rPr>
          <w:rFonts w:ascii="Times New Roman" w:hAnsi="Times New Roman" w:cs="Times New Roman"/>
          <w:i/>
          <w:iCs/>
          <w:sz w:val="24"/>
          <w:szCs w:val="24"/>
        </w:rPr>
        <w:t xml:space="preserve">onus </w:t>
      </w:r>
      <w:r w:rsidRPr="00B1784B">
        <w:rPr>
          <w:rFonts w:ascii="Times New Roman" w:hAnsi="Times New Roman" w:cs="Times New Roman"/>
          <w:sz w:val="24"/>
          <w:szCs w:val="24"/>
        </w:rPr>
        <w:t>is on the applicant who applies for a remedy, and he must prove that he is entitled to the remedy</w:t>
      </w:r>
      <w:r w:rsidR="000C20F7" w:rsidRPr="00B1784B">
        <w:rPr>
          <w:rFonts w:ascii="Times New Roman" w:hAnsi="Times New Roman" w:cs="Times New Roman"/>
          <w:sz w:val="24"/>
          <w:szCs w:val="24"/>
        </w:rPr>
        <w:t xml:space="preserve"> sought</w:t>
      </w:r>
      <w:r w:rsidRPr="00B1784B">
        <w:rPr>
          <w:rFonts w:ascii="Times New Roman" w:hAnsi="Times New Roman" w:cs="Times New Roman"/>
          <w:sz w:val="24"/>
          <w:szCs w:val="24"/>
        </w:rPr>
        <w:t xml:space="preserve">. In </w:t>
      </w:r>
      <w:r w:rsidRPr="00B1784B">
        <w:rPr>
          <w:rFonts w:ascii="Times New Roman" w:hAnsi="Times New Roman" w:cs="Times New Roman"/>
          <w:i/>
          <w:iCs/>
          <w:sz w:val="24"/>
          <w:szCs w:val="24"/>
        </w:rPr>
        <w:t xml:space="preserve">Pillay </w:t>
      </w:r>
      <w:r w:rsidRPr="00B1784B">
        <w:rPr>
          <w:rFonts w:ascii="Times New Roman" w:hAnsi="Times New Roman" w:cs="Times New Roman"/>
          <w:sz w:val="24"/>
          <w:szCs w:val="24"/>
        </w:rPr>
        <w:t xml:space="preserve">v </w:t>
      </w:r>
      <w:r w:rsidRPr="00B1784B">
        <w:rPr>
          <w:rFonts w:ascii="Times New Roman" w:hAnsi="Times New Roman" w:cs="Times New Roman"/>
          <w:i/>
          <w:iCs/>
          <w:sz w:val="24"/>
          <w:szCs w:val="24"/>
        </w:rPr>
        <w:t xml:space="preserve">Krishna </w:t>
      </w:r>
      <w:r w:rsidRPr="00B1784B">
        <w:rPr>
          <w:rFonts w:ascii="Times New Roman" w:hAnsi="Times New Roman" w:cs="Times New Roman"/>
          <w:sz w:val="24"/>
          <w:szCs w:val="24"/>
        </w:rPr>
        <w:t xml:space="preserve">1946 AD 946 at 946 the court held that if one person claims something from another in a court of law, then he must satisfy the court that he is entitled to it; and he who asserts must prove and not he who denies. See </w:t>
      </w:r>
      <w:r w:rsidRPr="00B1784B">
        <w:rPr>
          <w:rFonts w:ascii="Times New Roman" w:hAnsi="Times New Roman" w:cs="Times New Roman"/>
          <w:i/>
          <w:iCs/>
          <w:sz w:val="24"/>
          <w:szCs w:val="24"/>
        </w:rPr>
        <w:t xml:space="preserve">Tendayi </w:t>
      </w:r>
      <w:r w:rsidRPr="00B1784B">
        <w:rPr>
          <w:rFonts w:ascii="Times New Roman" w:hAnsi="Times New Roman" w:cs="Times New Roman"/>
          <w:sz w:val="24"/>
          <w:szCs w:val="24"/>
        </w:rPr>
        <w:t xml:space="preserve">v </w:t>
      </w:r>
      <w:r w:rsidRPr="00B1784B">
        <w:rPr>
          <w:rFonts w:ascii="Times New Roman" w:hAnsi="Times New Roman" w:cs="Times New Roman"/>
          <w:i/>
          <w:iCs/>
          <w:sz w:val="24"/>
          <w:szCs w:val="24"/>
        </w:rPr>
        <w:t xml:space="preserve">Twenty Third Century Systems (Pvt) Ltd </w:t>
      </w:r>
      <w:r w:rsidRPr="00B1784B">
        <w:rPr>
          <w:rFonts w:ascii="Times New Roman" w:hAnsi="Times New Roman" w:cs="Times New Roman"/>
          <w:sz w:val="24"/>
          <w:szCs w:val="24"/>
        </w:rPr>
        <w:t xml:space="preserve">2020 (2) ZLR 834 (S) at 837. In </w:t>
      </w:r>
      <w:r w:rsidRPr="00B1784B">
        <w:rPr>
          <w:rFonts w:ascii="Times New Roman" w:hAnsi="Times New Roman" w:cs="Times New Roman"/>
          <w:i/>
          <w:iCs/>
          <w:sz w:val="24"/>
          <w:szCs w:val="24"/>
        </w:rPr>
        <w:t xml:space="preserve">casu, </w:t>
      </w:r>
      <w:r w:rsidRPr="00B1784B">
        <w:rPr>
          <w:rFonts w:ascii="Times New Roman" w:hAnsi="Times New Roman" w:cs="Times New Roman"/>
          <w:sz w:val="24"/>
          <w:szCs w:val="24"/>
        </w:rPr>
        <w:t xml:space="preserve">the </w:t>
      </w:r>
      <w:r w:rsidRPr="00B1784B">
        <w:rPr>
          <w:rFonts w:ascii="Times New Roman" w:hAnsi="Times New Roman" w:cs="Times New Roman"/>
          <w:i/>
          <w:iCs/>
          <w:sz w:val="24"/>
          <w:szCs w:val="24"/>
        </w:rPr>
        <w:t xml:space="preserve">onus </w:t>
      </w:r>
      <w:r w:rsidRPr="00B1784B">
        <w:rPr>
          <w:rFonts w:ascii="Times New Roman" w:hAnsi="Times New Roman" w:cs="Times New Roman"/>
          <w:sz w:val="24"/>
          <w:szCs w:val="24"/>
        </w:rPr>
        <w:t xml:space="preserve">is on the applicants, to prove on a balance of probabilities, that they are entitled to the relief they </w:t>
      </w:r>
      <w:r w:rsidR="000C20F7" w:rsidRPr="00B1784B">
        <w:rPr>
          <w:rFonts w:ascii="Times New Roman" w:hAnsi="Times New Roman" w:cs="Times New Roman"/>
          <w:sz w:val="24"/>
          <w:szCs w:val="24"/>
        </w:rPr>
        <w:t>seek</w:t>
      </w:r>
      <w:r w:rsidRPr="00B1784B">
        <w:rPr>
          <w:rFonts w:ascii="Times New Roman" w:hAnsi="Times New Roman" w:cs="Times New Roman"/>
          <w:sz w:val="24"/>
          <w:szCs w:val="24"/>
        </w:rPr>
        <w:t xml:space="preserve">. </w:t>
      </w:r>
    </w:p>
    <w:p w14:paraId="4F63DD86" w14:textId="77777777" w:rsidR="00B1784B" w:rsidRPr="00B1784B" w:rsidRDefault="00B03193"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 xml:space="preserve">It is important to restate the basic principles applicable in the resolution of cases in motion proceedings. Motion proceedings are about the resolution of legal issues based on common cause facts. This is so because they are not designed to determine probabilities. The courts have accepted, though, that in certain instances a robust and common-sense approach, can lead to a resolution of the matter on the papers without causing an injustice to either party. See </w:t>
      </w:r>
      <w:r w:rsidRPr="00B1784B">
        <w:rPr>
          <w:rFonts w:ascii="Times New Roman" w:hAnsi="Times New Roman" w:cs="Times New Roman"/>
          <w:i/>
          <w:iCs/>
          <w:sz w:val="24"/>
          <w:szCs w:val="24"/>
        </w:rPr>
        <w:t xml:space="preserve">Muzanenhamo </w:t>
      </w:r>
      <w:r w:rsidRPr="00B1784B">
        <w:rPr>
          <w:rFonts w:ascii="Times New Roman" w:hAnsi="Times New Roman" w:cs="Times New Roman"/>
          <w:sz w:val="24"/>
          <w:szCs w:val="24"/>
        </w:rPr>
        <w:t xml:space="preserve">v </w:t>
      </w:r>
      <w:r w:rsidRPr="00B1784B">
        <w:rPr>
          <w:rFonts w:ascii="Times New Roman" w:hAnsi="Times New Roman" w:cs="Times New Roman"/>
          <w:i/>
          <w:iCs/>
          <w:sz w:val="24"/>
          <w:szCs w:val="24"/>
        </w:rPr>
        <w:t xml:space="preserve">Officer In Charge CID Law and Order </w:t>
      </w:r>
      <w:r w:rsidRPr="00B1784B">
        <w:rPr>
          <w:rFonts w:ascii="Times New Roman" w:hAnsi="Times New Roman" w:cs="Times New Roman"/>
          <w:sz w:val="24"/>
          <w:szCs w:val="24"/>
        </w:rPr>
        <w:t xml:space="preserve">CCZ 3/13; </w:t>
      </w:r>
      <w:r w:rsidRPr="00B1784B">
        <w:rPr>
          <w:rFonts w:ascii="Times New Roman" w:hAnsi="Times New Roman" w:cs="Times New Roman"/>
          <w:i/>
          <w:iCs/>
          <w:sz w:val="24"/>
          <w:szCs w:val="24"/>
        </w:rPr>
        <w:t xml:space="preserve">Room Hire CC (Pty) Ltd v Jeppe Street Mansions (Pty) Ltd </w:t>
      </w:r>
      <w:r w:rsidRPr="00B1784B">
        <w:rPr>
          <w:rFonts w:ascii="Times New Roman" w:hAnsi="Times New Roman" w:cs="Times New Roman"/>
          <w:sz w:val="24"/>
          <w:szCs w:val="24"/>
        </w:rPr>
        <w:t xml:space="preserve">1949 (3) SA 1155 (T) 11633 -1163. However, a robust and common-sense approach is underpinned by the following principles; the courts have said that an applicant who seeks final relief on motion must, in the event of conflict, accept the version set up by his opponent unless the latter's allegations are, in the opinion of the court, not such as to raise a real, genuine or </w:t>
      </w:r>
      <w:r w:rsidRPr="00B1784B">
        <w:rPr>
          <w:rFonts w:ascii="Times New Roman" w:hAnsi="Times New Roman" w:cs="Times New Roman"/>
          <w:i/>
          <w:iCs/>
          <w:sz w:val="24"/>
          <w:szCs w:val="24"/>
        </w:rPr>
        <w:t xml:space="preserve">bona fide </w:t>
      </w:r>
      <w:r w:rsidRPr="00B1784B">
        <w:rPr>
          <w:rFonts w:ascii="Times New Roman" w:hAnsi="Times New Roman" w:cs="Times New Roman"/>
          <w:sz w:val="24"/>
          <w:szCs w:val="24"/>
        </w:rPr>
        <w:t xml:space="preserve">dispute of fact or are so far-fetched or clearly untenable that the court is justified in rejecting them merely on the papers. It is called the </w:t>
      </w:r>
      <w:r w:rsidRPr="00B1784B">
        <w:rPr>
          <w:rFonts w:ascii="Times New Roman" w:hAnsi="Times New Roman" w:cs="Times New Roman"/>
          <w:i/>
          <w:iCs/>
          <w:sz w:val="24"/>
          <w:szCs w:val="24"/>
        </w:rPr>
        <w:t>Plascon</w:t>
      </w:r>
      <w:r w:rsidRPr="00B1784B">
        <w:rPr>
          <w:rFonts w:ascii="Times New Roman" w:hAnsi="Times New Roman" w:cs="Times New Roman"/>
          <w:sz w:val="24"/>
          <w:szCs w:val="24"/>
        </w:rPr>
        <w:t xml:space="preserve"> rule. See </w:t>
      </w:r>
      <w:r w:rsidRPr="00B1784B">
        <w:rPr>
          <w:rFonts w:ascii="Times New Roman" w:hAnsi="Times New Roman" w:cs="Times New Roman"/>
          <w:i/>
          <w:iCs/>
          <w:sz w:val="24"/>
          <w:szCs w:val="24"/>
        </w:rPr>
        <w:t xml:space="preserve">Plascon Evans Paints Ltd </w:t>
      </w:r>
      <w:r w:rsidRPr="00B1784B">
        <w:rPr>
          <w:rFonts w:ascii="Times New Roman" w:hAnsi="Times New Roman" w:cs="Times New Roman"/>
          <w:sz w:val="24"/>
          <w:szCs w:val="24"/>
        </w:rPr>
        <w:t xml:space="preserve">v </w:t>
      </w:r>
      <w:r w:rsidRPr="00B1784B">
        <w:rPr>
          <w:rFonts w:ascii="Times New Roman" w:hAnsi="Times New Roman" w:cs="Times New Roman"/>
          <w:i/>
          <w:iCs/>
          <w:sz w:val="24"/>
          <w:szCs w:val="24"/>
        </w:rPr>
        <w:t xml:space="preserve">Van Riebeeck Paints (Pty) Ltd </w:t>
      </w:r>
      <w:r w:rsidRPr="00B1784B">
        <w:rPr>
          <w:rFonts w:ascii="Times New Roman" w:hAnsi="Times New Roman" w:cs="Times New Roman"/>
          <w:sz w:val="24"/>
          <w:szCs w:val="24"/>
        </w:rPr>
        <w:t xml:space="preserve">[1984] ZASCA 51; 1984 (3) SA 623 (A) at 634E - 635C; </w:t>
      </w:r>
      <w:r w:rsidRPr="00B1784B">
        <w:rPr>
          <w:rFonts w:ascii="Times New Roman" w:hAnsi="Times New Roman" w:cs="Times New Roman"/>
          <w:i/>
          <w:iCs/>
          <w:sz w:val="24"/>
          <w:szCs w:val="24"/>
        </w:rPr>
        <w:t xml:space="preserve">National Director of Public Prosecutions </w:t>
      </w:r>
      <w:r w:rsidRPr="00B1784B">
        <w:rPr>
          <w:rFonts w:ascii="Times New Roman" w:hAnsi="Times New Roman" w:cs="Times New Roman"/>
          <w:sz w:val="24"/>
          <w:szCs w:val="24"/>
        </w:rPr>
        <w:t xml:space="preserve">v </w:t>
      </w:r>
      <w:r w:rsidRPr="00B1784B">
        <w:rPr>
          <w:rFonts w:ascii="Times New Roman" w:hAnsi="Times New Roman" w:cs="Times New Roman"/>
          <w:i/>
          <w:iCs/>
          <w:sz w:val="24"/>
          <w:szCs w:val="24"/>
        </w:rPr>
        <w:t xml:space="preserve">Zuma </w:t>
      </w:r>
      <w:r w:rsidRPr="00B1784B">
        <w:rPr>
          <w:rFonts w:ascii="Times New Roman" w:hAnsi="Times New Roman" w:cs="Times New Roman"/>
          <w:sz w:val="24"/>
          <w:szCs w:val="24"/>
        </w:rPr>
        <w:t>2009 (2) SA 279 SCA [26]. This is what a litigant approaching the court for a final relief by way of motion must contend with in the event the opposing litigant comes up with a different version of the facts.</w:t>
      </w:r>
    </w:p>
    <w:p w14:paraId="4CB0F7F4" w14:textId="6DEC2909" w:rsidR="00B1784B" w:rsidRPr="00B1784B" w:rsidRDefault="00855B80"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 xml:space="preserve">In </w:t>
      </w:r>
      <w:r w:rsidRPr="00B1784B">
        <w:rPr>
          <w:rFonts w:ascii="Times New Roman" w:hAnsi="Times New Roman" w:cs="Times New Roman"/>
          <w:i/>
          <w:iCs/>
          <w:sz w:val="24"/>
          <w:szCs w:val="24"/>
        </w:rPr>
        <w:t>casu,</w:t>
      </w:r>
      <w:r w:rsidRPr="00B1784B">
        <w:rPr>
          <w:rFonts w:ascii="Times New Roman" w:hAnsi="Times New Roman" w:cs="Times New Roman"/>
          <w:sz w:val="24"/>
          <w:szCs w:val="24"/>
        </w:rPr>
        <w:t xml:space="preserve"> Council’s defence is that no land was allocated to the Scheme nor its members. </w:t>
      </w:r>
      <w:r w:rsidR="00C00502" w:rsidRPr="00B1784B">
        <w:rPr>
          <w:rFonts w:ascii="Times New Roman" w:hAnsi="Times New Roman" w:cs="Times New Roman"/>
          <w:sz w:val="24"/>
          <w:szCs w:val="24"/>
        </w:rPr>
        <w:t xml:space="preserve">Can it be said that Council’s </w:t>
      </w:r>
      <w:r w:rsidR="00C52501" w:rsidRPr="00B1784B">
        <w:rPr>
          <w:rFonts w:ascii="Times New Roman" w:hAnsi="Times New Roman" w:cs="Times New Roman"/>
          <w:sz w:val="24"/>
          <w:szCs w:val="24"/>
        </w:rPr>
        <w:t>allegations do</w:t>
      </w:r>
      <w:r w:rsidR="00C00502" w:rsidRPr="00B1784B">
        <w:rPr>
          <w:rFonts w:ascii="Times New Roman" w:hAnsi="Times New Roman" w:cs="Times New Roman"/>
          <w:sz w:val="24"/>
          <w:szCs w:val="24"/>
        </w:rPr>
        <w:t xml:space="preserve"> not such raise a real, genuine or </w:t>
      </w:r>
      <w:r w:rsidR="00C00502" w:rsidRPr="00B1784B">
        <w:rPr>
          <w:rFonts w:ascii="Times New Roman" w:hAnsi="Times New Roman" w:cs="Times New Roman"/>
          <w:i/>
          <w:iCs/>
          <w:sz w:val="24"/>
          <w:szCs w:val="24"/>
        </w:rPr>
        <w:t xml:space="preserve">bona fide </w:t>
      </w:r>
      <w:r w:rsidR="00C00502" w:rsidRPr="00B1784B">
        <w:rPr>
          <w:rFonts w:ascii="Times New Roman" w:hAnsi="Times New Roman" w:cs="Times New Roman"/>
          <w:sz w:val="24"/>
          <w:szCs w:val="24"/>
        </w:rPr>
        <w:t xml:space="preserve">dispute of fact or are so far-fetched or clearly untenable that the court is justified in rejecting them merely on the papers? I do not think so. </w:t>
      </w:r>
      <w:r w:rsidR="00D819CD" w:rsidRPr="00B1784B">
        <w:rPr>
          <w:rFonts w:ascii="Times New Roman" w:hAnsi="Times New Roman" w:cs="Times New Roman"/>
          <w:sz w:val="24"/>
          <w:szCs w:val="24"/>
        </w:rPr>
        <w:t xml:space="preserve">The applicants have not shown that they are on the Council housing waiting list. They have not shown that the Scheme answering to the name “Gillingham Pay Scheme” exist. In addition, </w:t>
      </w:r>
      <w:r w:rsidR="00D819CD" w:rsidRPr="00B1784B">
        <w:rPr>
          <w:rFonts w:ascii="Times New Roman" w:hAnsi="Times New Roman" w:cs="Times New Roman"/>
          <w:sz w:val="24"/>
          <w:szCs w:val="24"/>
        </w:rPr>
        <w:lastRenderedPageBreak/>
        <w:t xml:space="preserve">Council says it does not allocate land to pay schemes which have no legal capacity, and that block allocations are only made to registered cooperatives with members verifiable with the Registrar of Cooperatives. This assertion cannot be controverted.  </w:t>
      </w:r>
    </w:p>
    <w:p w14:paraId="4B7B3CDA" w14:textId="4D76F4FE" w:rsidR="00B1784B" w:rsidRPr="00B1784B" w:rsidRDefault="00486221"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Briefly</w:t>
      </w:r>
      <w:r w:rsidRPr="00B1784B">
        <w:rPr>
          <w:rFonts w:ascii="Times New Roman" w:hAnsi="Times New Roman" w:cs="Times New Roman"/>
          <w:sz w:val="24"/>
          <w:szCs w:val="24"/>
          <w:lang w:val="en-US"/>
        </w:rPr>
        <w:t xml:space="preserve"> the law, the applicants seek a </w:t>
      </w:r>
      <w:r w:rsidRPr="00B1784B">
        <w:rPr>
          <w:rFonts w:ascii="Times New Roman" w:hAnsi="Times New Roman" w:cs="Times New Roman"/>
          <w:i/>
          <w:iCs/>
          <w:sz w:val="24"/>
          <w:szCs w:val="24"/>
          <w:lang w:val="en-US"/>
        </w:rPr>
        <w:t>declaratur</w:t>
      </w:r>
      <w:r w:rsidR="00B1784B">
        <w:rPr>
          <w:rFonts w:ascii="Times New Roman" w:hAnsi="Times New Roman" w:cs="Times New Roman"/>
          <w:sz w:val="24"/>
          <w:szCs w:val="24"/>
          <w:lang w:val="en-US"/>
        </w:rPr>
        <w:t xml:space="preserve"> and an interdict. </w:t>
      </w:r>
      <w:r w:rsidRPr="00B1784B">
        <w:rPr>
          <w:rFonts w:ascii="Times New Roman" w:hAnsi="Times New Roman" w:cs="Times New Roman"/>
          <w:sz w:val="24"/>
          <w:szCs w:val="24"/>
        </w:rPr>
        <w:t xml:space="preserve">Regarding a </w:t>
      </w:r>
      <w:r w:rsidRPr="00B1784B">
        <w:rPr>
          <w:rFonts w:ascii="Times New Roman" w:hAnsi="Times New Roman" w:cs="Times New Roman"/>
          <w:i/>
          <w:iCs/>
          <w:sz w:val="24"/>
          <w:szCs w:val="24"/>
        </w:rPr>
        <w:t xml:space="preserve">declaratur, </w:t>
      </w:r>
      <w:r w:rsidRPr="00B1784B">
        <w:rPr>
          <w:rFonts w:ascii="Times New Roman" w:hAnsi="Times New Roman" w:cs="Times New Roman"/>
          <w:sz w:val="24"/>
          <w:szCs w:val="24"/>
        </w:rPr>
        <w:t xml:space="preserve">s 14 of the High Court Act provides that the High Court may, in its discretion at the instance of any interested person, inquire into and determine any existing, future and contingent or obligations notwithstanding that such person cannot claim relief upon such determination. Section 14 is the empowering provision, which gives this court jurisdiction to hear an application for a declaratory order. A declaratory order is an order by which a dispute over the existence of some legal right or obligation is resolved. Declaratory orders may be accompanied by other forms of relief, such as interdicts, but they may also stand on their own. See </w:t>
      </w:r>
      <w:r w:rsidRPr="00B1784B">
        <w:rPr>
          <w:rFonts w:ascii="Times New Roman" w:hAnsi="Times New Roman" w:cs="Times New Roman"/>
          <w:i/>
          <w:iCs/>
          <w:sz w:val="24"/>
          <w:szCs w:val="24"/>
        </w:rPr>
        <w:t xml:space="preserve">Rail Commuter’s Action Group v Transnet Ltd t/a Metrorail </w:t>
      </w:r>
      <w:r w:rsidRPr="00B1784B">
        <w:rPr>
          <w:rFonts w:ascii="Times New Roman" w:hAnsi="Times New Roman" w:cs="Times New Roman"/>
          <w:sz w:val="24"/>
          <w:szCs w:val="24"/>
        </w:rPr>
        <w:t xml:space="preserve">2005 (2) SA 359 (CC) para 17; </w:t>
      </w:r>
      <w:r w:rsidRPr="00B1784B">
        <w:rPr>
          <w:rFonts w:ascii="Times New Roman" w:hAnsi="Times New Roman" w:cs="Times New Roman"/>
          <w:i/>
          <w:iCs/>
          <w:sz w:val="24"/>
          <w:szCs w:val="24"/>
        </w:rPr>
        <w:t xml:space="preserve">Zvomatsayi &amp; Ors v Chitekwe No &amp; Anor </w:t>
      </w:r>
      <w:r w:rsidRPr="00B1784B">
        <w:rPr>
          <w:rFonts w:ascii="Times New Roman" w:hAnsi="Times New Roman" w:cs="Times New Roman"/>
          <w:sz w:val="24"/>
          <w:szCs w:val="24"/>
        </w:rPr>
        <w:t xml:space="preserve">2019 (3) ZLR 990 (H). </w:t>
      </w:r>
      <w:r w:rsidRPr="00B1784B">
        <w:rPr>
          <w:rFonts w:ascii="Times New Roman" w:hAnsi="Times New Roman" w:cs="Times New Roman"/>
          <w:sz w:val="24"/>
          <w:szCs w:val="24"/>
          <w:lang w:val="en-US"/>
        </w:rPr>
        <w:t>Turning to an interdict, a</w:t>
      </w:r>
      <w:r w:rsidR="00B1784B" w:rsidRPr="00B1784B">
        <w:rPr>
          <w:rFonts w:ascii="Times New Roman" w:hAnsi="Times New Roman" w:cs="Times New Roman"/>
          <w:sz w:val="24"/>
          <w:szCs w:val="24"/>
        </w:rPr>
        <w:t>t</w:t>
      </w:r>
      <w:r w:rsidRPr="00B1784B">
        <w:rPr>
          <w:rFonts w:ascii="Times New Roman" w:hAnsi="Times New Roman" w:cs="Times New Roman"/>
          <w:sz w:val="24"/>
          <w:szCs w:val="24"/>
        </w:rPr>
        <w:t xml:space="preserve"> this stage I record the trite statement that the requirements for the grant of a final relief are, </w:t>
      </w:r>
      <w:r w:rsidRPr="00B1784B">
        <w:rPr>
          <w:rFonts w:ascii="Times New Roman" w:hAnsi="Times New Roman" w:cs="Times New Roman"/>
          <w:i/>
          <w:iCs/>
          <w:sz w:val="24"/>
          <w:szCs w:val="24"/>
        </w:rPr>
        <w:t>viz</w:t>
      </w:r>
      <w:r w:rsidRPr="00B1784B">
        <w:rPr>
          <w:rFonts w:ascii="Times New Roman" w:hAnsi="Times New Roman" w:cs="Times New Roman"/>
          <w:sz w:val="24"/>
          <w:szCs w:val="24"/>
        </w:rPr>
        <w:t>:</w:t>
      </w:r>
      <w:r w:rsidRPr="00B1784B">
        <w:rPr>
          <w:rFonts w:ascii="Times New Roman" w:hAnsi="Times New Roman" w:cs="Times New Roman"/>
          <w:sz w:val="24"/>
          <w:szCs w:val="24"/>
          <w:lang w:val="en-US"/>
        </w:rPr>
        <w:t xml:space="preserve"> a</w:t>
      </w:r>
      <w:r w:rsidRPr="00B1784B">
        <w:rPr>
          <w:rFonts w:ascii="Times New Roman" w:hAnsi="Times New Roman" w:cs="Times New Roman"/>
          <w:snapToGrid w:val="0"/>
          <w:sz w:val="24"/>
          <w:szCs w:val="24"/>
        </w:rPr>
        <w:t xml:space="preserve"> clear right; an injury committed or reasonably apprehended; and an absence of similar or adequate protection by any other ordinary remedy.  </w:t>
      </w:r>
    </w:p>
    <w:p w14:paraId="6A654850" w14:textId="11DE575C" w:rsidR="00B1784B" w:rsidRPr="00B1784B" w:rsidRDefault="00C00502"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 xml:space="preserve">According to council </w:t>
      </w:r>
      <w:r w:rsidR="00855B80" w:rsidRPr="00B1784B">
        <w:rPr>
          <w:rFonts w:ascii="Times New Roman" w:hAnsi="Times New Roman" w:cs="Times New Roman"/>
          <w:sz w:val="24"/>
          <w:szCs w:val="24"/>
        </w:rPr>
        <w:t xml:space="preserve">the documents sought to be relied upon by the applicants are fraudulent and fake.  </w:t>
      </w:r>
      <w:r w:rsidR="004740A6" w:rsidRPr="00B1784B">
        <w:rPr>
          <w:rFonts w:ascii="Times New Roman" w:hAnsi="Times New Roman" w:cs="Times New Roman"/>
          <w:sz w:val="24"/>
          <w:szCs w:val="24"/>
        </w:rPr>
        <w:t xml:space="preserve">There are no records to show that Council   made an application to subdivide the land for residential purposes on behalf of the applicants leading to approval of </w:t>
      </w:r>
      <w:r w:rsidR="00B1784B">
        <w:rPr>
          <w:rFonts w:ascii="Times New Roman" w:hAnsi="Times New Roman" w:cs="Times New Roman"/>
          <w:sz w:val="24"/>
          <w:szCs w:val="24"/>
        </w:rPr>
        <w:t xml:space="preserve">the survey diagram. </w:t>
      </w:r>
      <w:r w:rsidR="004740A6" w:rsidRPr="00B1784B">
        <w:rPr>
          <w:rFonts w:ascii="Times New Roman" w:hAnsi="Times New Roman" w:cs="Times New Roman"/>
          <w:sz w:val="24"/>
          <w:szCs w:val="24"/>
        </w:rPr>
        <w:t>There is no council resolution confirming such allocation or offer, which is a prerequisite before Council allocates land.</w:t>
      </w:r>
      <w:r w:rsidR="00B1784B">
        <w:rPr>
          <w:rFonts w:ascii="Times New Roman" w:hAnsi="Times New Roman" w:cs="Times New Roman"/>
          <w:sz w:val="24"/>
          <w:szCs w:val="24"/>
        </w:rPr>
        <w:t xml:space="preserve"> </w:t>
      </w:r>
      <w:r w:rsidR="004740A6" w:rsidRPr="00B1784B">
        <w:rPr>
          <w:rFonts w:ascii="Times New Roman" w:hAnsi="Times New Roman" w:cs="Times New Roman"/>
          <w:sz w:val="24"/>
          <w:szCs w:val="24"/>
        </w:rPr>
        <w:t xml:space="preserve">Council did not publish the said allocation as mandated by law in terms of section 152 of the Urban Councils Act. Council has disowned </w:t>
      </w:r>
      <w:r w:rsidR="00D819CD" w:rsidRPr="00B1784B">
        <w:rPr>
          <w:rFonts w:ascii="Times New Roman" w:hAnsi="Times New Roman" w:cs="Times New Roman"/>
          <w:sz w:val="24"/>
          <w:szCs w:val="24"/>
        </w:rPr>
        <w:t>the letters filed in support of this application. It was contended that they</w:t>
      </w:r>
      <w:r w:rsidR="00B1784B">
        <w:rPr>
          <w:rFonts w:ascii="Times New Roman" w:hAnsi="Times New Roman" w:cs="Times New Roman"/>
          <w:sz w:val="24"/>
          <w:szCs w:val="24"/>
        </w:rPr>
        <w:t xml:space="preserve"> are all fraudulent and fake. </w:t>
      </w:r>
      <w:r w:rsidR="00D819CD" w:rsidRPr="00B1784B">
        <w:rPr>
          <w:rFonts w:ascii="Times New Roman" w:hAnsi="Times New Roman" w:cs="Times New Roman"/>
          <w:sz w:val="24"/>
          <w:szCs w:val="24"/>
        </w:rPr>
        <w:t>In essence, the applicants are seeking this court to find that the questioned documents are authentic. On the facts of this case, this court cannot on the papers</w:t>
      </w:r>
      <w:r w:rsidR="00B1784B">
        <w:rPr>
          <w:rFonts w:ascii="Times New Roman" w:hAnsi="Times New Roman" w:cs="Times New Roman"/>
          <w:sz w:val="24"/>
          <w:szCs w:val="24"/>
        </w:rPr>
        <w:t xml:space="preserve"> make such a finding. </w:t>
      </w:r>
      <w:r w:rsidR="00CF6288" w:rsidRPr="00B1784B">
        <w:rPr>
          <w:rFonts w:ascii="Times New Roman" w:hAnsi="Times New Roman" w:cs="Times New Roman"/>
          <w:sz w:val="24"/>
          <w:szCs w:val="24"/>
        </w:rPr>
        <w:t xml:space="preserve">On the facts, the applicants’ case </w:t>
      </w:r>
      <w:r w:rsidR="006F1CAC">
        <w:rPr>
          <w:rFonts w:ascii="Times New Roman" w:hAnsi="Times New Roman" w:cs="Times New Roman"/>
          <w:sz w:val="24"/>
          <w:szCs w:val="24"/>
        </w:rPr>
        <w:t>cannot succeed</w:t>
      </w:r>
      <w:r w:rsidR="00CF6288" w:rsidRPr="00B1784B">
        <w:rPr>
          <w:rFonts w:ascii="Times New Roman" w:hAnsi="Times New Roman" w:cs="Times New Roman"/>
          <w:sz w:val="24"/>
          <w:szCs w:val="24"/>
        </w:rPr>
        <w:t xml:space="preserve">.  </w:t>
      </w:r>
      <w:r w:rsidR="007C0B4B" w:rsidRPr="00B1784B">
        <w:rPr>
          <w:rFonts w:ascii="Times New Roman" w:hAnsi="Times New Roman" w:cs="Times New Roman"/>
          <w:sz w:val="24"/>
          <w:szCs w:val="24"/>
        </w:rPr>
        <w:t xml:space="preserve">In the circumstances, the applicants have not placed facts before court on which this court can exercise its discretion to grant a declaratory order. </w:t>
      </w:r>
      <w:r w:rsidR="006D4D60" w:rsidRPr="00B1784B">
        <w:rPr>
          <w:rFonts w:ascii="Times New Roman" w:hAnsi="Times New Roman" w:cs="Times New Roman"/>
          <w:sz w:val="24"/>
          <w:szCs w:val="24"/>
        </w:rPr>
        <w:t xml:space="preserve">  </w:t>
      </w:r>
      <w:r w:rsidR="007C0B4B" w:rsidRPr="00B1784B">
        <w:rPr>
          <w:rFonts w:ascii="Times New Roman" w:hAnsi="Times New Roman" w:cs="Times New Roman"/>
          <w:sz w:val="24"/>
          <w:szCs w:val="24"/>
        </w:rPr>
        <w:t xml:space="preserve">In addition, the applicants have not proved a clear right to the order they are seeking.  </w:t>
      </w:r>
    </w:p>
    <w:p w14:paraId="02F09617" w14:textId="77777777" w:rsidR="00B1784B" w:rsidRPr="00B1784B" w:rsidRDefault="00E9341E" w:rsidP="00B1784B">
      <w:pPr>
        <w:pStyle w:val="ListParagraph"/>
        <w:numPr>
          <w:ilvl w:val="0"/>
          <w:numId w:val="3"/>
        </w:numPr>
        <w:spacing w:after="0"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The court cannot, on these papers reject the Council’s version</w:t>
      </w:r>
      <w:r w:rsidR="00067C9C" w:rsidRPr="00B1784B">
        <w:rPr>
          <w:rFonts w:ascii="Times New Roman" w:hAnsi="Times New Roman" w:cs="Times New Roman"/>
          <w:sz w:val="24"/>
          <w:szCs w:val="24"/>
        </w:rPr>
        <w:t>, because it</w:t>
      </w:r>
      <w:r w:rsidRPr="00B1784B">
        <w:rPr>
          <w:rFonts w:ascii="Times New Roman" w:hAnsi="Times New Roman" w:cs="Times New Roman"/>
          <w:sz w:val="24"/>
          <w:szCs w:val="24"/>
        </w:rPr>
        <w:t xml:space="preserve"> cannot be said to be so far-fetched or clearly untenable that the court is justified in rejecting it </w:t>
      </w:r>
      <w:r w:rsidRPr="00B1784B">
        <w:rPr>
          <w:rFonts w:ascii="Times New Roman" w:hAnsi="Times New Roman" w:cs="Times New Roman"/>
          <w:sz w:val="24"/>
          <w:szCs w:val="24"/>
        </w:rPr>
        <w:lastRenderedPageBreak/>
        <w:t>merely on the papers. An applicant in such a case cannot obtain a final relief from the court.</w:t>
      </w:r>
      <w:r w:rsidR="002F369E" w:rsidRPr="00B1784B">
        <w:rPr>
          <w:rFonts w:ascii="Times New Roman" w:hAnsi="Times New Roman" w:cs="Times New Roman"/>
          <w:sz w:val="24"/>
          <w:szCs w:val="24"/>
        </w:rPr>
        <w:t xml:space="preserve"> The applicants have not proved on a balance of probabilities, that they are entitled to the relief they seek. </w:t>
      </w:r>
      <w:r w:rsidRPr="00B1784B">
        <w:rPr>
          <w:rFonts w:ascii="Times New Roman" w:hAnsi="Times New Roman" w:cs="Times New Roman"/>
          <w:sz w:val="24"/>
          <w:szCs w:val="24"/>
        </w:rPr>
        <w:t xml:space="preserve"> It is for these reasons that this application must fail. </w:t>
      </w:r>
    </w:p>
    <w:p w14:paraId="6539884C" w14:textId="62BA906C" w:rsidR="00EB1B78" w:rsidRPr="00B1784B" w:rsidRDefault="00EB1B78" w:rsidP="00B1784B">
      <w:pPr>
        <w:pStyle w:val="ListParagraph"/>
        <w:numPr>
          <w:ilvl w:val="0"/>
          <w:numId w:val="3"/>
        </w:numPr>
        <w:spacing w:line="360" w:lineRule="auto"/>
        <w:jc w:val="both"/>
        <w:rPr>
          <w:rFonts w:ascii="Times New Roman" w:hAnsi="Times New Roman" w:cs="Times New Roman"/>
          <w:sz w:val="24"/>
          <w:szCs w:val="24"/>
          <w:lang w:val="en-US"/>
        </w:rPr>
      </w:pPr>
      <w:r w:rsidRPr="00B1784B">
        <w:rPr>
          <w:rFonts w:ascii="Times New Roman" w:hAnsi="Times New Roman" w:cs="Times New Roman"/>
          <w:sz w:val="24"/>
          <w:szCs w:val="24"/>
        </w:rPr>
        <w:t>The applicants have failed to obtain the relief they sought from this court. There are no special reasons warranting a departure from the general rule that costs should follow the result. The respondent is entitled to its costs. The first respondent sought costs on a legal practitioner and client scale. It contends that:</w:t>
      </w:r>
    </w:p>
    <w:p w14:paraId="794B8A67" w14:textId="7514A225" w:rsidR="00EB1B78" w:rsidRPr="00B1784B" w:rsidRDefault="00EB1B78" w:rsidP="00C063A6">
      <w:pPr>
        <w:spacing w:line="240" w:lineRule="auto"/>
        <w:ind w:left="1440"/>
        <w:jc w:val="both"/>
        <w:rPr>
          <w:rFonts w:ascii="Times New Roman" w:hAnsi="Times New Roman" w:cs="Times New Roman"/>
          <w:szCs w:val="24"/>
        </w:rPr>
      </w:pPr>
      <w:r w:rsidRPr="00B1784B">
        <w:rPr>
          <w:rFonts w:ascii="Times New Roman" w:hAnsi="Times New Roman" w:cs="Times New Roman"/>
          <w:szCs w:val="24"/>
        </w:rPr>
        <w:t>“Given the clear background in this matter, the applicants have instituted the present proceedings aware that the pay scheme they seek to rely on has fake documents as clear from the background detailed above. The 1</w:t>
      </w:r>
      <w:r w:rsidRPr="00B1784B">
        <w:rPr>
          <w:rFonts w:ascii="Times New Roman" w:hAnsi="Times New Roman" w:cs="Times New Roman"/>
          <w:szCs w:val="24"/>
          <w:vertAlign w:val="superscript"/>
        </w:rPr>
        <w:t>st</w:t>
      </w:r>
      <w:r w:rsidRPr="00B1784B">
        <w:rPr>
          <w:rFonts w:ascii="Times New Roman" w:hAnsi="Times New Roman" w:cs="Times New Roman"/>
          <w:szCs w:val="24"/>
        </w:rPr>
        <w:t xml:space="preserve"> respondent which relies on public funding is being forced to defend such a frivolous claim and other consequential litigation as already shown above. The application is therefore an abuse of court process, and the applicants ought to be punished with an award of costs on a higher scale because of such conduct.”</w:t>
      </w:r>
    </w:p>
    <w:p w14:paraId="2527EC45" w14:textId="1B334CEE" w:rsidR="00B204B8" w:rsidRPr="00B1784B" w:rsidRDefault="00EB1B78" w:rsidP="00B1784B">
      <w:pPr>
        <w:pStyle w:val="ListParagraph"/>
        <w:numPr>
          <w:ilvl w:val="0"/>
          <w:numId w:val="3"/>
        </w:numPr>
        <w:spacing w:after="0" w:line="360" w:lineRule="auto"/>
        <w:jc w:val="both"/>
        <w:rPr>
          <w:rFonts w:ascii="Times New Roman" w:hAnsi="Times New Roman" w:cs="Times New Roman"/>
          <w:sz w:val="24"/>
          <w:szCs w:val="24"/>
        </w:rPr>
      </w:pPr>
      <w:r w:rsidRPr="00B1784B">
        <w:rPr>
          <w:rFonts w:ascii="Times New Roman" w:hAnsi="Times New Roman" w:cs="Times New Roman"/>
          <w:sz w:val="24"/>
          <w:szCs w:val="24"/>
        </w:rPr>
        <w:t xml:space="preserve">I agree with the above synopsis.  The applicants ought to have known that they were relying on documents whose authenticity was questioned. </w:t>
      </w:r>
      <w:r w:rsidR="00252F9A" w:rsidRPr="00B1784B">
        <w:rPr>
          <w:rFonts w:ascii="Times New Roman" w:hAnsi="Times New Roman" w:cs="Times New Roman"/>
          <w:sz w:val="24"/>
          <w:szCs w:val="24"/>
        </w:rPr>
        <w:t>Notwithstanding this awareness, the applicants proceeded by motion proceedings. How on earth they expected the court to make a f</w:t>
      </w:r>
      <w:r w:rsidR="002C2CFF">
        <w:rPr>
          <w:rFonts w:ascii="Times New Roman" w:hAnsi="Times New Roman" w:cs="Times New Roman"/>
          <w:sz w:val="24"/>
          <w:szCs w:val="24"/>
        </w:rPr>
        <w:t>inding</w:t>
      </w:r>
      <w:r w:rsidR="00252F9A" w:rsidRPr="00B1784B">
        <w:rPr>
          <w:rFonts w:ascii="Times New Roman" w:hAnsi="Times New Roman" w:cs="Times New Roman"/>
          <w:sz w:val="24"/>
          <w:szCs w:val="24"/>
        </w:rPr>
        <w:t xml:space="preserve"> that such docume</w:t>
      </w:r>
      <w:r w:rsidR="00B1784B">
        <w:rPr>
          <w:rFonts w:ascii="Times New Roman" w:hAnsi="Times New Roman" w:cs="Times New Roman"/>
          <w:sz w:val="24"/>
          <w:szCs w:val="24"/>
        </w:rPr>
        <w:t xml:space="preserve">nts are authentic defeats me. </w:t>
      </w:r>
      <w:r w:rsidR="00E01EEB" w:rsidRPr="00B1784B">
        <w:rPr>
          <w:rFonts w:ascii="Times New Roman" w:hAnsi="Times New Roman" w:cs="Times New Roman"/>
          <w:sz w:val="24"/>
          <w:szCs w:val="24"/>
        </w:rPr>
        <w:t xml:space="preserve">The letter dated 21 November 2023 </w:t>
      </w:r>
      <w:r w:rsidR="00252F9A" w:rsidRPr="00B1784B">
        <w:rPr>
          <w:rFonts w:ascii="Times New Roman" w:hAnsi="Times New Roman" w:cs="Times New Roman"/>
          <w:sz w:val="24"/>
          <w:szCs w:val="24"/>
        </w:rPr>
        <w:t>from the</w:t>
      </w:r>
      <w:r w:rsidR="00B1784B">
        <w:rPr>
          <w:rFonts w:ascii="Times New Roman" w:hAnsi="Times New Roman" w:cs="Times New Roman"/>
          <w:sz w:val="24"/>
          <w:szCs w:val="24"/>
        </w:rPr>
        <w:t xml:space="preserve"> Contractor bears it all. </w:t>
      </w:r>
      <w:r w:rsidR="00252F9A" w:rsidRPr="00B1784B">
        <w:rPr>
          <w:rFonts w:ascii="Times New Roman" w:hAnsi="Times New Roman" w:cs="Times New Roman"/>
          <w:sz w:val="24"/>
          <w:szCs w:val="24"/>
        </w:rPr>
        <w:t>Even their own developer, the contractor knows that the documents are fraudulent and fake</w:t>
      </w:r>
      <w:r w:rsidR="007C0B4B" w:rsidRPr="00B1784B">
        <w:rPr>
          <w:rFonts w:ascii="Times New Roman" w:hAnsi="Times New Roman" w:cs="Times New Roman"/>
          <w:sz w:val="24"/>
          <w:szCs w:val="24"/>
        </w:rPr>
        <w:t>.</w:t>
      </w:r>
      <w:r w:rsidR="00252F9A" w:rsidRPr="00B1784B">
        <w:rPr>
          <w:rFonts w:ascii="Times New Roman" w:hAnsi="Times New Roman" w:cs="Times New Roman"/>
          <w:sz w:val="24"/>
          <w:szCs w:val="24"/>
        </w:rPr>
        <w:t xml:space="preserve"> </w:t>
      </w:r>
      <w:r w:rsidR="008D42C8" w:rsidRPr="00B1784B">
        <w:rPr>
          <w:rFonts w:ascii="Times New Roman" w:hAnsi="Times New Roman" w:cs="Times New Roman"/>
          <w:sz w:val="24"/>
          <w:szCs w:val="24"/>
        </w:rPr>
        <w:t xml:space="preserve">How the applicants hoped to overcome these clearly insurmountable huddles in motion proceedings is difficult </w:t>
      </w:r>
      <w:r w:rsidR="007C0B4B" w:rsidRPr="00B1784B">
        <w:rPr>
          <w:rFonts w:ascii="Times New Roman" w:hAnsi="Times New Roman" w:cs="Times New Roman"/>
          <w:sz w:val="24"/>
          <w:szCs w:val="24"/>
        </w:rPr>
        <w:t xml:space="preserve">to </w:t>
      </w:r>
      <w:r w:rsidR="008D42C8" w:rsidRPr="00B1784B">
        <w:rPr>
          <w:rFonts w:ascii="Times New Roman" w:hAnsi="Times New Roman" w:cs="Times New Roman"/>
          <w:sz w:val="24"/>
          <w:szCs w:val="24"/>
        </w:rPr>
        <w:t>comprehend. This is just one of the thoughtless applications crowding the corridors of this court for no good measure. It</w:t>
      </w:r>
      <w:r w:rsidR="00252F9A" w:rsidRPr="00B1784B">
        <w:rPr>
          <w:rFonts w:ascii="Times New Roman" w:hAnsi="Times New Roman" w:cs="Times New Roman"/>
          <w:sz w:val="24"/>
          <w:szCs w:val="24"/>
        </w:rPr>
        <w:t xml:space="preserve"> is frivolous and vexatious and amounts to an unacceptable abuse of the process of this court. </w:t>
      </w:r>
      <w:r w:rsidRPr="00B1784B">
        <w:rPr>
          <w:rFonts w:ascii="Times New Roman" w:hAnsi="Times New Roman" w:cs="Times New Roman"/>
          <w:sz w:val="24"/>
          <w:szCs w:val="24"/>
        </w:rPr>
        <w:t xml:space="preserve">See </w:t>
      </w:r>
      <w:r w:rsidRPr="00B1784B">
        <w:rPr>
          <w:rFonts w:ascii="Times New Roman" w:hAnsi="Times New Roman" w:cs="Times New Roman"/>
          <w:i/>
          <w:iCs/>
          <w:sz w:val="24"/>
          <w:szCs w:val="24"/>
        </w:rPr>
        <w:t xml:space="preserve">Railings Enterprises (Pvt) v Luwo &amp; Ors </w:t>
      </w:r>
      <w:r w:rsidRPr="00B1784B">
        <w:rPr>
          <w:rFonts w:ascii="Times New Roman" w:hAnsi="Times New Roman" w:cs="Times New Roman"/>
          <w:sz w:val="24"/>
          <w:szCs w:val="24"/>
        </w:rPr>
        <w:t xml:space="preserve">2020 (2) ZLR 51 (H); </w:t>
      </w:r>
      <w:r w:rsidRPr="00B1784B">
        <w:rPr>
          <w:rFonts w:ascii="Times New Roman" w:hAnsi="Times New Roman" w:cs="Times New Roman"/>
          <w:i/>
          <w:iCs/>
          <w:sz w:val="24"/>
          <w:szCs w:val="24"/>
        </w:rPr>
        <w:t xml:space="preserve">Kangai v Netone Cellular (Pvt) Ltd </w:t>
      </w:r>
      <w:r w:rsidRPr="00B1784B">
        <w:rPr>
          <w:rFonts w:ascii="Times New Roman" w:hAnsi="Times New Roman" w:cs="Times New Roman"/>
          <w:sz w:val="24"/>
          <w:szCs w:val="24"/>
        </w:rPr>
        <w:t xml:space="preserve">2020 (1) ZLR 660 (H). </w:t>
      </w:r>
      <w:r w:rsidR="00EB5B72" w:rsidRPr="00B1784B">
        <w:rPr>
          <w:rFonts w:ascii="Times New Roman" w:hAnsi="Times New Roman" w:cs="Times New Roman"/>
          <w:sz w:val="24"/>
          <w:szCs w:val="24"/>
        </w:rPr>
        <w:t xml:space="preserve">It is for these reasons that costs on a legal practitioner and client scale are warranted. </w:t>
      </w:r>
    </w:p>
    <w:p w14:paraId="32A12202" w14:textId="65CF80F0" w:rsidR="004740A6" w:rsidRDefault="00EB5B72" w:rsidP="00644B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application is dismissed with costs on a legal practitioner and client scale.  </w:t>
      </w:r>
    </w:p>
    <w:p w14:paraId="104B87A5" w14:textId="08C4D2DB" w:rsidR="00075188" w:rsidRDefault="00B1784B" w:rsidP="00B1784B">
      <w:pPr>
        <w:tabs>
          <w:tab w:val="left" w:pos="22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FC1618C" w14:textId="77777777" w:rsidR="00B1784B" w:rsidRDefault="00B1784B" w:rsidP="00B1784B">
      <w:pPr>
        <w:spacing w:after="0" w:line="240" w:lineRule="auto"/>
        <w:jc w:val="both"/>
        <w:rPr>
          <w:rFonts w:ascii="Times New Roman" w:hAnsi="Times New Roman" w:cs="Times New Roman"/>
          <w:sz w:val="24"/>
          <w:szCs w:val="24"/>
        </w:rPr>
      </w:pPr>
    </w:p>
    <w:p w14:paraId="00E4246E" w14:textId="77777777" w:rsidR="00B1784B" w:rsidRDefault="00B1784B" w:rsidP="00B1784B">
      <w:pPr>
        <w:spacing w:after="0" w:line="240" w:lineRule="auto"/>
        <w:jc w:val="both"/>
        <w:rPr>
          <w:rFonts w:ascii="Times New Roman" w:hAnsi="Times New Roman" w:cs="Times New Roman"/>
          <w:sz w:val="24"/>
          <w:szCs w:val="24"/>
        </w:rPr>
      </w:pPr>
    </w:p>
    <w:p w14:paraId="4B5635B9" w14:textId="56DF4E08" w:rsidR="00B1784B" w:rsidRDefault="00B1784B" w:rsidP="00B1784B">
      <w:pPr>
        <w:spacing w:after="0" w:line="240" w:lineRule="auto"/>
        <w:jc w:val="both"/>
        <w:rPr>
          <w:rFonts w:ascii="Times New Roman" w:hAnsi="Times New Roman" w:cs="Times New Roman"/>
          <w:sz w:val="24"/>
          <w:szCs w:val="24"/>
        </w:rPr>
      </w:pPr>
      <w:r w:rsidRPr="00B1784B">
        <w:rPr>
          <w:rFonts w:ascii="Times New Roman" w:hAnsi="Times New Roman" w:cs="Times New Roman"/>
          <w:b/>
          <w:smallCaps/>
          <w:sz w:val="24"/>
          <w:szCs w:val="24"/>
        </w:rPr>
        <w:t>Dube Banda J</w:t>
      </w:r>
      <w:r>
        <w:rPr>
          <w:rFonts w:ascii="Times New Roman" w:hAnsi="Times New Roman" w:cs="Times New Roman"/>
          <w:sz w:val="24"/>
          <w:szCs w:val="24"/>
        </w:rPr>
        <w:t>: ………………………………………………..</w:t>
      </w:r>
    </w:p>
    <w:p w14:paraId="70B124D7" w14:textId="77777777" w:rsidR="00B1784B" w:rsidRDefault="00B1784B" w:rsidP="00B1784B">
      <w:pPr>
        <w:spacing w:after="0" w:line="240" w:lineRule="auto"/>
        <w:jc w:val="both"/>
        <w:rPr>
          <w:rFonts w:ascii="Times New Roman" w:hAnsi="Times New Roman" w:cs="Times New Roman"/>
          <w:sz w:val="24"/>
          <w:szCs w:val="24"/>
        </w:rPr>
      </w:pPr>
    </w:p>
    <w:p w14:paraId="6E1CFC02" w14:textId="77777777" w:rsidR="00075188" w:rsidRDefault="00075188" w:rsidP="00B1784B">
      <w:pPr>
        <w:spacing w:after="0" w:line="240" w:lineRule="auto"/>
        <w:jc w:val="both"/>
        <w:rPr>
          <w:rFonts w:ascii="Times New Roman" w:hAnsi="Times New Roman" w:cs="Times New Roman"/>
          <w:sz w:val="24"/>
          <w:szCs w:val="24"/>
        </w:rPr>
      </w:pPr>
      <w:r w:rsidRPr="00075188">
        <w:rPr>
          <w:rFonts w:ascii="Times New Roman" w:hAnsi="Times New Roman" w:cs="Times New Roman"/>
          <w:i/>
          <w:iCs/>
          <w:sz w:val="24"/>
          <w:szCs w:val="24"/>
        </w:rPr>
        <w:t>Muzangaza Mandaza &amp; Tomana,</w:t>
      </w:r>
      <w:r>
        <w:rPr>
          <w:rFonts w:ascii="Times New Roman" w:hAnsi="Times New Roman" w:cs="Times New Roman"/>
          <w:sz w:val="24"/>
          <w:szCs w:val="24"/>
        </w:rPr>
        <w:t xml:space="preserve"> applicants’ legal practitioners </w:t>
      </w:r>
    </w:p>
    <w:p w14:paraId="4D514D3D" w14:textId="48C80D21" w:rsidR="00075188" w:rsidRDefault="00075188" w:rsidP="00B1784B">
      <w:pPr>
        <w:spacing w:after="0" w:line="240" w:lineRule="auto"/>
        <w:jc w:val="both"/>
        <w:rPr>
          <w:rFonts w:ascii="Times New Roman" w:hAnsi="Times New Roman" w:cs="Times New Roman"/>
          <w:sz w:val="24"/>
          <w:szCs w:val="24"/>
        </w:rPr>
      </w:pPr>
      <w:r w:rsidRPr="00075188">
        <w:rPr>
          <w:rFonts w:ascii="Times New Roman" w:hAnsi="Times New Roman" w:cs="Times New Roman"/>
          <w:i/>
          <w:iCs/>
          <w:sz w:val="24"/>
          <w:szCs w:val="24"/>
        </w:rPr>
        <w:t>Gambe Law Group,</w:t>
      </w:r>
      <w:r w:rsidR="00B1784B">
        <w:rPr>
          <w:rFonts w:ascii="Times New Roman" w:hAnsi="Times New Roman" w:cs="Times New Roman"/>
          <w:i/>
          <w:iCs/>
          <w:sz w:val="24"/>
          <w:szCs w:val="24"/>
        </w:rPr>
        <w:t xml:space="preserve"> </w:t>
      </w:r>
      <w:r>
        <w:rPr>
          <w:rFonts w:ascii="Times New Roman" w:hAnsi="Times New Roman" w:cs="Times New Roman"/>
          <w:sz w:val="24"/>
          <w:szCs w:val="24"/>
        </w:rPr>
        <w:t>1</w:t>
      </w:r>
      <w:r w:rsidRPr="0007518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0751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DF8F8" w14:textId="77777777" w:rsidR="000F6F43" w:rsidRDefault="000F6F43" w:rsidP="00B1784B">
      <w:pPr>
        <w:spacing w:after="0" w:line="240" w:lineRule="auto"/>
      </w:pPr>
      <w:r>
        <w:separator/>
      </w:r>
    </w:p>
  </w:endnote>
  <w:endnote w:type="continuationSeparator" w:id="0">
    <w:p w14:paraId="5EC1CCA7" w14:textId="77777777" w:rsidR="000F6F43" w:rsidRDefault="000F6F43" w:rsidP="00B1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BC2BE" w14:textId="77777777" w:rsidR="000F6F43" w:rsidRDefault="000F6F43" w:rsidP="00B1784B">
      <w:pPr>
        <w:spacing w:after="0" w:line="240" w:lineRule="auto"/>
      </w:pPr>
      <w:r>
        <w:separator/>
      </w:r>
    </w:p>
  </w:footnote>
  <w:footnote w:type="continuationSeparator" w:id="0">
    <w:p w14:paraId="1B16D2F1" w14:textId="77777777" w:rsidR="000F6F43" w:rsidRDefault="000F6F43" w:rsidP="00B17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89157"/>
      <w:docPartObj>
        <w:docPartGallery w:val="Page Numbers (Top of Page)"/>
        <w:docPartUnique/>
      </w:docPartObj>
    </w:sdtPr>
    <w:sdtEndPr>
      <w:rPr>
        <w:noProof/>
      </w:rPr>
    </w:sdtEndPr>
    <w:sdtContent>
      <w:p w14:paraId="54B9FF15" w14:textId="587D6519" w:rsidR="00255689" w:rsidRDefault="00B1784B">
        <w:pPr>
          <w:pStyle w:val="Header"/>
          <w:jc w:val="right"/>
          <w:rPr>
            <w:noProof/>
          </w:rPr>
        </w:pPr>
        <w:r>
          <w:fldChar w:fldCharType="begin"/>
        </w:r>
        <w:r>
          <w:instrText xml:space="preserve"> PAGE   \* MERGEFORMAT </w:instrText>
        </w:r>
        <w:r>
          <w:fldChar w:fldCharType="separate"/>
        </w:r>
        <w:r w:rsidR="004E3999">
          <w:rPr>
            <w:noProof/>
          </w:rPr>
          <w:t>1</w:t>
        </w:r>
        <w:r>
          <w:rPr>
            <w:noProof/>
          </w:rPr>
          <w:fldChar w:fldCharType="end"/>
        </w:r>
      </w:p>
      <w:p w14:paraId="3BA36265" w14:textId="76C2BBC9" w:rsidR="0045167E" w:rsidRDefault="0045167E">
        <w:pPr>
          <w:pStyle w:val="Header"/>
          <w:jc w:val="right"/>
          <w:rPr>
            <w:noProof/>
          </w:rPr>
        </w:pPr>
        <w:r>
          <w:rPr>
            <w:noProof/>
          </w:rPr>
          <w:t>HH 302 - 25</w:t>
        </w:r>
      </w:p>
      <w:p w14:paraId="13B3E638" w14:textId="0E5CA831" w:rsidR="00B1784B" w:rsidRDefault="00344206" w:rsidP="0045167E">
        <w:pPr>
          <w:pStyle w:val="Header"/>
          <w:spacing w:after="240"/>
          <w:jc w:val="right"/>
        </w:pPr>
        <w:r>
          <w:t>HCH 1538/24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901E4"/>
    <w:multiLevelType w:val="hybridMultilevel"/>
    <w:tmpl w:val="6BAC1040"/>
    <w:lvl w:ilvl="0" w:tplc="3009001B">
      <w:start w:val="1"/>
      <w:numFmt w:val="lowerRoman"/>
      <w:lvlText w:val="%1."/>
      <w:lvlJc w:val="right"/>
      <w:pPr>
        <w:ind w:left="1170" w:hanging="360"/>
      </w:p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 w15:restartNumberingAfterBreak="0">
    <w:nsid w:val="4FAE105D"/>
    <w:multiLevelType w:val="hybridMultilevel"/>
    <w:tmpl w:val="5F105BD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E52BA"/>
    <w:multiLevelType w:val="multilevel"/>
    <w:tmpl w:val="D6089B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AE"/>
    <w:rsid w:val="00067C9C"/>
    <w:rsid w:val="00075188"/>
    <w:rsid w:val="000A6095"/>
    <w:rsid w:val="000B3CF5"/>
    <w:rsid w:val="000C20F7"/>
    <w:rsid w:val="000F6F43"/>
    <w:rsid w:val="00150F2A"/>
    <w:rsid w:val="00190511"/>
    <w:rsid w:val="001E5E2E"/>
    <w:rsid w:val="001E69AE"/>
    <w:rsid w:val="001F757D"/>
    <w:rsid w:val="00220D5F"/>
    <w:rsid w:val="00224AF3"/>
    <w:rsid w:val="00243142"/>
    <w:rsid w:val="00251BCE"/>
    <w:rsid w:val="00252F9A"/>
    <w:rsid w:val="00255689"/>
    <w:rsid w:val="00285103"/>
    <w:rsid w:val="0028613A"/>
    <w:rsid w:val="002B529B"/>
    <w:rsid w:val="002C2CFF"/>
    <w:rsid w:val="002F369E"/>
    <w:rsid w:val="00343783"/>
    <w:rsid w:val="00344206"/>
    <w:rsid w:val="003749A6"/>
    <w:rsid w:val="00385801"/>
    <w:rsid w:val="003957F0"/>
    <w:rsid w:val="00415896"/>
    <w:rsid w:val="0042353E"/>
    <w:rsid w:val="00442AEA"/>
    <w:rsid w:val="0044426C"/>
    <w:rsid w:val="0045167E"/>
    <w:rsid w:val="00463D70"/>
    <w:rsid w:val="004740A6"/>
    <w:rsid w:val="00486221"/>
    <w:rsid w:val="004B2219"/>
    <w:rsid w:val="004D37DD"/>
    <w:rsid w:val="004E3999"/>
    <w:rsid w:val="0053692E"/>
    <w:rsid w:val="005A45D5"/>
    <w:rsid w:val="00644BE2"/>
    <w:rsid w:val="00660F5F"/>
    <w:rsid w:val="00671D21"/>
    <w:rsid w:val="006D4D60"/>
    <w:rsid w:val="006F1CAC"/>
    <w:rsid w:val="00734A54"/>
    <w:rsid w:val="0076569A"/>
    <w:rsid w:val="00772361"/>
    <w:rsid w:val="007B6EF0"/>
    <w:rsid w:val="007C0B4B"/>
    <w:rsid w:val="007F0D08"/>
    <w:rsid w:val="007F3E81"/>
    <w:rsid w:val="00844DE5"/>
    <w:rsid w:val="00855B80"/>
    <w:rsid w:val="00870A89"/>
    <w:rsid w:val="0089683E"/>
    <w:rsid w:val="008D0D5D"/>
    <w:rsid w:val="008D42C8"/>
    <w:rsid w:val="008F0573"/>
    <w:rsid w:val="008F10B4"/>
    <w:rsid w:val="008F77D8"/>
    <w:rsid w:val="009763A8"/>
    <w:rsid w:val="009A5E56"/>
    <w:rsid w:val="00A11786"/>
    <w:rsid w:val="00A4685A"/>
    <w:rsid w:val="00A5574F"/>
    <w:rsid w:val="00A57D11"/>
    <w:rsid w:val="00A70FE0"/>
    <w:rsid w:val="00A74DDA"/>
    <w:rsid w:val="00A75E6C"/>
    <w:rsid w:val="00A84357"/>
    <w:rsid w:val="00AD119B"/>
    <w:rsid w:val="00AE710C"/>
    <w:rsid w:val="00B00FAE"/>
    <w:rsid w:val="00B03193"/>
    <w:rsid w:val="00B1784B"/>
    <w:rsid w:val="00B204B8"/>
    <w:rsid w:val="00B42071"/>
    <w:rsid w:val="00B51BBA"/>
    <w:rsid w:val="00B70E16"/>
    <w:rsid w:val="00BB6BA2"/>
    <w:rsid w:val="00BC3B11"/>
    <w:rsid w:val="00BD3683"/>
    <w:rsid w:val="00BD7F8F"/>
    <w:rsid w:val="00BE28CE"/>
    <w:rsid w:val="00C00502"/>
    <w:rsid w:val="00C063A6"/>
    <w:rsid w:val="00C47E1A"/>
    <w:rsid w:val="00C52501"/>
    <w:rsid w:val="00C75E9F"/>
    <w:rsid w:val="00C75EA9"/>
    <w:rsid w:val="00C970F2"/>
    <w:rsid w:val="00CF35EE"/>
    <w:rsid w:val="00CF6288"/>
    <w:rsid w:val="00D03599"/>
    <w:rsid w:val="00D31655"/>
    <w:rsid w:val="00D662CE"/>
    <w:rsid w:val="00D77DAD"/>
    <w:rsid w:val="00D819CD"/>
    <w:rsid w:val="00D81FC9"/>
    <w:rsid w:val="00DD2EBF"/>
    <w:rsid w:val="00E01EEB"/>
    <w:rsid w:val="00E2356C"/>
    <w:rsid w:val="00E2417C"/>
    <w:rsid w:val="00E9341E"/>
    <w:rsid w:val="00EB1B78"/>
    <w:rsid w:val="00EB36D0"/>
    <w:rsid w:val="00EB5B72"/>
    <w:rsid w:val="00F07D98"/>
    <w:rsid w:val="00F26DDD"/>
    <w:rsid w:val="00F50092"/>
    <w:rsid w:val="00F868A7"/>
    <w:rsid w:val="00FB4877"/>
    <w:rsid w:val="00FD31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FF39"/>
  <w15:chartTrackingRefBased/>
  <w15:docId w15:val="{B62C0B14-6C2F-4C72-996D-F3588F29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0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FAE"/>
    <w:rPr>
      <w:rFonts w:eastAsiaTheme="majorEastAsia" w:cstheme="majorBidi"/>
      <w:color w:val="272727" w:themeColor="text1" w:themeTint="D8"/>
    </w:rPr>
  </w:style>
  <w:style w:type="paragraph" w:styleId="Title">
    <w:name w:val="Title"/>
    <w:basedOn w:val="Normal"/>
    <w:next w:val="Normal"/>
    <w:link w:val="TitleChar"/>
    <w:uiPriority w:val="10"/>
    <w:qFormat/>
    <w:rsid w:val="00B00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FAE"/>
    <w:pPr>
      <w:spacing w:before="160"/>
      <w:jc w:val="center"/>
    </w:pPr>
    <w:rPr>
      <w:i/>
      <w:iCs/>
      <w:color w:val="404040" w:themeColor="text1" w:themeTint="BF"/>
    </w:rPr>
  </w:style>
  <w:style w:type="character" w:customStyle="1" w:styleId="QuoteChar">
    <w:name w:val="Quote Char"/>
    <w:basedOn w:val="DefaultParagraphFont"/>
    <w:link w:val="Quote"/>
    <w:uiPriority w:val="29"/>
    <w:rsid w:val="00B00FAE"/>
    <w:rPr>
      <w:i/>
      <w:iCs/>
      <w:color w:val="404040" w:themeColor="text1" w:themeTint="BF"/>
    </w:rPr>
  </w:style>
  <w:style w:type="paragraph" w:styleId="ListParagraph">
    <w:name w:val="List Paragraph"/>
    <w:basedOn w:val="Normal"/>
    <w:uiPriority w:val="34"/>
    <w:qFormat/>
    <w:rsid w:val="00B00FAE"/>
    <w:pPr>
      <w:ind w:left="720"/>
      <w:contextualSpacing/>
    </w:pPr>
  </w:style>
  <w:style w:type="character" w:styleId="IntenseEmphasis">
    <w:name w:val="Intense Emphasis"/>
    <w:basedOn w:val="DefaultParagraphFont"/>
    <w:uiPriority w:val="21"/>
    <w:qFormat/>
    <w:rsid w:val="00B00FAE"/>
    <w:rPr>
      <w:i/>
      <w:iCs/>
      <w:color w:val="2F5496" w:themeColor="accent1" w:themeShade="BF"/>
    </w:rPr>
  </w:style>
  <w:style w:type="paragraph" w:styleId="IntenseQuote">
    <w:name w:val="Intense Quote"/>
    <w:basedOn w:val="Normal"/>
    <w:next w:val="Normal"/>
    <w:link w:val="IntenseQuoteChar"/>
    <w:uiPriority w:val="30"/>
    <w:qFormat/>
    <w:rsid w:val="00B00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FAE"/>
    <w:rPr>
      <w:i/>
      <w:iCs/>
      <w:color w:val="2F5496" w:themeColor="accent1" w:themeShade="BF"/>
    </w:rPr>
  </w:style>
  <w:style w:type="character" w:styleId="IntenseReference">
    <w:name w:val="Intense Reference"/>
    <w:basedOn w:val="DefaultParagraphFont"/>
    <w:uiPriority w:val="32"/>
    <w:qFormat/>
    <w:rsid w:val="00B00FAE"/>
    <w:rPr>
      <w:b/>
      <w:bCs/>
      <w:smallCaps/>
      <w:color w:val="2F5496" w:themeColor="accent1" w:themeShade="BF"/>
      <w:spacing w:val="5"/>
    </w:rPr>
  </w:style>
  <w:style w:type="paragraph" w:styleId="NoSpacing">
    <w:name w:val="No Spacing"/>
    <w:uiPriority w:val="1"/>
    <w:qFormat/>
    <w:rsid w:val="00D77DAD"/>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B17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84B"/>
  </w:style>
  <w:style w:type="paragraph" w:styleId="Footer">
    <w:name w:val="footer"/>
    <w:basedOn w:val="Normal"/>
    <w:link w:val="FooterChar"/>
    <w:uiPriority w:val="99"/>
    <w:unhideWhenUsed/>
    <w:rsid w:val="00B17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8822">
      <w:bodyDiv w:val="1"/>
      <w:marLeft w:val="0"/>
      <w:marRight w:val="0"/>
      <w:marTop w:val="0"/>
      <w:marBottom w:val="0"/>
      <w:divBdr>
        <w:top w:val="none" w:sz="0" w:space="0" w:color="auto"/>
        <w:left w:val="none" w:sz="0" w:space="0" w:color="auto"/>
        <w:bottom w:val="none" w:sz="0" w:space="0" w:color="auto"/>
        <w:right w:val="none" w:sz="0" w:space="0" w:color="auto"/>
      </w:divBdr>
    </w:div>
    <w:div w:id="251158558">
      <w:bodyDiv w:val="1"/>
      <w:marLeft w:val="0"/>
      <w:marRight w:val="0"/>
      <w:marTop w:val="0"/>
      <w:marBottom w:val="0"/>
      <w:divBdr>
        <w:top w:val="none" w:sz="0" w:space="0" w:color="auto"/>
        <w:left w:val="none" w:sz="0" w:space="0" w:color="auto"/>
        <w:bottom w:val="none" w:sz="0" w:space="0" w:color="auto"/>
        <w:right w:val="none" w:sz="0" w:space="0" w:color="auto"/>
      </w:divBdr>
    </w:div>
    <w:div w:id="279608857">
      <w:bodyDiv w:val="1"/>
      <w:marLeft w:val="0"/>
      <w:marRight w:val="0"/>
      <w:marTop w:val="0"/>
      <w:marBottom w:val="0"/>
      <w:divBdr>
        <w:top w:val="none" w:sz="0" w:space="0" w:color="auto"/>
        <w:left w:val="none" w:sz="0" w:space="0" w:color="auto"/>
        <w:bottom w:val="none" w:sz="0" w:space="0" w:color="auto"/>
        <w:right w:val="none" w:sz="0" w:space="0" w:color="auto"/>
      </w:divBdr>
    </w:div>
    <w:div w:id="582909054">
      <w:bodyDiv w:val="1"/>
      <w:marLeft w:val="0"/>
      <w:marRight w:val="0"/>
      <w:marTop w:val="0"/>
      <w:marBottom w:val="0"/>
      <w:divBdr>
        <w:top w:val="none" w:sz="0" w:space="0" w:color="auto"/>
        <w:left w:val="none" w:sz="0" w:space="0" w:color="auto"/>
        <w:bottom w:val="none" w:sz="0" w:space="0" w:color="auto"/>
        <w:right w:val="none" w:sz="0" w:space="0" w:color="auto"/>
      </w:divBdr>
    </w:div>
    <w:div w:id="746072327">
      <w:bodyDiv w:val="1"/>
      <w:marLeft w:val="0"/>
      <w:marRight w:val="0"/>
      <w:marTop w:val="0"/>
      <w:marBottom w:val="0"/>
      <w:divBdr>
        <w:top w:val="none" w:sz="0" w:space="0" w:color="auto"/>
        <w:left w:val="none" w:sz="0" w:space="0" w:color="auto"/>
        <w:bottom w:val="none" w:sz="0" w:space="0" w:color="auto"/>
        <w:right w:val="none" w:sz="0" w:space="0" w:color="auto"/>
      </w:divBdr>
    </w:div>
    <w:div w:id="937713287">
      <w:bodyDiv w:val="1"/>
      <w:marLeft w:val="0"/>
      <w:marRight w:val="0"/>
      <w:marTop w:val="0"/>
      <w:marBottom w:val="0"/>
      <w:divBdr>
        <w:top w:val="none" w:sz="0" w:space="0" w:color="auto"/>
        <w:left w:val="none" w:sz="0" w:space="0" w:color="auto"/>
        <w:bottom w:val="none" w:sz="0" w:space="0" w:color="auto"/>
        <w:right w:val="none" w:sz="0" w:space="0" w:color="auto"/>
      </w:divBdr>
    </w:div>
    <w:div w:id="1371682620">
      <w:bodyDiv w:val="1"/>
      <w:marLeft w:val="0"/>
      <w:marRight w:val="0"/>
      <w:marTop w:val="0"/>
      <w:marBottom w:val="0"/>
      <w:divBdr>
        <w:top w:val="none" w:sz="0" w:space="0" w:color="auto"/>
        <w:left w:val="none" w:sz="0" w:space="0" w:color="auto"/>
        <w:bottom w:val="none" w:sz="0" w:space="0" w:color="auto"/>
        <w:right w:val="none" w:sz="0" w:space="0" w:color="auto"/>
      </w:divBdr>
    </w:div>
    <w:div w:id="1705475094">
      <w:bodyDiv w:val="1"/>
      <w:marLeft w:val="0"/>
      <w:marRight w:val="0"/>
      <w:marTop w:val="0"/>
      <w:marBottom w:val="0"/>
      <w:divBdr>
        <w:top w:val="none" w:sz="0" w:space="0" w:color="auto"/>
        <w:left w:val="none" w:sz="0" w:space="0" w:color="auto"/>
        <w:bottom w:val="none" w:sz="0" w:space="0" w:color="auto"/>
        <w:right w:val="none" w:sz="0" w:space="0" w:color="auto"/>
      </w:divBdr>
    </w:div>
    <w:div w:id="1914923429">
      <w:bodyDiv w:val="1"/>
      <w:marLeft w:val="0"/>
      <w:marRight w:val="0"/>
      <w:marTop w:val="0"/>
      <w:marBottom w:val="0"/>
      <w:divBdr>
        <w:top w:val="none" w:sz="0" w:space="0" w:color="auto"/>
        <w:left w:val="none" w:sz="0" w:space="0" w:color="auto"/>
        <w:bottom w:val="none" w:sz="0" w:space="0" w:color="auto"/>
        <w:right w:val="none" w:sz="0" w:space="0" w:color="auto"/>
      </w:divBdr>
    </w:div>
    <w:div w:id="19918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2025-05-13T09:34:00Z</cp:lastPrinted>
  <dcterms:created xsi:type="dcterms:W3CDTF">2025-05-23T10:48:00Z</dcterms:created>
  <dcterms:modified xsi:type="dcterms:W3CDTF">2025-05-23T10:48:00Z</dcterms:modified>
</cp:coreProperties>
</file>