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828C" w14:textId="4469C639" w:rsidR="00051CE2" w:rsidRPr="009A7B6F" w:rsidRDefault="00051CE2" w:rsidP="00051CE2">
      <w:pPr>
        <w:rPr>
          <w:sz w:val="24"/>
          <w:szCs w:val="24"/>
        </w:rPr>
      </w:pPr>
      <w:bookmarkStart w:id="0" w:name="_GoBack"/>
      <w:bookmarkEnd w:id="0"/>
    </w:p>
    <w:p w14:paraId="3522F3C6" w14:textId="4E24C320" w:rsidR="00051CE2" w:rsidRPr="00E43DD6"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BIG DIAGNOSTICS (PRIVATE) LIMITED</w:t>
      </w:r>
      <w:r w:rsidR="003275C2" w:rsidRPr="00E43DD6">
        <w:rPr>
          <w:rFonts w:ascii="Times New Roman" w:hAnsi="Times New Roman" w:cs="Times New Roman"/>
          <w:sz w:val="24"/>
          <w:szCs w:val="24"/>
        </w:rPr>
        <w:t xml:space="preserve">                                                        </w:t>
      </w:r>
    </w:p>
    <w:p w14:paraId="0612F7CC" w14:textId="534535BA" w:rsidR="00051CE2" w:rsidRPr="00E43DD6"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versus</w:t>
      </w:r>
    </w:p>
    <w:p w14:paraId="20B8FFC3" w14:textId="538FBF19" w:rsidR="00051CE2" w:rsidRPr="00E43DD6"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MEDICAL INVESTMENTS LIMITED</w:t>
      </w:r>
    </w:p>
    <w:p w14:paraId="7438AD95" w14:textId="0BAF7EF9" w:rsidR="00051CE2" w:rsidRPr="00E43DD6"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and</w:t>
      </w:r>
    </w:p>
    <w:p w14:paraId="01A1E3D9" w14:textId="66D66CEF" w:rsidR="00083E94"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LECHLADE INVESTMENTS (PRIVATE) LIMITED</w:t>
      </w:r>
    </w:p>
    <w:p w14:paraId="7DE43E2C" w14:textId="77777777" w:rsidR="00E43DD6" w:rsidRPr="00E43DD6" w:rsidRDefault="00E43DD6" w:rsidP="00E43DD6">
      <w:pPr>
        <w:spacing w:after="0" w:line="240" w:lineRule="auto"/>
        <w:jc w:val="both"/>
        <w:rPr>
          <w:rFonts w:ascii="Times New Roman" w:hAnsi="Times New Roman" w:cs="Times New Roman"/>
          <w:sz w:val="24"/>
          <w:szCs w:val="24"/>
        </w:rPr>
      </w:pPr>
    </w:p>
    <w:p w14:paraId="25E8BB28" w14:textId="77777777" w:rsidR="00051CE2" w:rsidRPr="00E43DD6" w:rsidRDefault="00051CE2" w:rsidP="00E43DD6">
      <w:pPr>
        <w:spacing w:after="0" w:line="240" w:lineRule="auto"/>
        <w:jc w:val="both"/>
        <w:rPr>
          <w:rFonts w:ascii="Times New Roman" w:hAnsi="Times New Roman" w:cs="Times New Roman"/>
          <w:sz w:val="24"/>
          <w:szCs w:val="24"/>
        </w:rPr>
      </w:pPr>
    </w:p>
    <w:p w14:paraId="53DF4672" w14:textId="4AB36214" w:rsidR="00051CE2" w:rsidRPr="00E43DD6" w:rsidRDefault="00051CE2" w:rsidP="00E43DD6">
      <w:pPr>
        <w:spacing w:after="0" w:line="240" w:lineRule="auto"/>
        <w:jc w:val="both"/>
        <w:rPr>
          <w:rFonts w:ascii="Times New Roman" w:hAnsi="Times New Roman" w:cs="Times New Roman"/>
          <w:b/>
          <w:bCs/>
          <w:sz w:val="24"/>
          <w:szCs w:val="24"/>
        </w:rPr>
      </w:pPr>
      <w:r w:rsidRPr="00E43DD6">
        <w:rPr>
          <w:rFonts w:ascii="Times New Roman" w:hAnsi="Times New Roman" w:cs="Times New Roman"/>
          <w:sz w:val="24"/>
          <w:szCs w:val="24"/>
        </w:rPr>
        <w:t>HIGH COURT OF ZIMBABWE</w:t>
      </w:r>
    </w:p>
    <w:p w14:paraId="7C353BC1" w14:textId="0CE581E6" w:rsidR="00051CE2" w:rsidRPr="00E43DD6" w:rsidRDefault="00051CE2" w:rsidP="00E43DD6">
      <w:pPr>
        <w:spacing w:after="0" w:line="240" w:lineRule="auto"/>
        <w:jc w:val="both"/>
        <w:rPr>
          <w:rFonts w:ascii="Times New Roman" w:hAnsi="Times New Roman" w:cs="Times New Roman"/>
          <w:b/>
          <w:bCs/>
          <w:sz w:val="24"/>
          <w:szCs w:val="24"/>
        </w:rPr>
      </w:pPr>
      <w:r w:rsidRPr="00E43DD6">
        <w:rPr>
          <w:rFonts w:ascii="Times New Roman" w:hAnsi="Times New Roman" w:cs="Times New Roman"/>
          <w:b/>
          <w:bCs/>
          <w:sz w:val="24"/>
          <w:szCs w:val="24"/>
        </w:rPr>
        <w:t>MANYANGADZE J</w:t>
      </w:r>
    </w:p>
    <w:p w14:paraId="4D35533B" w14:textId="7B8E3391" w:rsidR="00051CE2" w:rsidRDefault="00051CE2"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sz w:val="24"/>
          <w:szCs w:val="24"/>
        </w:rPr>
        <w:t xml:space="preserve">HARARE, 8 &amp; </w:t>
      </w:r>
      <w:r w:rsidR="006F7BEC" w:rsidRPr="00E43DD6">
        <w:rPr>
          <w:rFonts w:ascii="Times New Roman" w:hAnsi="Times New Roman" w:cs="Times New Roman"/>
          <w:sz w:val="24"/>
          <w:szCs w:val="24"/>
        </w:rPr>
        <w:t>24</w:t>
      </w:r>
      <w:r w:rsidRPr="00E43DD6">
        <w:rPr>
          <w:rFonts w:ascii="Times New Roman" w:hAnsi="Times New Roman" w:cs="Times New Roman"/>
          <w:sz w:val="24"/>
          <w:szCs w:val="24"/>
        </w:rPr>
        <w:t xml:space="preserve"> September 2025</w:t>
      </w:r>
    </w:p>
    <w:p w14:paraId="753F26E5" w14:textId="77777777" w:rsidR="00E43DD6" w:rsidRPr="00E43DD6" w:rsidRDefault="00E43DD6" w:rsidP="00E43DD6">
      <w:pPr>
        <w:spacing w:after="0" w:line="240" w:lineRule="auto"/>
        <w:jc w:val="both"/>
        <w:rPr>
          <w:rFonts w:ascii="Times New Roman" w:hAnsi="Times New Roman" w:cs="Times New Roman"/>
          <w:sz w:val="24"/>
          <w:szCs w:val="24"/>
        </w:rPr>
      </w:pPr>
    </w:p>
    <w:p w14:paraId="6457DC32" w14:textId="77777777" w:rsidR="004D7003" w:rsidRPr="00E43DD6" w:rsidRDefault="004D7003" w:rsidP="00E43DD6">
      <w:pPr>
        <w:spacing w:after="0" w:line="240" w:lineRule="auto"/>
        <w:jc w:val="both"/>
        <w:rPr>
          <w:rFonts w:ascii="Times New Roman" w:hAnsi="Times New Roman" w:cs="Times New Roman"/>
          <w:b/>
          <w:bCs/>
          <w:sz w:val="24"/>
          <w:szCs w:val="24"/>
        </w:rPr>
      </w:pPr>
    </w:p>
    <w:p w14:paraId="4255BB9C" w14:textId="74B71B3B" w:rsidR="004D7003" w:rsidRDefault="004D7003" w:rsidP="00E43DD6">
      <w:pPr>
        <w:spacing w:after="0" w:line="240" w:lineRule="auto"/>
        <w:jc w:val="both"/>
        <w:rPr>
          <w:rFonts w:ascii="Times New Roman" w:hAnsi="Times New Roman" w:cs="Times New Roman"/>
          <w:b/>
          <w:bCs/>
          <w:sz w:val="24"/>
          <w:szCs w:val="24"/>
        </w:rPr>
      </w:pPr>
      <w:r w:rsidRPr="00E43DD6">
        <w:rPr>
          <w:rFonts w:ascii="Times New Roman" w:hAnsi="Times New Roman" w:cs="Times New Roman"/>
          <w:b/>
          <w:bCs/>
          <w:sz w:val="24"/>
          <w:szCs w:val="24"/>
        </w:rPr>
        <w:t>Urgent chamber application</w:t>
      </w:r>
    </w:p>
    <w:p w14:paraId="0D32C197" w14:textId="77777777" w:rsidR="00E43DD6" w:rsidRPr="00E43DD6" w:rsidRDefault="00E43DD6" w:rsidP="00E43DD6">
      <w:pPr>
        <w:spacing w:after="0" w:line="240" w:lineRule="auto"/>
        <w:jc w:val="both"/>
        <w:rPr>
          <w:rFonts w:ascii="Times New Roman" w:hAnsi="Times New Roman" w:cs="Times New Roman"/>
          <w:b/>
          <w:bCs/>
          <w:sz w:val="24"/>
          <w:szCs w:val="24"/>
        </w:rPr>
      </w:pPr>
    </w:p>
    <w:p w14:paraId="26AED89A" w14:textId="77777777" w:rsidR="004D7003" w:rsidRPr="00E43DD6" w:rsidRDefault="004D7003" w:rsidP="00E43DD6">
      <w:pPr>
        <w:spacing w:after="0" w:line="240" w:lineRule="auto"/>
        <w:jc w:val="both"/>
        <w:rPr>
          <w:rFonts w:ascii="Times New Roman" w:hAnsi="Times New Roman" w:cs="Times New Roman"/>
          <w:sz w:val="24"/>
          <w:szCs w:val="24"/>
        </w:rPr>
      </w:pPr>
    </w:p>
    <w:p w14:paraId="28A3C1C2" w14:textId="56437C2A" w:rsidR="004D7003" w:rsidRPr="00E43DD6" w:rsidRDefault="004D7003" w:rsidP="00E43DD6">
      <w:pPr>
        <w:spacing w:after="0" w:line="240" w:lineRule="auto"/>
        <w:jc w:val="both"/>
        <w:rPr>
          <w:rFonts w:ascii="Times New Roman" w:hAnsi="Times New Roman" w:cs="Times New Roman"/>
          <w:i/>
          <w:iCs/>
          <w:sz w:val="24"/>
          <w:szCs w:val="24"/>
        </w:rPr>
      </w:pPr>
      <w:r w:rsidRPr="00E43DD6">
        <w:rPr>
          <w:rFonts w:ascii="Times New Roman" w:hAnsi="Times New Roman" w:cs="Times New Roman"/>
          <w:i/>
          <w:iCs/>
          <w:sz w:val="24"/>
          <w:szCs w:val="24"/>
        </w:rPr>
        <w:t>G.R.J.Sithole</w:t>
      </w:r>
      <w:r w:rsidRPr="00E43DD6">
        <w:rPr>
          <w:rFonts w:ascii="Times New Roman" w:hAnsi="Times New Roman" w:cs="Times New Roman"/>
          <w:sz w:val="24"/>
          <w:szCs w:val="24"/>
        </w:rPr>
        <w:t>,</w:t>
      </w:r>
      <w:r w:rsidR="003275C2" w:rsidRPr="00E43DD6">
        <w:rPr>
          <w:rFonts w:ascii="Times New Roman" w:hAnsi="Times New Roman" w:cs="Times New Roman"/>
          <w:sz w:val="24"/>
          <w:szCs w:val="24"/>
        </w:rPr>
        <w:t xml:space="preserve"> </w:t>
      </w:r>
      <w:r w:rsidRPr="00E43DD6">
        <w:rPr>
          <w:rFonts w:ascii="Times New Roman" w:hAnsi="Times New Roman" w:cs="Times New Roman"/>
          <w:sz w:val="24"/>
          <w:szCs w:val="24"/>
        </w:rPr>
        <w:t>with</w:t>
      </w:r>
      <w:r w:rsidRPr="00E43DD6">
        <w:rPr>
          <w:rFonts w:ascii="Times New Roman" w:hAnsi="Times New Roman" w:cs="Times New Roman"/>
          <w:i/>
          <w:iCs/>
          <w:sz w:val="24"/>
          <w:szCs w:val="24"/>
        </w:rPr>
        <w:t xml:space="preserve"> E. Chatambudza</w:t>
      </w:r>
      <w:r w:rsidRPr="00E43DD6">
        <w:rPr>
          <w:rFonts w:ascii="Times New Roman" w:hAnsi="Times New Roman" w:cs="Times New Roman"/>
          <w:sz w:val="24"/>
          <w:szCs w:val="24"/>
        </w:rPr>
        <w:t xml:space="preserve"> and </w:t>
      </w:r>
      <w:r w:rsidRPr="00E43DD6">
        <w:rPr>
          <w:rFonts w:ascii="Times New Roman" w:hAnsi="Times New Roman" w:cs="Times New Roman"/>
          <w:i/>
          <w:iCs/>
          <w:sz w:val="24"/>
          <w:szCs w:val="24"/>
        </w:rPr>
        <w:t>R.Moss</w:t>
      </w:r>
      <w:r w:rsidRPr="00E43DD6">
        <w:rPr>
          <w:rFonts w:ascii="Times New Roman" w:hAnsi="Times New Roman" w:cs="Times New Roman"/>
          <w:sz w:val="24"/>
          <w:szCs w:val="24"/>
        </w:rPr>
        <w:t>, for the applicant</w:t>
      </w:r>
    </w:p>
    <w:p w14:paraId="469327ED" w14:textId="6F3984F6" w:rsidR="004D7003" w:rsidRPr="00E43DD6" w:rsidRDefault="004D7003"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i/>
          <w:iCs/>
          <w:sz w:val="24"/>
          <w:szCs w:val="24"/>
        </w:rPr>
        <w:t>D. Tava</w:t>
      </w:r>
      <w:r w:rsidR="00B56A55" w:rsidRPr="00E43DD6">
        <w:rPr>
          <w:rFonts w:ascii="Times New Roman" w:hAnsi="Times New Roman" w:cs="Times New Roman"/>
          <w:i/>
          <w:iCs/>
          <w:sz w:val="24"/>
          <w:szCs w:val="24"/>
        </w:rPr>
        <w:t>v</w:t>
      </w:r>
      <w:r w:rsidRPr="00E43DD6">
        <w:rPr>
          <w:rFonts w:ascii="Times New Roman" w:hAnsi="Times New Roman" w:cs="Times New Roman"/>
          <w:i/>
          <w:iCs/>
          <w:sz w:val="24"/>
          <w:szCs w:val="24"/>
        </w:rPr>
        <w:t>a</w:t>
      </w:r>
      <w:r w:rsidR="00B56A55" w:rsidRPr="00E43DD6">
        <w:rPr>
          <w:rFonts w:ascii="Times New Roman" w:hAnsi="Times New Roman" w:cs="Times New Roman"/>
          <w:i/>
          <w:iCs/>
          <w:sz w:val="24"/>
          <w:szCs w:val="24"/>
        </w:rPr>
        <w:t>r</w:t>
      </w:r>
      <w:r w:rsidRPr="00E43DD6">
        <w:rPr>
          <w:rFonts w:ascii="Times New Roman" w:hAnsi="Times New Roman" w:cs="Times New Roman"/>
          <w:sz w:val="24"/>
          <w:szCs w:val="24"/>
        </w:rPr>
        <w:t>,</w:t>
      </w:r>
      <w:r w:rsidR="003275C2" w:rsidRPr="00E43DD6">
        <w:rPr>
          <w:rFonts w:ascii="Times New Roman" w:hAnsi="Times New Roman" w:cs="Times New Roman"/>
          <w:sz w:val="24"/>
          <w:szCs w:val="24"/>
        </w:rPr>
        <w:t xml:space="preserve"> with</w:t>
      </w:r>
      <w:r w:rsidR="003275C2" w:rsidRPr="00E43DD6">
        <w:rPr>
          <w:rFonts w:ascii="Times New Roman" w:hAnsi="Times New Roman" w:cs="Times New Roman"/>
          <w:i/>
          <w:iCs/>
          <w:sz w:val="24"/>
          <w:szCs w:val="24"/>
        </w:rPr>
        <w:t xml:space="preserve"> G.Ndlovu</w:t>
      </w:r>
      <w:r w:rsidR="003275C2" w:rsidRPr="00E43DD6">
        <w:rPr>
          <w:rFonts w:ascii="Times New Roman" w:hAnsi="Times New Roman" w:cs="Times New Roman"/>
          <w:sz w:val="24"/>
          <w:szCs w:val="24"/>
        </w:rPr>
        <w:t xml:space="preserve">, </w:t>
      </w:r>
      <w:r w:rsidRPr="00E43DD6">
        <w:rPr>
          <w:rFonts w:ascii="Times New Roman" w:hAnsi="Times New Roman" w:cs="Times New Roman"/>
          <w:sz w:val="24"/>
          <w:szCs w:val="24"/>
        </w:rPr>
        <w:t>for the 1</w:t>
      </w:r>
      <w:r w:rsidRPr="00E43DD6">
        <w:rPr>
          <w:rFonts w:ascii="Times New Roman" w:hAnsi="Times New Roman" w:cs="Times New Roman"/>
          <w:sz w:val="24"/>
          <w:szCs w:val="24"/>
          <w:vertAlign w:val="superscript"/>
        </w:rPr>
        <w:t>st</w:t>
      </w:r>
      <w:r w:rsidRPr="00E43DD6">
        <w:rPr>
          <w:rFonts w:ascii="Times New Roman" w:hAnsi="Times New Roman" w:cs="Times New Roman"/>
          <w:sz w:val="24"/>
          <w:szCs w:val="24"/>
        </w:rPr>
        <w:t xml:space="preserve"> respondent</w:t>
      </w:r>
    </w:p>
    <w:p w14:paraId="54AEC735" w14:textId="00DE419C" w:rsidR="004D7003" w:rsidRPr="00E43DD6" w:rsidRDefault="004D7003"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i/>
          <w:iCs/>
          <w:sz w:val="24"/>
          <w:szCs w:val="24"/>
        </w:rPr>
        <w:t>T.W. Nyamakura</w:t>
      </w:r>
      <w:r w:rsidRPr="00E43DD6">
        <w:rPr>
          <w:rFonts w:ascii="Times New Roman" w:hAnsi="Times New Roman" w:cs="Times New Roman"/>
          <w:sz w:val="24"/>
          <w:szCs w:val="24"/>
        </w:rPr>
        <w:t>, for the 2</w:t>
      </w:r>
      <w:r w:rsidRPr="00E43DD6">
        <w:rPr>
          <w:rFonts w:ascii="Times New Roman" w:hAnsi="Times New Roman" w:cs="Times New Roman"/>
          <w:sz w:val="24"/>
          <w:szCs w:val="24"/>
          <w:vertAlign w:val="superscript"/>
        </w:rPr>
        <w:t>nd</w:t>
      </w:r>
      <w:r w:rsidRPr="00E43DD6">
        <w:rPr>
          <w:rFonts w:ascii="Times New Roman" w:hAnsi="Times New Roman" w:cs="Times New Roman"/>
          <w:sz w:val="24"/>
          <w:szCs w:val="24"/>
        </w:rPr>
        <w:t xml:space="preserve"> respondent</w:t>
      </w:r>
    </w:p>
    <w:p w14:paraId="3F1BD619" w14:textId="77777777" w:rsidR="003275C2" w:rsidRPr="00E43DD6" w:rsidRDefault="003275C2" w:rsidP="00E43DD6">
      <w:pPr>
        <w:spacing w:line="360" w:lineRule="auto"/>
        <w:jc w:val="both"/>
        <w:rPr>
          <w:rFonts w:ascii="Times New Roman" w:hAnsi="Times New Roman" w:cs="Times New Roman"/>
          <w:sz w:val="24"/>
          <w:szCs w:val="24"/>
        </w:rPr>
      </w:pPr>
    </w:p>
    <w:p w14:paraId="39208E42" w14:textId="77777777" w:rsidR="009B3549" w:rsidRPr="00E43DD6" w:rsidRDefault="003275C2" w:rsidP="00E43DD6">
      <w:pPr>
        <w:spacing w:line="360" w:lineRule="auto"/>
        <w:jc w:val="both"/>
        <w:rPr>
          <w:rFonts w:ascii="Times New Roman" w:hAnsi="Times New Roman" w:cs="Times New Roman"/>
          <w:sz w:val="24"/>
          <w:szCs w:val="24"/>
        </w:rPr>
      </w:pPr>
      <w:r w:rsidRPr="00E43DD6">
        <w:rPr>
          <w:rFonts w:ascii="Times New Roman" w:hAnsi="Times New Roman" w:cs="Times New Roman"/>
          <w:sz w:val="24"/>
          <w:szCs w:val="24"/>
        </w:rPr>
        <w:t xml:space="preserve">MANYANGADZE J: </w:t>
      </w:r>
    </w:p>
    <w:p w14:paraId="75456873" w14:textId="38B01E0A" w:rsidR="009B3549"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INTRODUCTION</w:t>
      </w:r>
    </w:p>
    <w:p w14:paraId="03219858" w14:textId="48E9D204" w:rsidR="0065075A" w:rsidRPr="00E43DD6" w:rsidRDefault="0070707A" w:rsidP="00E43DD6">
      <w:pPr>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This is an urgent chamber application for leave to execute pending appeal. The application stems from an order issued by this court, per </w:t>
      </w:r>
      <w:r w:rsidR="00E43DD6" w:rsidRPr="00E43DD6">
        <w:rPr>
          <w:rFonts w:ascii="Times New Roman" w:hAnsi="Times New Roman" w:cs="Times New Roman"/>
          <w:smallCaps/>
          <w:sz w:val="24"/>
          <w:szCs w:val="24"/>
        </w:rPr>
        <w:t>maxwell</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 xml:space="preserve">J, in HCH 4060/25, in which the applicant was granted spoliatory relief against the first respondent. The order, </w:t>
      </w:r>
      <w:r w:rsidR="001C36CB" w:rsidRPr="00E43DD6">
        <w:rPr>
          <w:rFonts w:ascii="Times New Roman" w:hAnsi="Times New Roman" w:cs="Times New Roman"/>
          <w:sz w:val="24"/>
          <w:szCs w:val="24"/>
        </w:rPr>
        <w:t>issued</w:t>
      </w:r>
      <w:r w:rsidRPr="00E43DD6">
        <w:rPr>
          <w:rFonts w:ascii="Times New Roman" w:hAnsi="Times New Roman" w:cs="Times New Roman"/>
          <w:sz w:val="24"/>
          <w:szCs w:val="24"/>
        </w:rPr>
        <w:t xml:space="preserve"> on 20 August, 2025, is in the following terms:</w:t>
      </w:r>
    </w:p>
    <w:p w14:paraId="3CED9ED0" w14:textId="5A49171C" w:rsidR="002A097B" w:rsidRPr="00E43DD6" w:rsidRDefault="002A097B" w:rsidP="00E43DD6">
      <w:pPr>
        <w:pStyle w:val="ListParagraph"/>
        <w:numPr>
          <w:ilvl w:val="0"/>
          <w:numId w:val="1"/>
        </w:numPr>
        <w:spacing w:line="240" w:lineRule="auto"/>
        <w:jc w:val="both"/>
        <w:rPr>
          <w:rFonts w:ascii="Times New Roman" w:hAnsi="Times New Roman" w:cs="Times New Roman"/>
        </w:rPr>
      </w:pPr>
      <w:r w:rsidRPr="00E43DD6">
        <w:rPr>
          <w:rFonts w:ascii="Times New Roman" w:hAnsi="Times New Roman" w:cs="Times New Roman"/>
        </w:rPr>
        <w:t>“</w:t>
      </w:r>
      <w:r w:rsidR="0065075A" w:rsidRPr="00E43DD6">
        <w:rPr>
          <w:rFonts w:ascii="Times New Roman" w:hAnsi="Times New Roman" w:cs="Times New Roman"/>
        </w:rPr>
        <w:t>The application for a spoliation order succeeds.</w:t>
      </w:r>
    </w:p>
    <w:p w14:paraId="2800EC40" w14:textId="43F74875" w:rsidR="002A097B" w:rsidRPr="00E43DD6" w:rsidRDefault="0065075A" w:rsidP="00E43DD6">
      <w:pPr>
        <w:pStyle w:val="ListParagraph"/>
        <w:numPr>
          <w:ilvl w:val="0"/>
          <w:numId w:val="1"/>
        </w:numPr>
        <w:spacing w:line="240" w:lineRule="auto"/>
        <w:jc w:val="both"/>
        <w:rPr>
          <w:rFonts w:ascii="Times New Roman" w:hAnsi="Times New Roman" w:cs="Times New Roman"/>
        </w:rPr>
      </w:pPr>
      <w:r w:rsidRPr="00E43DD6">
        <w:rPr>
          <w:rFonts w:ascii="Times New Roman" w:hAnsi="Times New Roman" w:cs="Times New Roman"/>
        </w:rPr>
        <w:t xml:space="preserve">The </w:t>
      </w:r>
      <w:r w:rsidR="00E43DD6">
        <w:rPr>
          <w:rFonts w:ascii="Times New Roman" w:hAnsi="Times New Roman" w:cs="Times New Roman"/>
        </w:rPr>
        <w:t>first</w:t>
      </w:r>
      <w:r w:rsidRPr="00E43DD6">
        <w:rPr>
          <w:rFonts w:ascii="Times New Roman" w:hAnsi="Times New Roman" w:cs="Times New Roman"/>
        </w:rPr>
        <w:t xml:space="preserve"> Respondent and all other persons acting through them or on their instructions, be and are hereby ordered to restore to the applicant the undisturbed and peaceful possession of the business premises and operations of the</w:t>
      </w:r>
      <w:r w:rsidR="00E43DD6">
        <w:rPr>
          <w:rFonts w:ascii="Times New Roman" w:hAnsi="Times New Roman" w:cs="Times New Roman"/>
        </w:rPr>
        <w:t xml:space="preserve"> second</w:t>
      </w:r>
      <w:r w:rsidRPr="00E43DD6">
        <w:rPr>
          <w:rFonts w:ascii="Times New Roman" w:hAnsi="Times New Roman" w:cs="Times New Roman"/>
        </w:rPr>
        <w:t xml:space="preserve"> Respondent situate wherever within the Avenues Clinic at Corner Mazowe Street and Baines Avenue, including, the leased </w:t>
      </w:r>
      <w:r w:rsidR="00C106EE" w:rsidRPr="00E43DD6">
        <w:rPr>
          <w:rFonts w:ascii="Times New Roman" w:hAnsi="Times New Roman" w:cs="Times New Roman"/>
        </w:rPr>
        <w:t>premises being</w:t>
      </w:r>
      <w:r w:rsidRPr="00E43DD6">
        <w:rPr>
          <w:rFonts w:ascii="Times New Roman" w:hAnsi="Times New Roman" w:cs="Times New Roman"/>
        </w:rPr>
        <w:t xml:space="preserve"> the portion(s) of the hospital known as 'The Diagnostic Imaging Department, CT Scan Suite and 3TMRI Suite.</w:t>
      </w:r>
    </w:p>
    <w:p w14:paraId="4C46F8F0" w14:textId="5B737C7A" w:rsidR="001C36CB" w:rsidRPr="00E43DD6" w:rsidRDefault="0065075A" w:rsidP="00E43DD6">
      <w:pPr>
        <w:pStyle w:val="ListParagraph"/>
        <w:numPr>
          <w:ilvl w:val="0"/>
          <w:numId w:val="1"/>
        </w:numPr>
        <w:spacing w:line="240" w:lineRule="auto"/>
        <w:jc w:val="both"/>
        <w:rPr>
          <w:rFonts w:ascii="Times New Roman" w:hAnsi="Times New Roman" w:cs="Times New Roman"/>
        </w:rPr>
      </w:pPr>
      <w:r w:rsidRPr="00E43DD6">
        <w:rPr>
          <w:rFonts w:ascii="Times New Roman" w:hAnsi="Times New Roman" w:cs="Times New Roman"/>
        </w:rPr>
        <w:t xml:space="preserve">The </w:t>
      </w:r>
      <w:r w:rsidR="00E43DD6">
        <w:rPr>
          <w:rFonts w:ascii="Times New Roman" w:hAnsi="Times New Roman" w:cs="Times New Roman"/>
        </w:rPr>
        <w:t>first</w:t>
      </w:r>
      <w:r w:rsidRPr="00E43DD6">
        <w:rPr>
          <w:rFonts w:ascii="Times New Roman" w:hAnsi="Times New Roman" w:cs="Times New Roman"/>
        </w:rPr>
        <w:t xml:space="preserve"> Respondent be and is hereby ordered to pay costs on an ordinary  scale.</w:t>
      </w:r>
      <w:r w:rsidR="002A097B" w:rsidRPr="00E43DD6">
        <w:rPr>
          <w:rFonts w:ascii="Times New Roman" w:hAnsi="Times New Roman" w:cs="Times New Roman"/>
        </w:rPr>
        <w:t>”</w:t>
      </w:r>
    </w:p>
    <w:p w14:paraId="07814565" w14:textId="77777777" w:rsidR="002A097B" w:rsidRPr="00E43DD6" w:rsidRDefault="002A097B" w:rsidP="00E43DD6">
      <w:pPr>
        <w:spacing w:line="360" w:lineRule="auto"/>
        <w:jc w:val="both"/>
        <w:rPr>
          <w:rFonts w:ascii="Times New Roman" w:hAnsi="Times New Roman" w:cs="Times New Roman"/>
          <w:sz w:val="24"/>
          <w:szCs w:val="24"/>
          <w:u w:val="single"/>
        </w:rPr>
      </w:pPr>
    </w:p>
    <w:p w14:paraId="3D897192" w14:textId="778C1E12" w:rsidR="009B3549"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FACTUAL BACKGROUND</w:t>
      </w:r>
    </w:p>
    <w:p w14:paraId="4E56D611" w14:textId="77777777" w:rsidR="00E43DD6" w:rsidRDefault="002A097B"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application is set against the background of what appears to be an acrimonious shareholders dispute between the applicant and the first respondent. The wrangle emanates from their shareholders agreement over the second respondent. </w:t>
      </w:r>
      <w:r w:rsidR="00B11A5C" w:rsidRPr="00E43DD6">
        <w:rPr>
          <w:rFonts w:ascii="Times New Roman" w:hAnsi="Times New Roman" w:cs="Times New Roman"/>
          <w:sz w:val="24"/>
          <w:szCs w:val="24"/>
        </w:rPr>
        <w:t xml:space="preserve"> </w:t>
      </w:r>
      <w:r w:rsidR="005324ED" w:rsidRPr="00E43DD6">
        <w:rPr>
          <w:rFonts w:ascii="Times New Roman" w:hAnsi="Times New Roman" w:cs="Times New Roman"/>
          <w:sz w:val="24"/>
          <w:szCs w:val="24"/>
        </w:rPr>
        <w:t xml:space="preserve">The applicant and the first </w:t>
      </w:r>
      <w:r w:rsidR="005324ED" w:rsidRPr="00E43DD6">
        <w:rPr>
          <w:rFonts w:ascii="Times New Roman" w:hAnsi="Times New Roman" w:cs="Times New Roman"/>
          <w:sz w:val="24"/>
          <w:szCs w:val="24"/>
        </w:rPr>
        <w:lastRenderedPageBreak/>
        <w:t xml:space="preserve">respondent hold 55% and 45% shares, respectively, in the second respondent. The second respondent operates a radiology business on premises it leases from the first respondent. The first respondent owns Avenues </w:t>
      </w:r>
      <w:r w:rsidR="00CF4CBA" w:rsidRPr="00E43DD6">
        <w:rPr>
          <w:rFonts w:ascii="Times New Roman" w:hAnsi="Times New Roman" w:cs="Times New Roman"/>
          <w:sz w:val="24"/>
          <w:szCs w:val="24"/>
        </w:rPr>
        <w:t>Clinic, one of the largest private hospitals in the country. The radiology business is within the Avenues Clinic premises.</w:t>
      </w:r>
    </w:p>
    <w:p w14:paraId="76F42F13" w14:textId="1A1C64E1" w:rsidR="00CF4CBA" w:rsidRPr="00E43DD6" w:rsidRDefault="00CF4CBA"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first respondent terminated </w:t>
      </w:r>
      <w:r w:rsidR="002E0A09" w:rsidRPr="00E43DD6">
        <w:rPr>
          <w:rFonts w:ascii="Times New Roman" w:hAnsi="Times New Roman" w:cs="Times New Roman"/>
          <w:sz w:val="24"/>
          <w:szCs w:val="24"/>
        </w:rPr>
        <w:t>its shareholders</w:t>
      </w:r>
      <w:r w:rsidRPr="00E43DD6">
        <w:rPr>
          <w:rFonts w:ascii="Times New Roman" w:hAnsi="Times New Roman" w:cs="Times New Roman"/>
          <w:sz w:val="24"/>
          <w:szCs w:val="24"/>
        </w:rPr>
        <w:t xml:space="preserve"> agreement with the applicant. There is no need to delve into the complexities</w:t>
      </w:r>
      <w:r w:rsidR="002E0A09" w:rsidRPr="00E43DD6">
        <w:rPr>
          <w:rFonts w:ascii="Times New Roman" w:hAnsi="Times New Roman" w:cs="Times New Roman"/>
          <w:sz w:val="24"/>
          <w:szCs w:val="24"/>
        </w:rPr>
        <w:t xml:space="preserve"> of the shareholders agreement and its disputed termination. Suffice it to state that the dispute was referred to arbitration, and an arbitral award was issued in favour of the first respondent. The applicant is impugning the arbitral award, and has since filed an application for review, wherein it seeks an order to set it aside.</w:t>
      </w:r>
    </w:p>
    <w:p w14:paraId="0CDB0674" w14:textId="3FD8D201" w:rsidR="002E0A09" w:rsidRPr="00E43DD6" w:rsidRDefault="002E0A09"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Meanwhile, the first respondent moved in to enforce the arbitral award on its own</w:t>
      </w:r>
      <w:r w:rsidR="002A05B0" w:rsidRPr="00E43DD6">
        <w:rPr>
          <w:rFonts w:ascii="Times New Roman" w:hAnsi="Times New Roman" w:cs="Times New Roman"/>
          <w:sz w:val="24"/>
          <w:szCs w:val="24"/>
        </w:rPr>
        <w:t xml:space="preserve">. In somewhat dramatic scenes not characteristic of a hospital environment, the locks to the radiology centre, being the second respondent’s business premises, were changed. Bouncers were immediately deployed. All this was in a bid to deny the applicant, the losing party in the arbitration process, access to the </w:t>
      </w:r>
      <w:r w:rsidR="00216038" w:rsidRPr="00E43DD6">
        <w:rPr>
          <w:rFonts w:ascii="Times New Roman" w:hAnsi="Times New Roman" w:cs="Times New Roman"/>
          <w:sz w:val="24"/>
          <w:szCs w:val="24"/>
        </w:rPr>
        <w:t xml:space="preserve">premises from which the second respondent operates. The applicant asserts that it is the one that has been running the second respondent’s radiology operations for </w:t>
      </w:r>
      <w:r w:rsidR="003D1173" w:rsidRPr="00E43DD6">
        <w:rPr>
          <w:rFonts w:ascii="Times New Roman" w:hAnsi="Times New Roman" w:cs="Times New Roman"/>
          <w:sz w:val="24"/>
          <w:szCs w:val="24"/>
        </w:rPr>
        <w:t>years and</w:t>
      </w:r>
      <w:r w:rsidR="00216038" w:rsidRPr="00E43DD6">
        <w:rPr>
          <w:rFonts w:ascii="Times New Roman" w:hAnsi="Times New Roman" w:cs="Times New Roman"/>
          <w:sz w:val="24"/>
          <w:szCs w:val="24"/>
        </w:rPr>
        <w:t xml:space="preserve"> is a well known brand in the market</w:t>
      </w:r>
      <w:r w:rsidR="00C106EE" w:rsidRPr="00E43DD6">
        <w:rPr>
          <w:rFonts w:ascii="Times New Roman" w:hAnsi="Times New Roman" w:cs="Times New Roman"/>
          <w:sz w:val="24"/>
          <w:szCs w:val="24"/>
        </w:rPr>
        <w:t>.</w:t>
      </w:r>
      <w:r w:rsidR="003D1173" w:rsidRPr="00E43DD6">
        <w:rPr>
          <w:rFonts w:ascii="Times New Roman" w:hAnsi="Times New Roman" w:cs="Times New Roman"/>
          <w:sz w:val="24"/>
          <w:szCs w:val="24"/>
        </w:rPr>
        <w:t xml:space="preserve"> </w:t>
      </w:r>
    </w:p>
    <w:p w14:paraId="3463326F" w14:textId="48F8B7F6" w:rsidR="004E6A9E" w:rsidRPr="00E43DD6" w:rsidRDefault="004E6A9E"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first respondent noted an appeal against </w:t>
      </w:r>
      <w:r w:rsidR="00E43DD6" w:rsidRPr="00E43DD6">
        <w:rPr>
          <w:rFonts w:ascii="Times New Roman" w:hAnsi="Times New Roman" w:cs="Times New Roman"/>
          <w:smallCaps/>
          <w:sz w:val="24"/>
          <w:szCs w:val="24"/>
        </w:rPr>
        <w:t>maxwell</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 xml:space="preserve">J’s order. The appeal is pending under Case No. SC 657/25. The </w:t>
      </w:r>
      <w:r w:rsidR="003D1173" w:rsidRPr="00E43DD6">
        <w:rPr>
          <w:rFonts w:ascii="Times New Roman" w:hAnsi="Times New Roman" w:cs="Times New Roman"/>
          <w:sz w:val="24"/>
          <w:szCs w:val="24"/>
        </w:rPr>
        <w:t>noting of the appeal has the effect of suspending the operation of the High Court order. This in turn means the applicant is denied access to the premises in question, contrary to the spoliation order. It is this state of affairs the applicant seeks to reverse, through the instant application.</w:t>
      </w:r>
      <w:r w:rsidR="000B3DD4" w:rsidRPr="00E43DD6">
        <w:rPr>
          <w:rFonts w:ascii="Times New Roman" w:hAnsi="Times New Roman" w:cs="Times New Roman"/>
          <w:sz w:val="24"/>
          <w:szCs w:val="24"/>
        </w:rPr>
        <w:t xml:space="preserve"> </w:t>
      </w:r>
    </w:p>
    <w:p w14:paraId="389DC93F" w14:textId="768A9B2E" w:rsidR="00DC70FC" w:rsidRPr="00E43DD6" w:rsidRDefault="000B3DD4"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It was brought to the attention of the court that whilst the instant application was pending, the second respondent also noted an appeal against </w:t>
      </w:r>
      <w:r w:rsidR="00E43DD6" w:rsidRPr="00E43DD6">
        <w:rPr>
          <w:rFonts w:ascii="Times New Roman" w:hAnsi="Times New Roman" w:cs="Times New Roman"/>
          <w:smallCaps/>
          <w:sz w:val="24"/>
          <w:szCs w:val="24"/>
        </w:rPr>
        <w:t>maxwell</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J’s judgment</w:t>
      </w:r>
      <w:r w:rsidR="008911E9" w:rsidRPr="00E43DD6">
        <w:rPr>
          <w:rFonts w:ascii="Times New Roman" w:hAnsi="Times New Roman" w:cs="Times New Roman"/>
          <w:sz w:val="24"/>
          <w:szCs w:val="24"/>
        </w:rPr>
        <w:t>, under Case No. HCH 4368/25.</w:t>
      </w:r>
      <w:r w:rsidRPr="00E43DD6">
        <w:rPr>
          <w:rFonts w:ascii="Times New Roman" w:hAnsi="Times New Roman" w:cs="Times New Roman"/>
          <w:sz w:val="24"/>
          <w:szCs w:val="24"/>
        </w:rPr>
        <w:t xml:space="preserve"> The noting of the appeal has the same effect as that of the appeal noted by the first respondent i.e. suspending the operation of </w:t>
      </w:r>
      <w:r w:rsidR="00E43DD6" w:rsidRPr="00E43DD6">
        <w:rPr>
          <w:rFonts w:ascii="Times New Roman" w:hAnsi="Times New Roman" w:cs="Times New Roman"/>
          <w:smallCaps/>
          <w:sz w:val="24"/>
          <w:szCs w:val="24"/>
        </w:rPr>
        <w:t>maxwel</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 xml:space="preserve">J’s judgment. </w:t>
      </w:r>
      <w:r w:rsidR="008911E9" w:rsidRPr="00E43DD6">
        <w:rPr>
          <w:rFonts w:ascii="Times New Roman" w:hAnsi="Times New Roman" w:cs="Times New Roman"/>
          <w:sz w:val="24"/>
          <w:szCs w:val="24"/>
        </w:rPr>
        <w:t xml:space="preserve">Again, the applicant filed </w:t>
      </w:r>
      <w:r w:rsidR="001D6206" w:rsidRPr="00E43DD6">
        <w:rPr>
          <w:rFonts w:ascii="Times New Roman" w:hAnsi="Times New Roman" w:cs="Times New Roman"/>
          <w:sz w:val="24"/>
          <w:szCs w:val="24"/>
        </w:rPr>
        <w:t xml:space="preserve">an </w:t>
      </w:r>
      <w:r w:rsidR="008911E9" w:rsidRPr="00E43DD6">
        <w:rPr>
          <w:rFonts w:ascii="Times New Roman" w:hAnsi="Times New Roman" w:cs="Times New Roman"/>
          <w:sz w:val="24"/>
          <w:szCs w:val="24"/>
        </w:rPr>
        <w:t>urgent chamber application for leave to execute pending appeal. The parties agreed the two applications be consolidated, that is, Cases No. HCH 4222/</w:t>
      </w:r>
      <w:r w:rsidR="00411465" w:rsidRPr="00E43DD6">
        <w:rPr>
          <w:rFonts w:ascii="Times New Roman" w:hAnsi="Times New Roman" w:cs="Times New Roman"/>
          <w:sz w:val="24"/>
          <w:szCs w:val="24"/>
        </w:rPr>
        <w:t>25 and HCH</w:t>
      </w:r>
      <w:r w:rsidR="00E43DD6">
        <w:rPr>
          <w:rFonts w:ascii="Times New Roman" w:hAnsi="Times New Roman" w:cs="Times New Roman"/>
          <w:sz w:val="24"/>
          <w:szCs w:val="24"/>
        </w:rPr>
        <w:t> </w:t>
      </w:r>
      <w:r w:rsidR="00411465" w:rsidRPr="00E43DD6">
        <w:rPr>
          <w:rFonts w:ascii="Times New Roman" w:hAnsi="Times New Roman" w:cs="Times New Roman"/>
          <w:sz w:val="24"/>
          <w:szCs w:val="24"/>
        </w:rPr>
        <w:t xml:space="preserve"> 4368/25. The cases are principally dealing with the same cause.  The only difference is that the applicant in HCH 4368/25 is the second respondent in HCH 4222/25, and the applicant in HCH 4222/25 is the first respondent in HCH 4368/25. It is a reversal of roles in the same cause of action. This just goes to reflect the</w:t>
      </w:r>
      <w:r w:rsidR="00B17E4D" w:rsidRPr="00E43DD6">
        <w:rPr>
          <w:rFonts w:ascii="Times New Roman" w:hAnsi="Times New Roman" w:cs="Times New Roman"/>
          <w:sz w:val="24"/>
          <w:szCs w:val="24"/>
        </w:rPr>
        <w:t xml:space="preserve"> uncompromisingly</w:t>
      </w:r>
      <w:r w:rsidR="00411465" w:rsidRPr="00E43DD6">
        <w:rPr>
          <w:rFonts w:ascii="Times New Roman" w:hAnsi="Times New Roman" w:cs="Times New Roman"/>
          <w:sz w:val="24"/>
          <w:szCs w:val="24"/>
        </w:rPr>
        <w:t xml:space="preserve"> combative stance the parties have taken against each other.</w:t>
      </w:r>
      <w:r w:rsidR="008911E9" w:rsidRPr="00E43DD6">
        <w:rPr>
          <w:rFonts w:ascii="Times New Roman" w:hAnsi="Times New Roman" w:cs="Times New Roman"/>
          <w:sz w:val="24"/>
          <w:szCs w:val="24"/>
        </w:rPr>
        <w:t xml:space="preserve"> </w:t>
      </w:r>
    </w:p>
    <w:p w14:paraId="6DE2D086" w14:textId="690687F6" w:rsidR="00DC70FC" w:rsidRPr="00E43DD6" w:rsidRDefault="00DC70FC"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lastRenderedPageBreak/>
        <w:t xml:space="preserve">This development has necessitated an amendment to the draft order, which now reads as </w:t>
      </w:r>
      <w:r w:rsidR="0093299F" w:rsidRPr="00E43DD6">
        <w:rPr>
          <w:rFonts w:ascii="Times New Roman" w:hAnsi="Times New Roman" w:cs="Times New Roman"/>
          <w:sz w:val="24"/>
          <w:szCs w:val="24"/>
        </w:rPr>
        <w:t>follows</w:t>
      </w:r>
      <w:r w:rsidRPr="00E43DD6">
        <w:rPr>
          <w:rFonts w:ascii="Times New Roman" w:hAnsi="Times New Roman" w:cs="Times New Roman"/>
          <w:sz w:val="24"/>
          <w:szCs w:val="24"/>
        </w:rPr>
        <w:t>:</w:t>
      </w:r>
    </w:p>
    <w:p w14:paraId="2FD76563" w14:textId="77777777" w:rsidR="00DC70FC" w:rsidRPr="00E43DD6" w:rsidRDefault="00DC70FC" w:rsidP="00E43DD6">
      <w:pPr>
        <w:spacing w:line="360" w:lineRule="auto"/>
        <w:jc w:val="both"/>
        <w:rPr>
          <w:rFonts w:ascii="Times New Roman" w:hAnsi="Times New Roman" w:cs="Times New Roman"/>
          <w:sz w:val="24"/>
          <w:szCs w:val="24"/>
        </w:rPr>
      </w:pPr>
      <w:bookmarkStart w:id="1" w:name="_Hlk209538347"/>
    </w:p>
    <w:p w14:paraId="183E4876" w14:textId="3FAE31ED" w:rsidR="00DC70FC" w:rsidRPr="00E43DD6" w:rsidRDefault="00DC70FC" w:rsidP="00E43DD6">
      <w:pPr>
        <w:spacing w:line="240" w:lineRule="auto"/>
        <w:ind w:left="720"/>
        <w:jc w:val="both"/>
        <w:rPr>
          <w:rFonts w:ascii="Times New Roman" w:hAnsi="Times New Roman" w:cs="Times New Roman"/>
        </w:rPr>
      </w:pPr>
      <w:r w:rsidRPr="00E43DD6">
        <w:rPr>
          <w:rFonts w:ascii="Times New Roman" w:hAnsi="Times New Roman" w:cs="Times New Roman"/>
        </w:rPr>
        <w:t>“1. The instant applications for leave to execute pending appeal under reference case  numbers HCH4222/25 and HCH4368/25 are hereby granted.</w:t>
      </w:r>
    </w:p>
    <w:p w14:paraId="286E90CA" w14:textId="77777777" w:rsidR="00DC70FC" w:rsidRPr="00E43DD6" w:rsidRDefault="00DC70FC" w:rsidP="00E43DD6">
      <w:pPr>
        <w:spacing w:line="240" w:lineRule="auto"/>
        <w:ind w:left="720"/>
        <w:jc w:val="both"/>
        <w:rPr>
          <w:rFonts w:ascii="Times New Roman" w:hAnsi="Times New Roman" w:cs="Times New Roman"/>
        </w:rPr>
      </w:pPr>
      <w:r w:rsidRPr="00E43DD6">
        <w:rPr>
          <w:rFonts w:ascii="Times New Roman" w:hAnsi="Times New Roman" w:cs="Times New Roman"/>
        </w:rPr>
        <w:t>2. The Applicant is hereby granted leave to execute the order of this Honourable Court under reference case number HCH 4060/25 as granted on 20th of August 2025 by Maxwell J, pending the appeals under reference case numbers SC 657/2025 and SC 676/2025.</w:t>
      </w:r>
    </w:p>
    <w:p w14:paraId="34B55885" w14:textId="77777777" w:rsidR="00DC70FC" w:rsidRPr="00E43DD6" w:rsidRDefault="00DC70FC" w:rsidP="00E43DD6">
      <w:pPr>
        <w:spacing w:line="240" w:lineRule="auto"/>
        <w:ind w:left="720"/>
        <w:jc w:val="both"/>
        <w:rPr>
          <w:rFonts w:ascii="Times New Roman" w:hAnsi="Times New Roman" w:cs="Times New Roman"/>
        </w:rPr>
      </w:pPr>
      <w:r w:rsidRPr="00E43DD6">
        <w:rPr>
          <w:rFonts w:ascii="Times New Roman" w:hAnsi="Times New Roman" w:cs="Times New Roman"/>
        </w:rPr>
        <w:t>3. The Applicant, with the assistance of the Zimbabwe Republic Police and/or the Sheriff of the High Court of Zimbabwe be and is hereby granted leave to execute the judgment of this court per Maxwell J under HCH 4060/25.</w:t>
      </w:r>
    </w:p>
    <w:p w14:paraId="661DBE2B" w14:textId="33F272E7" w:rsidR="00DC70FC" w:rsidRPr="00E43DD6" w:rsidRDefault="00DC70FC" w:rsidP="00E43DD6">
      <w:pPr>
        <w:spacing w:line="240" w:lineRule="auto"/>
        <w:ind w:left="720"/>
        <w:jc w:val="both"/>
        <w:rPr>
          <w:rFonts w:ascii="Times New Roman" w:hAnsi="Times New Roman" w:cs="Times New Roman"/>
        </w:rPr>
      </w:pPr>
      <w:r w:rsidRPr="00E43DD6">
        <w:rPr>
          <w:rFonts w:ascii="Times New Roman" w:hAnsi="Times New Roman" w:cs="Times New Roman"/>
        </w:rPr>
        <w:t>4. The Respondents shall pay the applicant's costs of suit on a legal practitioner and client scale.”</w:t>
      </w:r>
    </w:p>
    <w:bookmarkEnd w:id="1"/>
    <w:p w14:paraId="5EE8339D" w14:textId="77777777" w:rsidR="0093299F" w:rsidRPr="00E43DD6" w:rsidRDefault="0093299F" w:rsidP="00E43DD6">
      <w:pPr>
        <w:spacing w:line="240" w:lineRule="auto"/>
        <w:jc w:val="both"/>
        <w:rPr>
          <w:rFonts w:ascii="Times New Roman" w:hAnsi="Times New Roman" w:cs="Times New Roman"/>
        </w:rPr>
      </w:pPr>
    </w:p>
    <w:p w14:paraId="5E11FD3C" w14:textId="7405731E" w:rsidR="0093299F"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APPLICANT’S ARGUMENT</w:t>
      </w:r>
    </w:p>
    <w:p w14:paraId="60491D9F" w14:textId="772ED7DD" w:rsidR="0020361F" w:rsidRPr="00E43DD6" w:rsidRDefault="0093299F" w:rsidP="00E43DD6">
      <w:pPr>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applicant avers that denial of leave to execute </w:t>
      </w:r>
      <w:r w:rsidR="00381569" w:rsidRPr="00E43DD6">
        <w:rPr>
          <w:rFonts w:ascii="Times New Roman" w:hAnsi="Times New Roman" w:cs="Times New Roman"/>
          <w:sz w:val="24"/>
          <w:szCs w:val="24"/>
        </w:rPr>
        <w:t xml:space="preserve">will </w:t>
      </w:r>
      <w:r w:rsidR="00290B3A" w:rsidRPr="00E43DD6">
        <w:rPr>
          <w:rFonts w:ascii="Times New Roman" w:hAnsi="Times New Roman" w:cs="Times New Roman"/>
          <w:sz w:val="24"/>
          <w:szCs w:val="24"/>
        </w:rPr>
        <w:t>cause</w:t>
      </w:r>
      <w:r w:rsidR="00381569" w:rsidRPr="00E43DD6">
        <w:rPr>
          <w:rFonts w:ascii="Times New Roman" w:hAnsi="Times New Roman" w:cs="Times New Roman"/>
          <w:sz w:val="24"/>
          <w:szCs w:val="24"/>
        </w:rPr>
        <w:t xml:space="preserve"> it serious financial and commercial viability as a business entity. It further contends </w:t>
      </w:r>
      <w:r w:rsidR="00290B3A" w:rsidRPr="00E43DD6">
        <w:rPr>
          <w:rFonts w:ascii="Times New Roman" w:hAnsi="Times New Roman" w:cs="Times New Roman"/>
          <w:sz w:val="24"/>
          <w:szCs w:val="24"/>
        </w:rPr>
        <w:t>that</w:t>
      </w:r>
      <w:r w:rsidR="00381569" w:rsidRPr="00E43DD6">
        <w:rPr>
          <w:rFonts w:ascii="Times New Roman" w:hAnsi="Times New Roman" w:cs="Times New Roman"/>
          <w:sz w:val="24"/>
          <w:szCs w:val="24"/>
        </w:rPr>
        <w:t xml:space="preserve"> </w:t>
      </w:r>
      <w:r w:rsidR="00290B3A" w:rsidRPr="00E43DD6">
        <w:rPr>
          <w:rFonts w:ascii="Times New Roman" w:hAnsi="Times New Roman" w:cs="Times New Roman"/>
          <w:sz w:val="24"/>
          <w:szCs w:val="24"/>
        </w:rPr>
        <w:t>patients’</w:t>
      </w:r>
      <w:r w:rsidR="00381569" w:rsidRPr="00E43DD6">
        <w:rPr>
          <w:rFonts w:ascii="Times New Roman" w:hAnsi="Times New Roman" w:cs="Times New Roman"/>
          <w:sz w:val="24"/>
          <w:szCs w:val="24"/>
        </w:rPr>
        <w:t xml:space="preserve"> welfare has already been </w:t>
      </w:r>
      <w:r w:rsidR="00290B3A" w:rsidRPr="00E43DD6">
        <w:rPr>
          <w:rFonts w:ascii="Times New Roman" w:hAnsi="Times New Roman" w:cs="Times New Roman"/>
          <w:sz w:val="24"/>
          <w:szCs w:val="24"/>
        </w:rPr>
        <w:t>compromised</w:t>
      </w:r>
      <w:r w:rsidR="00381569" w:rsidRPr="00E43DD6">
        <w:rPr>
          <w:rFonts w:ascii="Times New Roman" w:hAnsi="Times New Roman" w:cs="Times New Roman"/>
          <w:sz w:val="24"/>
          <w:szCs w:val="24"/>
        </w:rPr>
        <w:t xml:space="preserve"> as contingency measures </w:t>
      </w:r>
      <w:r w:rsidR="00290B3A" w:rsidRPr="00E43DD6">
        <w:rPr>
          <w:rFonts w:ascii="Times New Roman" w:hAnsi="Times New Roman" w:cs="Times New Roman"/>
          <w:sz w:val="24"/>
          <w:szCs w:val="24"/>
        </w:rPr>
        <w:t>have</w:t>
      </w:r>
      <w:r w:rsidR="00381569" w:rsidRPr="00E43DD6">
        <w:rPr>
          <w:rFonts w:ascii="Times New Roman" w:hAnsi="Times New Roman" w:cs="Times New Roman"/>
          <w:sz w:val="24"/>
          <w:szCs w:val="24"/>
        </w:rPr>
        <w:t xml:space="preserve"> had to be taken by diverting patients to other stakeholders. The applicant point</w:t>
      </w:r>
      <w:r w:rsidR="00116479" w:rsidRPr="00E43DD6">
        <w:rPr>
          <w:rFonts w:ascii="Times New Roman" w:hAnsi="Times New Roman" w:cs="Times New Roman"/>
          <w:sz w:val="24"/>
          <w:szCs w:val="24"/>
        </w:rPr>
        <w:t xml:space="preserve">s </w:t>
      </w:r>
      <w:r w:rsidR="00381569" w:rsidRPr="00E43DD6">
        <w:rPr>
          <w:rFonts w:ascii="Times New Roman" w:hAnsi="Times New Roman" w:cs="Times New Roman"/>
          <w:sz w:val="24"/>
          <w:szCs w:val="24"/>
        </w:rPr>
        <w:t xml:space="preserve">out </w:t>
      </w:r>
      <w:r w:rsidR="00290B3A" w:rsidRPr="00E43DD6">
        <w:rPr>
          <w:rFonts w:ascii="Times New Roman" w:hAnsi="Times New Roman" w:cs="Times New Roman"/>
          <w:sz w:val="24"/>
          <w:szCs w:val="24"/>
        </w:rPr>
        <w:t>that</w:t>
      </w:r>
      <w:r w:rsidR="00381569" w:rsidRPr="00E43DD6">
        <w:rPr>
          <w:rFonts w:ascii="Times New Roman" w:hAnsi="Times New Roman" w:cs="Times New Roman"/>
          <w:sz w:val="24"/>
          <w:szCs w:val="24"/>
        </w:rPr>
        <w:t xml:space="preserve"> it has long experience and expertise in the operation of the </w:t>
      </w:r>
      <w:r w:rsidR="00290B3A" w:rsidRPr="00E43DD6">
        <w:rPr>
          <w:rFonts w:ascii="Times New Roman" w:hAnsi="Times New Roman" w:cs="Times New Roman"/>
          <w:sz w:val="24"/>
          <w:szCs w:val="24"/>
        </w:rPr>
        <w:t>radiology</w:t>
      </w:r>
      <w:r w:rsidR="00381569" w:rsidRPr="00E43DD6">
        <w:rPr>
          <w:rFonts w:ascii="Times New Roman" w:hAnsi="Times New Roman" w:cs="Times New Roman"/>
          <w:sz w:val="24"/>
          <w:szCs w:val="24"/>
        </w:rPr>
        <w:t xml:space="preserve"> machinery which constitutes the core business of the </w:t>
      </w:r>
      <w:r w:rsidR="00290B3A" w:rsidRPr="00E43DD6">
        <w:rPr>
          <w:rFonts w:ascii="Times New Roman" w:hAnsi="Times New Roman" w:cs="Times New Roman"/>
          <w:sz w:val="24"/>
          <w:szCs w:val="24"/>
        </w:rPr>
        <w:t>second respondent. It (applicant) has been running this business for years. Added to this is the reputational damage inflicted by all these disturbances.</w:t>
      </w:r>
    </w:p>
    <w:p w14:paraId="6D057D33" w14:textId="7254DDB5" w:rsidR="00290B3A"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FIRST RESPONDENT’S ARGUMENT</w:t>
      </w:r>
    </w:p>
    <w:p w14:paraId="166DCD3D" w14:textId="75363D73" w:rsidR="00290B3A" w:rsidRPr="00E43DD6" w:rsidRDefault="00657754"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In countering the applicant’s averments, the first respondent </w:t>
      </w:r>
      <w:r w:rsidR="00EF1037" w:rsidRPr="00E43DD6">
        <w:rPr>
          <w:rFonts w:ascii="Times New Roman" w:hAnsi="Times New Roman" w:cs="Times New Roman"/>
          <w:sz w:val="24"/>
          <w:szCs w:val="24"/>
        </w:rPr>
        <w:t xml:space="preserve">asserts, in the </w:t>
      </w:r>
      <w:r w:rsidR="00AE5732" w:rsidRPr="00E43DD6">
        <w:rPr>
          <w:rFonts w:ascii="Times New Roman" w:hAnsi="Times New Roman" w:cs="Times New Roman"/>
          <w:sz w:val="24"/>
          <w:szCs w:val="24"/>
        </w:rPr>
        <w:t>main, that</w:t>
      </w:r>
      <w:r w:rsidRPr="00E43DD6">
        <w:rPr>
          <w:rFonts w:ascii="Times New Roman" w:hAnsi="Times New Roman" w:cs="Times New Roman"/>
          <w:sz w:val="24"/>
          <w:szCs w:val="24"/>
        </w:rPr>
        <w:t xml:space="preserve"> </w:t>
      </w:r>
      <w:r w:rsidR="00EF1037" w:rsidRPr="00E43DD6">
        <w:rPr>
          <w:rFonts w:ascii="Times New Roman" w:hAnsi="Times New Roman" w:cs="Times New Roman"/>
          <w:sz w:val="24"/>
          <w:szCs w:val="24"/>
        </w:rPr>
        <w:t>it never has been in possession of the premises in contention. It</w:t>
      </w:r>
      <w:r w:rsidR="00116479" w:rsidRPr="00E43DD6">
        <w:rPr>
          <w:rFonts w:ascii="Times New Roman" w:hAnsi="Times New Roman" w:cs="Times New Roman"/>
          <w:sz w:val="24"/>
          <w:szCs w:val="24"/>
        </w:rPr>
        <w:t xml:space="preserve"> </w:t>
      </w:r>
      <w:r w:rsidR="00EF1037" w:rsidRPr="00E43DD6">
        <w:rPr>
          <w:rFonts w:ascii="Times New Roman" w:hAnsi="Times New Roman" w:cs="Times New Roman"/>
          <w:sz w:val="24"/>
          <w:szCs w:val="24"/>
        </w:rPr>
        <w:t>is the second respondent who has been in possession thereof.  Put differently, there really is no spoliatory action to talk about on the part of the first respondent.</w:t>
      </w:r>
    </w:p>
    <w:p w14:paraId="271874BD" w14:textId="4AF02A90" w:rsidR="0020361F" w:rsidRDefault="00EF1037"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On the alleged commercial or financial viability, </w:t>
      </w:r>
      <w:r w:rsidR="003919A8">
        <w:rPr>
          <w:rFonts w:ascii="Times New Roman" w:hAnsi="Times New Roman" w:cs="Times New Roman"/>
          <w:sz w:val="24"/>
          <w:szCs w:val="24"/>
        </w:rPr>
        <w:t xml:space="preserve">the first respondent avers that </w:t>
      </w:r>
      <w:r w:rsidRPr="00E43DD6">
        <w:rPr>
          <w:rFonts w:ascii="Times New Roman" w:hAnsi="Times New Roman" w:cs="Times New Roman"/>
          <w:sz w:val="24"/>
          <w:szCs w:val="24"/>
        </w:rPr>
        <w:t>the applicant has not substantiated its all</w:t>
      </w:r>
      <w:r w:rsidR="00AE5732" w:rsidRPr="00E43DD6">
        <w:rPr>
          <w:rFonts w:ascii="Times New Roman" w:hAnsi="Times New Roman" w:cs="Times New Roman"/>
          <w:sz w:val="24"/>
          <w:szCs w:val="24"/>
        </w:rPr>
        <w:t>egations. No evidence has been placed before the court, such as financial statements or records, to prove the harm complained of. The first respondent further contend</w:t>
      </w:r>
      <w:r w:rsidR="00116479" w:rsidRPr="00E43DD6">
        <w:rPr>
          <w:rFonts w:ascii="Times New Roman" w:hAnsi="Times New Roman" w:cs="Times New Roman"/>
          <w:sz w:val="24"/>
          <w:szCs w:val="24"/>
        </w:rPr>
        <w:t>s</w:t>
      </w:r>
      <w:r w:rsidR="00AE5732" w:rsidRPr="00E43DD6">
        <w:rPr>
          <w:rFonts w:ascii="Times New Roman" w:hAnsi="Times New Roman" w:cs="Times New Roman"/>
          <w:sz w:val="24"/>
          <w:szCs w:val="24"/>
        </w:rPr>
        <w:t xml:space="preserve"> that in any case, harm of a financial nature can always be remedied through a claim for damages.</w:t>
      </w:r>
    </w:p>
    <w:p w14:paraId="0D4DC76C" w14:textId="77777777" w:rsidR="003919A8" w:rsidRPr="00E43DD6" w:rsidRDefault="003919A8" w:rsidP="00E43DD6">
      <w:pPr>
        <w:spacing w:after="0" w:line="360" w:lineRule="auto"/>
        <w:ind w:firstLine="720"/>
        <w:jc w:val="both"/>
        <w:rPr>
          <w:rFonts w:ascii="Times New Roman" w:hAnsi="Times New Roman" w:cs="Times New Roman"/>
          <w:sz w:val="24"/>
          <w:szCs w:val="24"/>
        </w:rPr>
      </w:pPr>
    </w:p>
    <w:p w14:paraId="23725468" w14:textId="3A2C87B8" w:rsidR="00AE5732"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SECOND RESPONDENT’S ARGUMENT</w:t>
      </w:r>
    </w:p>
    <w:p w14:paraId="7E99A9B6" w14:textId="5F718766" w:rsidR="00AE5732" w:rsidRPr="00E43DD6" w:rsidRDefault="00AE5732" w:rsidP="00E43DD6">
      <w:pPr>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lastRenderedPageBreak/>
        <w:t>The gist of the second respondent</w:t>
      </w:r>
      <w:r w:rsidR="00990003" w:rsidRPr="00E43DD6">
        <w:rPr>
          <w:rFonts w:ascii="Times New Roman" w:hAnsi="Times New Roman" w:cs="Times New Roman"/>
          <w:sz w:val="24"/>
          <w:szCs w:val="24"/>
        </w:rPr>
        <w:t xml:space="preserve">’s contention is that it is not affected by </w:t>
      </w:r>
      <w:r w:rsidR="00E43DD6" w:rsidRPr="00E43DD6">
        <w:rPr>
          <w:rFonts w:ascii="Times New Roman" w:hAnsi="Times New Roman" w:cs="Times New Roman"/>
          <w:smallCaps/>
          <w:sz w:val="24"/>
          <w:szCs w:val="24"/>
        </w:rPr>
        <w:t>maxwell</w:t>
      </w:r>
      <w:r w:rsidR="00E43DD6" w:rsidRPr="00E43DD6">
        <w:rPr>
          <w:rFonts w:ascii="Times New Roman" w:hAnsi="Times New Roman" w:cs="Times New Roman"/>
          <w:sz w:val="24"/>
          <w:szCs w:val="24"/>
        </w:rPr>
        <w:t xml:space="preserve"> </w:t>
      </w:r>
      <w:r w:rsidR="00990003" w:rsidRPr="00E43DD6">
        <w:rPr>
          <w:rFonts w:ascii="Times New Roman" w:hAnsi="Times New Roman" w:cs="Times New Roman"/>
          <w:sz w:val="24"/>
          <w:szCs w:val="24"/>
        </w:rPr>
        <w:t xml:space="preserve">J’s judgment. No order was issued against it. </w:t>
      </w:r>
    </w:p>
    <w:p w14:paraId="7625303A" w14:textId="2164420D" w:rsidR="00F43D83" w:rsidRPr="00E43DD6" w:rsidRDefault="00B17C63" w:rsidP="00767856">
      <w:pPr>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Mr </w:t>
      </w:r>
      <w:r w:rsidRPr="00E43DD6">
        <w:rPr>
          <w:rFonts w:ascii="Times New Roman" w:hAnsi="Times New Roman" w:cs="Times New Roman"/>
          <w:i/>
          <w:iCs/>
          <w:sz w:val="24"/>
          <w:szCs w:val="24"/>
        </w:rPr>
        <w:t>Nyamakura</w:t>
      </w:r>
      <w:r w:rsidRPr="00E43DD6">
        <w:rPr>
          <w:rFonts w:ascii="Times New Roman" w:hAnsi="Times New Roman" w:cs="Times New Roman"/>
          <w:sz w:val="24"/>
          <w:szCs w:val="24"/>
        </w:rPr>
        <w:t xml:space="preserve">, on behalf of the second respondent, pointed out that the dispute is between the shareholders i.e. the applicant and the second respondent. He argued that it seems the applicant is confusing restoration of management function and spoliatory relief. The former cannot be restored by means of </w:t>
      </w:r>
      <w:r w:rsidR="00F43D83" w:rsidRPr="00E43DD6">
        <w:rPr>
          <w:rFonts w:ascii="Times New Roman" w:hAnsi="Times New Roman" w:cs="Times New Roman"/>
          <w:sz w:val="24"/>
          <w:szCs w:val="24"/>
        </w:rPr>
        <w:t xml:space="preserve">the latter. Mr </w:t>
      </w:r>
      <w:r w:rsidR="00F43D83" w:rsidRPr="00E43DD6">
        <w:rPr>
          <w:rFonts w:ascii="Times New Roman" w:hAnsi="Times New Roman" w:cs="Times New Roman"/>
          <w:i/>
          <w:iCs/>
          <w:sz w:val="24"/>
          <w:szCs w:val="24"/>
        </w:rPr>
        <w:t>Nyamakura</w:t>
      </w:r>
      <w:r w:rsidR="00F43D83" w:rsidRPr="00E43DD6">
        <w:rPr>
          <w:rFonts w:ascii="Times New Roman" w:hAnsi="Times New Roman" w:cs="Times New Roman"/>
          <w:sz w:val="24"/>
          <w:szCs w:val="24"/>
        </w:rPr>
        <w:t xml:space="preserve"> expressed this point in the following terms during oral submissions:</w:t>
      </w:r>
    </w:p>
    <w:p w14:paraId="30ECF73F" w14:textId="33D5B577" w:rsidR="00F43D83" w:rsidRPr="00E43DD6" w:rsidRDefault="00F43D83" w:rsidP="00E43DD6">
      <w:pPr>
        <w:spacing w:line="240" w:lineRule="auto"/>
        <w:ind w:left="720"/>
        <w:jc w:val="both"/>
        <w:rPr>
          <w:rFonts w:ascii="Times New Roman" w:hAnsi="Times New Roman" w:cs="Times New Roman"/>
        </w:rPr>
      </w:pPr>
      <w:r w:rsidRPr="00E43DD6">
        <w:rPr>
          <w:rFonts w:ascii="Times New Roman" w:hAnsi="Times New Roman" w:cs="Times New Roman"/>
          <w:sz w:val="24"/>
          <w:szCs w:val="24"/>
        </w:rPr>
        <w:t>“</w:t>
      </w:r>
      <w:r w:rsidRPr="00E43DD6">
        <w:rPr>
          <w:rFonts w:ascii="Times New Roman" w:hAnsi="Times New Roman" w:cs="Times New Roman"/>
        </w:rPr>
        <w:t xml:space="preserve">Denial of </w:t>
      </w:r>
      <w:r w:rsidR="00B83F0D" w:rsidRPr="00E43DD6">
        <w:rPr>
          <w:rFonts w:ascii="Times New Roman" w:hAnsi="Times New Roman" w:cs="Times New Roman"/>
        </w:rPr>
        <w:t>management</w:t>
      </w:r>
      <w:r w:rsidRPr="00E43DD6">
        <w:rPr>
          <w:rFonts w:ascii="Times New Roman" w:hAnsi="Times New Roman" w:cs="Times New Roman"/>
        </w:rPr>
        <w:t xml:space="preserve"> function is not the subject of spoliatory relief. The court could not restore operations by way of a possessory interdict. </w:t>
      </w:r>
      <w:r w:rsidR="00B83F0D" w:rsidRPr="00E43DD6">
        <w:rPr>
          <w:rFonts w:ascii="Times New Roman" w:hAnsi="Times New Roman" w:cs="Times New Roman"/>
        </w:rPr>
        <w:t>No positive order was sought against it (second respondent). The application should be dismissed against second respondent. The dispute is between the shareholders.”</w:t>
      </w:r>
    </w:p>
    <w:p w14:paraId="05ACCA75" w14:textId="77777777" w:rsidR="00B83F0D" w:rsidRPr="00E43DD6" w:rsidRDefault="00B83F0D" w:rsidP="00E43DD6">
      <w:pPr>
        <w:spacing w:line="360" w:lineRule="auto"/>
        <w:jc w:val="both"/>
        <w:rPr>
          <w:rFonts w:ascii="Times New Roman" w:hAnsi="Times New Roman" w:cs="Times New Roman"/>
          <w:sz w:val="24"/>
          <w:szCs w:val="24"/>
        </w:rPr>
      </w:pPr>
    </w:p>
    <w:p w14:paraId="30689914" w14:textId="3AD91047" w:rsidR="00B83F0D" w:rsidRPr="00E43DD6" w:rsidRDefault="009B3549" w:rsidP="00E43DD6">
      <w:pPr>
        <w:spacing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THE LAW</w:t>
      </w:r>
    </w:p>
    <w:p w14:paraId="7717F731" w14:textId="5B63B948" w:rsidR="00B83F0D" w:rsidRPr="00E43DD6" w:rsidRDefault="00B83F0D"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granting of an application for leave to execute is largely a matter </w:t>
      </w:r>
      <w:r w:rsidR="00D84FF4" w:rsidRPr="00E43DD6">
        <w:rPr>
          <w:rFonts w:ascii="Times New Roman" w:hAnsi="Times New Roman" w:cs="Times New Roman"/>
          <w:sz w:val="24"/>
          <w:szCs w:val="24"/>
        </w:rPr>
        <w:t xml:space="preserve">within the court’s discretion. </w:t>
      </w:r>
      <w:r w:rsidR="00962894" w:rsidRPr="00E43DD6">
        <w:rPr>
          <w:rFonts w:ascii="Times New Roman" w:hAnsi="Times New Roman" w:cs="Times New Roman"/>
          <w:sz w:val="24"/>
          <w:szCs w:val="24"/>
        </w:rPr>
        <w:t>It is an equitable remedy</w:t>
      </w:r>
      <w:r w:rsidR="00D363D9" w:rsidRPr="00E43DD6">
        <w:rPr>
          <w:rFonts w:ascii="Times New Roman" w:hAnsi="Times New Roman" w:cs="Times New Roman"/>
          <w:sz w:val="24"/>
          <w:szCs w:val="24"/>
        </w:rPr>
        <w:t xml:space="preserve"> where the court carefully weighs all the pertinent factors.</w:t>
      </w:r>
      <w:r w:rsidR="00D84FF4" w:rsidRPr="00E43DD6">
        <w:rPr>
          <w:rFonts w:ascii="Times New Roman" w:hAnsi="Times New Roman" w:cs="Times New Roman"/>
          <w:sz w:val="24"/>
          <w:szCs w:val="24"/>
        </w:rPr>
        <w:t xml:space="preserve"> Each case therefore turns on its own peculiarities. In exercising its discretion, the court considers the </w:t>
      </w:r>
      <w:r w:rsidR="00A03707" w:rsidRPr="00E43DD6">
        <w:rPr>
          <w:rFonts w:ascii="Times New Roman" w:hAnsi="Times New Roman" w:cs="Times New Roman"/>
          <w:sz w:val="24"/>
          <w:szCs w:val="24"/>
        </w:rPr>
        <w:t>potentiality</w:t>
      </w:r>
      <w:r w:rsidR="00D84FF4" w:rsidRPr="00E43DD6">
        <w:rPr>
          <w:rFonts w:ascii="Times New Roman" w:hAnsi="Times New Roman" w:cs="Times New Roman"/>
          <w:sz w:val="24"/>
          <w:szCs w:val="24"/>
        </w:rPr>
        <w:t xml:space="preserve"> of </w:t>
      </w:r>
      <w:r w:rsidR="00A03707" w:rsidRPr="00E43DD6">
        <w:rPr>
          <w:rFonts w:ascii="Times New Roman" w:hAnsi="Times New Roman" w:cs="Times New Roman"/>
          <w:sz w:val="24"/>
          <w:szCs w:val="24"/>
        </w:rPr>
        <w:t>prejudice</w:t>
      </w:r>
      <w:r w:rsidR="00D84FF4" w:rsidRPr="00E43DD6">
        <w:rPr>
          <w:rFonts w:ascii="Times New Roman" w:hAnsi="Times New Roman" w:cs="Times New Roman"/>
          <w:sz w:val="24"/>
          <w:szCs w:val="24"/>
        </w:rPr>
        <w:t xml:space="preserve"> to the applicant if the relief is denied. I</w:t>
      </w:r>
      <w:r w:rsidR="00A03707" w:rsidRPr="00E43DD6">
        <w:rPr>
          <w:rFonts w:ascii="Times New Roman" w:hAnsi="Times New Roman" w:cs="Times New Roman"/>
          <w:sz w:val="24"/>
          <w:szCs w:val="24"/>
        </w:rPr>
        <w:t>t</w:t>
      </w:r>
      <w:r w:rsidR="00D84FF4" w:rsidRPr="00E43DD6">
        <w:rPr>
          <w:rFonts w:ascii="Times New Roman" w:hAnsi="Times New Roman" w:cs="Times New Roman"/>
          <w:sz w:val="24"/>
          <w:szCs w:val="24"/>
        </w:rPr>
        <w:t xml:space="preserve"> also balances this </w:t>
      </w:r>
      <w:r w:rsidR="00D14779" w:rsidRPr="00E43DD6">
        <w:rPr>
          <w:rFonts w:ascii="Times New Roman" w:hAnsi="Times New Roman" w:cs="Times New Roman"/>
          <w:sz w:val="24"/>
          <w:szCs w:val="24"/>
        </w:rPr>
        <w:t>against</w:t>
      </w:r>
      <w:r w:rsidR="00D84FF4" w:rsidRPr="00E43DD6">
        <w:rPr>
          <w:rFonts w:ascii="Times New Roman" w:hAnsi="Times New Roman" w:cs="Times New Roman"/>
          <w:sz w:val="24"/>
          <w:szCs w:val="24"/>
        </w:rPr>
        <w:t xml:space="preserve"> the </w:t>
      </w:r>
      <w:r w:rsidR="00A03707" w:rsidRPr="00E43DD6">
        <w:rPr>
          <w:rFonts w:ascii="Times New Roman" w:hAnsi="Times New Roman" w:cs="Times New Roman"/>
          <w:sz w:val="24"/>
          <w:szCs w:val="24"/>
        </w:rPr>
        <w:t>potentiality</w:t>
      </w:r>
      <w:r w:rsidR="00D84FF4" w:rsidRPr="00E43DD6">
        <w:rPr>
          <w:rFonts w:ascii="Times New Roman" w:hAnsi="Times New Roman" w:cs="Times New Roman"/>
          <w:sz w:val="24"/>
          <w:szCs w:val="24"/>
        </w:rPr>
        <w:t xml:space="preserve"> of </w:t>
      </w:r>
      <w:r w:rsidR="00A03707" w:rsidRPr="00E43DD6">
        <w:rPr>
          <w:rFonts w:ascii="Times New Roman" w:hAnsi="Times New Roman" w:cs="Times New Roman"/>
          <w:sz w:val="24"/>
          <w:szCs w:val="24"/>
        </w:rPr>
        <w:t xml:space="preserve">prejudice to the respondent if the relief is granted. </w:t>
      </w:r>
    </w:p>
    <w:p w14:paraId="34E63863" w14:textId="684475BD" w:rsidR="005B5AD2" w:rsidRPr="00E43DD6" w:rsidRDefault="005B5AD2"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Very often, the court is called upon to do a fine balancing act between competing rights that are equally protected by the law. On the one hand, the party armed with an order in its favour is entitled to enforce that order. </w:t>
      </w:r>
      <w:r w:rsidR="00F847D9" w:rsidRPr="00E43DD6">
        <w:rPr>
          <w:rFonts w:ascii="Times New Roman" w:hAnsi="Times New Roman" w:cs="Times New Roman"/>
          <w:sz w:val="24"/>
          <w:szCs w:val="24"/>
        </w:rPr>
        <w:t>Execution is the</w:t>
      </w:r>
      <w:r w:rsidRPr="00E43DD6">
        <w:rPr>
          <w:rFonts w:ascii="Times New Roman" w:hAnsi="Times New Roman" w:cs="Times New Roman"/>
          <w:sz w:val="24"/>
          <w:szCs w:val="24"/>
        </w:rPr>
        <w:t xml:space="preserve"> next logical step to take after obtaining a court order</w:t>
      </w:r>
      <w:r w:rsidR="00F847D9" w:rsidRPr="00E43DD6">
        <w:rPr>
          <w:rFonts w:ascii="Times New Roman" w:hAnsi="Times New Roman" w:cs="Times New Roman"/>
          <w:sz w:val="24"/>
          <w:szCs w:val="24"/>
        </w:rPr>
        <w:t>. It is not a trophy won merely for display and admiration.</w:t>
      </w:r>
    </w:p>
    <w:p w14:paraId="58C96019" w14:textId="3334BC5C" w:rsidR="00962894" w:rsidRPr="00E43DD6" w:rsidRDefault="00F847D9"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On the other hand, </w:t>
      </w:r>
      <w:r w:rsidR="00C55175" w:rsidRPr="00E43DD6">
        <w:rPr>
          <w:rFonts w:ascii="Times New Roman" w:hAnsi="Times New Roman" w:cs="Times New Roman"/>
          <w:sz w:val="24"/>
          <w:szCs w:val="24"/>
        </w:rPr>
        <w:t>the party against whom the order operates, if aggrieved, has the right to appeal. If they exercise that right and note an appeal, such appeal may be rendered academic if execution is carried out and results in irr</w:t>
      </w:r>
      <w:r w:rsidR="009928BE" w:rsidRPr="00E43DD6">
        <w:rPr>
          <w:rFonts w:ascii="Times New Roman" w:hAnsi="Times New Roman" w:cs="Times New Roman"/>
          <w:sz w:val="24"/>
          <w:szCs w:val="24"/>
        </w:rPr>
        <w:t>eversible consequences. Thus, prospects of the appeal succeeding become a significant factor, together with the other factors, when considering whether or not execution should go ahead.</w:t>
      </w:r>
      <w:r w:rsidR="00D363D9" w:rsidRPr="00E43DD6">
        <w:rPr>
          <w:rFonts w:ascii="Times New Roman" w:hAnsi="Times New Roman" w:cs="Times New Roman"/>
          <w:sz w:val="24"/>
          <w:szCs w:val="24"/>
        </w:rPr>
        <w:t xml:space="preserve"> In the case of</w:t>
      </w:r>
      <w:r w:rsidR="00D363D9" w:rsidRPr="00E43DD6">
        <w:rPr>
          <w:rFonts w:ascii="Times New Roman" w:hAnsi="Times New Roman" w:cs="Times New Roman"/>
          <w:i/>
          <w:iCs/>
          <w:sz w:val="24"/>
          <w:szCs w:val="24"/>
        </w:rPr>
        <w:t xml:space="preserve"> Industrial Development Authority v Reggie Francis Saruchera</w:t>
      </w:r>
      <w:r w:rsidR="00D363D9" w:rsidRPr="00E43DD6">
        <w:rPr>
          <w:rFonts w:ascii="Times New Roman" w:hAnsi="Times New Roman" w:cs="Times New Roman"/>
          <w:sz w:val="24"/>
          <w:szCs w:val="24"/>
        </w:rPr>
        <w:t xml:space="preserve">, HH 129/06, </w:t>
      </w:r>
      <w:r w:rsidR="00D363D9" w:rsidRPr="00E43DD6">
        <w:rPr>
          <w:rFonts w:ascii="Times New Roman" w:hAnsi="Times New Roman" w:cs="Times New Roman"/>
          <w:smallCaps/>
          <w:sz w:val="24"/>
          <w:szCs w:val="24"/>
        </w:rPr>
        <w:t>BHUNU</w:t>
      </w:r>
      <w:r w:rsidR="00D363D9" w:rsidRPr="00E43DD6">
        <w:rPr>
          <w:rFonts w:ascii="Times New Roman" w:hAnsi="Times New Roman" w:cs="Times New Roman"/>
          <w:sz w:val="24"/>
          <w:szCs w:val="24"/>
        </w:rPr>
        <w:t xml:space="preserve"> J (as he then was)</w:t>
      </w:r>
      <w:r w:rsidR="004E5CA6" w:rsidRPr="00E43DD6">
        <w:rPr>
          <w:rFonts w:ascii="Times New Roman" w:hAnsi="Times New Roman" w:cs="Times New Roman"/>
          <w:sz w:val="24"/>
          <w:szCs w:val="24"/>
        </w:rPr>
        <w:t>, stated, at p 4-5:</w:t>
      </w:r>
    </w:p>
    <w:p w14:paraId="2DAF9B79" w14:textId="1C649178" w:rsidR="00962894" w:rsidRPr="00E43DD6" w:rsidRDefault="00962894" w:rsidP="00E43DD6">
      <w:pPr>
        <w:spacing w:line="240" w:lineRule="auto"/>
        <w:ind w:left="1440"/>
        <w:jc w:val="both"/>
        <w:rPr>
          <w:rFonts w:ascii="Times New Roman" w:hAnsi="Times New Roman" w:cs="Times New Roman"/>
        </w:rPr>
      </w:pPr>
      <w:r w:rsidRPr="00E43DD6">
        <w:rPr>
          <w:rFonts w:ascii="Times New Roman" w:hAnsi="Times New Roman" w:cs="Times New Roman"/>
        </w:rPr>
        <w:t xml:space="preserve">“It is trite that the noting of an appeal automatically suspends the decision appealed against.  This is however a rule of practice rather than a rule of law such that the court has discretion as to whether or not to grant leave to execute pending appeal.  It is an equitable remedy where the court is constrained to weigh the balance of convenience.  </w:t>
      </w:r>
      <w:r w:rsidRPr="00E43DD6">
        <w:rPr>
          <w:rFonts w:ascii="Times New Roman" w:hAnsi="Times New Roman" w:cs="Times New Roman"/>
        </w:rPr>
        <w:lastRenderedPageBreak/>
        <w:t xml:space="preserve">The parameters for consideration were laid down by BLACKIE J in </w:t>
      </w:r>
      <w:r w:rsidRPr="00E43DD6">
        <w:rPr>
          <w:rFonts w:ascii="Times New Roman" w:hAnsi="Times New Roman" w:cs="Times New Roman"/>
          <w:i/>
        </w:rPr>
        <w:t>Tranos Toziva v Rodney</w:t>
      </w:r>
      <w:r w:rsidRPr="00E43DD6">
        <w:rPr>
          <w:rFonts w:ascii="Times New Roman" w:hAnsi="Times New Roman" w:cs="Times New Roman"/>
        </w:rPr>
        <w:t xml:space="preserve"> HC B 116-89 as including:</w:t>
      </w:r>
    </w:p>
    <w:p w14:paraId="44EC4686" w14:textId="77777777" w:rsidR="00962894" w:rsidRPr="00E43DD6" w:rsidRDefault="00962894" w:rsidP="00E43DD6">
      <w:pPr>
        <w:spacing w:line="240" w:lineRule="auto"/>
        <w:ind w:left="1440"/>
        <w:jc w:val="both"/>
        <w:rPr>
          <w:rFonts w:ascii="Times New Roman" w:hAnsi="Times New Roman" w:cs="Times New Roman"/>
        </w:rPr>
      </w:pPr>
      <w:r w:rsidRPr="00E43DD6">
        <w:rPr>
          <w:rFonts w:ascii="Times New Roman" w:hAnsi="Times New Roman" w:cs="Times New Roman"/>
        </w:rPr>
        <w:t>“1.</w:t>
      </w:r>
      <w:r w:rsidRPr="00E43DD6">
        <w:rPr>
          <w:rFonts w:ascii="Times New Roman" w:hAnsi="Times New Roman" w:cs="Times New Roman"/>
        </w:rPr>
        <w:tab/>
        <w:t xml:space="preserve">The potentiality of irreparable harm or prejudice sustained by the appellant on appeal (The respondent in the application) if leave to execute were to be granted. </w:t>
      </w:r>
    </w:p>
    <w:p w14:paraId="375A6D27" w14:textId="77777777" w:rsidR="00962894" w:rsidRPr="00E43DD6" w:rsidRDefault="00962894" w:rsidP="00E43DD6">
      <w:pPr>
        <w:spacing w:line="240" w:lineRule="auto"/>
        <w:ind w:left="1440" w:hanging="720"/>
        <w:jc w:val="both"/>
        <w:rPr>
          <w:rFonts w:ascii="Times New Roman" w:hAnsi="Times New Roman" w:cs="Times New Roman"/>
        </w:rPr>
      </w:pPr>
    </w:p>
    <w:p w14:paraId="43603607" w14:textId="3A1FE128" w:rsidR="00962894" w:rsidRPr="00E43DD6" w:rsidRDefault="00962894" w:rsidP="00E43DD6">
      <w:pPr>
        <w:spacing w:line="240" w:lineRule="auto"/>
        <w:ind w:left="1440"/>
        <w:jc w:val="both"/>
        <w:rPr>
          <w:rFonts w:ascii="Times New Roman" w:hAnsi="Times New Roman" w:cs="Times New Roman"/>
        </w:rPr>
      </w:pPr>
      <w:r w:rsidRPr="00E43DD6">
        <w:rPr>
          <w:rFonts w:ascii="Times New Roman" w:hAnsi="Times New Roman" w:cs="Times New Roman"/>
        </w:rPr>
        <w:t>2.</w:t>
      </w:r>
      <w:r w:rsidR="00E43DD6">
        <w:rPr>
          <w:rFonts w:ascii="Times New Roman" w:hAnsi="Times New Roman" w:cs="Times New Roman"/>
        </w:rPr>
        <w:t>T</w:t>
      </w:r>
      <w:r w:rsidRPr="00E43DD6">
        <w:rPr>
          <w:rFonts w:ascii="Times New Roman" w:hAnsi="Times New Roman" w:cs="Times New Roman"/>
        </w:rPr>
        <w:t>he potentiality of irreparable harm or prejudice being sustained by the respondent (applicant in the application) if leave to execute were to be refused.</w:t>
      </w:r>
    </w:p>
    <w:p w14:paraId="36EE1E33" w14:textId="740D9E5C" w:rsidR="00962894" w:rsidRPr="00E43DD6" w:rsidRDefault="00962894" w:rsidP="00E43DD6">
      <w:pPr>
        <w:spacing w:line="240" w:lineRule="auto"/>
        <w:ind w:left="1440"/>
        <w:jc w:val="both"/>
        <w:rPr>
          <w:rFonts w:ascii="Times New Roman" w:hAnsi="Times New Roman" w:cs="Times New Roman"/>
        </w:rPr>
      </w:pPr>
      <w:r w:rsidRPr="00E43DD6">
        <w:rPr>
          <w:rFonts w:ascii="Times New Roman" w:hAnsi="Times New Roman" w:cs="Times New Roman"/>
        </w:rPr>
        <w:t xml:space="preserve">3.The prospects of success on appeal, including more particularly the question as to whether the appeal is frivolous or vexatious or has been noted not with the </w:t>
      </w:r>
      <w:r w:rsidRPr="00E43DD6">
        <w:rPr>
          <w:rFonts w:ascii="Times New Roman" w:hAnsi="Times New Roman" w:cs="Times New Roman"/>
          <w:i/>
        </w:rPr>
        <w:t>bona fide</w:t>
      </w:r>
      <w:r w:rsidRPr="00E43DD6">
        <w:rPr>
          <w:rFonts w:ascii="Times New Roman" w:hAnsi="Times New Roman" w:cs="Times New Roman"/>
        </w:rPr>
        <w:t xml:space="preserve"> intention of seeking to reverse the judgment but with some indirect purpose to gain time or to harass the other party.</w:t>
      </w:r>
    </w:p>
    <w:p w14:paraId="47E9C386" w14:textId="79A89A7D" w:rsidR="00962894" w:rsidRPr="00E43DD6" w:rsidRDefault="00962894" w:rsidP="00E43DD6">
      <w:pPr>
        <w:spacing w:line="240" w:lineRule="auto"/>
        <w:ind w:left="1440"/>
        <w:jc w:val="both"/>
        <w:rPr>
          <w:rFonts w:ascii="Times New Roman" w:hAnsi="Times New Roman" w:cs="Times New Roman"/>
        </w:rPr>
      </w:pPr>
      <w:r w:rsidRPr="00E43DD6">
        <w:rPr>
          <w:rFonts w:ascii="Times New Roman" w:hAnsi="Times New Roman" w:cs="Times New Roman"/>
        </w:rPr>
        <w:t>4.Where there is the potentiality of irreparable harm or prejudice to both the appellant and the respondent, the balance of hardship or convenience as the case may be.”</w:t>
      </w:r>
    </w:p>
    <w:p w14:paraId="7BF5B672" w14:textId="543BB687" w:rsidR="004E5CA6" w:rsidRPr="00E43DD6" w:rsidRDefault="00962894" w:rsidP="00E43DD6">
      <w:pPr>
        <w:spacing w:line="360" w:lineRule="auto"/>
        <w:ind w:left="1440"/>
        <w:jc w:val="both"/>
        <w:rPr>
          <w:rFonts w:ascii="Times New Roman" w:hAnsi="Times New Roman" w:cs="Times New Roman"/>
          <w:sz w:val="24"/>
          <w:szCs w:val="24"/>
        </w:rPr>
      </w:pPr>
      <w:r w:rsidRPr="00E43DD6">
        <w:rPr>
          <w:rFonts w:ascii="Times New Roman" w:hAnsi="Times New Roman" w:cs="Times New Roman"/>
          <w:sz w:val="24"/>
          <w:szCs w:val="24"/>
        </w:rPr>
        <w:t>The applicant bears the onus of establishing that the court should exercise its discretion in its favour.”</w:t>
      </w:r>
    </w:p>
    <w:p w14:paraId="4A8124DE" w14:textId="3E9BC3F5" w:rsidR="00F847D9" w:rsidRPr="00E43DD6" w:rsidRDefault="004E5CA6" w:rsidP="00E43DD6">
      <w:pPr>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In</w:t>
      </w:r>
      <w:r w:rsidRPr="00E43DD6">
        <w:rPr>
          <w:rFonts w:ascii="Times New Roman" w:hAnsi="Times New Roman" w:cs="Times New Roman"/>
          <w:i/>
          <w:iCs/>
          <w:sz w:val="24"/>
          <w:szCs w:val="24"/>
        </w:rPr>
        <w:t xml:space="preserve"> CMED (Pvt) Ltd</w:t>
      </w:r>
      <w:r w:rsidRPr="00E43DD6">
        <w:rPr>
          <w:rFonts w:ascii="Times New Roman" w:hAnsi="Times New Roman" w:cs="Times New Roman"/>
          <w:sz w:val="24"/>
          <w:szCs w:val="24"/>
        </w:rPr>
        <w:t xml:space="preserve"> v</w:t>
      </w:r>
      <w:r w:rsidRPr="00E43DD6">
        <w:rPr>
          <w:rFonts w:ascii="Times New Roman" w:hAnsi="Times New Roman" w:cs="Times New Roman"/>
          <w:i/>
          <w:iCs/>
          <w:sz w:val="24"/>
          <w:szCs w:val="24"/>
        </w:rPr>
        <w:t xml:space="preserve"> First Oil Company (Pvt) Ltd</w:t>
      </w:r>
      <w:r w:rsidRPr="00E43DD6">
        <w:rPr>
          <w:rFonts w:ascii="Times New Roman" w:hAnsi="Times New Roman" w:cs="Times New Roman"/>
          <w:sz w:val="24"/>
          <w:szCs w:val="24"/>
        </w:rPr>
        <w:t xml:space="preserve">, </w:t>
      </w:r>
      <w:r w:rsidR="00E43DD6" w:rsidRPr="00E43DD6">
        <w:rPr>
          <w:rFonts w:ascii="Times New Roman" w:hAnsi="Times New Roman" w:cs="Times New Roman"/>
          <w:smallCaps/>
          <w:sz w:val="24"/>
          <w:szCs w:val="24"/>
        </w:rPr>
        <w:t>musithu</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 xml:space="preserve">J was seized with the same issue. I fully associate myself with the remarks </w:t>
      </w:r>
      <w:r w:rsidR="00F36A05" w:rsidRPr="00E43DD6">
        <w:rPr>
          <w:rFonts w:ascii="Times New Roman" w:hAnsi="Times New Roman" w:cs="Times New Roman"/>
          <w:sz w:val="24"/>
          <w:szCs w:val="24"/>
        </w:rPr>
        <w:t>made by the learned judge, at p7:</w:t>
      </w:r>
    </w:p>
    <w:p w14:paraId="06218346" w14:textId="0CA17EF3" w:rsidR="008173A1" w:rsidRPr="00E43DD6" w:rsidRDefault="008173A1" w:rsidP="00E43DD6">
      <w:pPr>
        <w:spacing w:after="0" w:line="240" w:lineRule="auto"/>
        <w:ind w:left="720"/>
        <w:jc w:val="both"/>
        <w:rPr>
          <w:rFonts w:ascii="Times New Roman" w:hAnsi="Times New Roman" w:cs="Times New Roman"/>
        </w:rPr>
      </w:pPr>
      <w:r w:rsidRPr="00E43DD6">
        <w:rPr>
          <w:rFonts w:ascii="Times New Roman" w:hAnsi="Times New Roman" w:cs="Times New Roman"/>
        </w:rPr>
        <w:t xml:space="preserve">“The legal principles that are considered in applications of this nature have been traversed in numerous decisions of the superior courts. In </w:t>
      </w:r>
      <w:r w:rsidRPr="00E43DD6">
        <w:rPr>
          <w:rFonts w:ascii="Times New Roman" w:hAnsi="Times New Roman" w:cs="Times New Roman"/>
          <w:i/>
        </w:rPr>
        <w:t xml:space="preserve">Trustco Mobile (Pty) Ltd &amp; Ano </w:t>
      </w:r>
      <w:r w:rsidRPr="00E43DD6">
        <w:rPr>
          <w:rFonts w:ascii="Times New Roman" w:hAnsi="Times New Roman" w:cs="Times New Roman"/>
          <w:iCs/>
        </w:rPr>
        <w:t xml:space="preserve">v </w:t>
      </w:r>
      <w:r w:rsidRPr="00E43DD6">
        <w:rPr>
          <w:rFonts w:ascii="Times New Roman" w:hAnsi="Times New Roman" w:cs="Times New Roman"/>
          <w:i/>
        </w:rPr>
        <w:t>Econt Wireless (Pvt) Ltd &amp; Ano</w:t>
      </w:r>
      <w:r w:rsidRPr="00E43DD6">
        <w:rPr>
          <w:rStyle w:val="FootnoteReference"/>
          <w:rFonts w:ascii="Times New Roman" w:hAnsi="Times New Roman" w:cs="Times New Roman"/>
          <w:i/>
        </w:rPr>
        <w:footnoteReference w:id="1"/>
      </w:r>
      <w:r w:rsidRPr="00E43DD6">
        <w:rPr>
          <w:rFonts w:ascii="Times New Roman" w:hAnsi="Times New Roman" w:cs="Times New Roman"/>
        </w:rPr>
        <w:t xml:space="preserve">, </w:t>
      </w:r>
      <w:r w:rsidRPr="00E43DD6">
        <w:rPr>
          <w:rFonts w:ascii="Times New Roman" w:hAnsi="Times New Roman" w:cs="Times New Roman"/>
          <w:smallCaps/>
        </w:rPr>
        <w:t>Mavangira J</w:t>
      </w:r>
      <w:r w:rsidRPr="00E43DD6">
        <w:rPr>
          <w:rFonts w:ascii="Times New Roman" w:hAnsi="Times New Roman" w:cs="Times New Roman"/>
        </w:rPr>
        <w:t xml:space="preserve"> (as she then was) set them out as follows:</w:t>
      </w:r>
    </w:p>
    <w:p w14:paraId="4EB5C44F" w14:textId="77777777" w:rsidR="008173A1" w:rsidRPr="00E43DD6" w:rsidRDefault="008173A1" w:rsidP="00E43DD6">
      <w:pPr>
        <w:pStyle w:val="NoSpacing"/>
        <w:ind w:firstLine="720"/>
        <w:jc w:val="both"/>
        <w:rPr>
          <w:rFonts w:ascii="Times New Roman" w:hAnsi="Times New Roman" w:cs="Times New Roman"/>
        </w:rPr>
      </w:pPr>
      <w:r w:rsidRPr="00E43DD6">
        <w:rPr>
          <w:rFonts w:ascii="Times New Roman" w:hAnsi="Times New Roman" w:cs="Times New Roman"/>
        </w:rPr>
        <w:t xml:space="preserve">“In </w:t>
      </w:r>
      <w:r w:rsidRPr="00E43DD6">
        <w:rPr>
          <w:rFonts w:ascii="Times New Roman" w:hAnsi="Times New Roman" w:cs="Times New Roman"/>
          <w:i/>
        </w:rPr>
        <w:t xml:space="preserve">Whata </w:t>
      </w:r>
      <w:r w:rsidRPr="00E43DD6">
        <w:rPr>
          <w:rFonts w:ascii="Times New Roman" w:hAnsi="Times New Roman" w:cs="Times New Roman"/>
          <w:iCs/>
        </w:rPr>
        <w:t>v</w:t>
      </w:r>
      <w:r w:rsidRPr="00E43DD6">
        <w:rPr>
          <w:rFonts w:ascii="Times New Roman" w:hAnsi="Times New Roman" w:cs="Times New Roman"/>
          <w:i/>
        </w:rPr>
        <w:t xml:space="preserve"> Whata</w:t>
      </w:r>
      <w:r w:rsidRPr="00E43DD6">
        <w:rPr>
          <w:rFonts w:ascii="Times New Roman" w:hAnsi="Times New Roman" w:cs="Times New Roman"/>
        </w:rPr>
        <w:t xml:space="preserve"> 1994 (2) ZLR 277 (S) at 281 B-C </w:t>
      </w:r>
      <w:r w:rsidRPr="00E43DD6">
        <w:rPr>
          <w:rFonts w:ascii="Times New Roman" w:hAnsi="Times New Roman" w:cs="Times New Roman"/>
          <w:smallCaps/>
        </w:rPr>
        <w:t>Gubbay CJ</w:t>
      </w:r>
      <w:r w:rsidRPr="00E43DD6">
        <w:rPr>
          <w:rFonts w:ascii="Times New Roman" w:hAnsi="Times New Roman" w:cs="Times New Roman"/>
        </w:rPr>
        <w:t xml:space="preserve"> stated:</w:t>
      </w:r>
    </w:p>
    <w:p w14:paraId="2E38E72A" w14:textId="77777777" w:rsidR="008173A1" w:rsidRPr="00E43DD6" w:rsidRDefault="008173A1" w:rsidP="00E43DD6">
      <w:pPr>
        <w:pStyle w:val="NoSpacing"/>
        <w:spacing w:after="240"/>
        <w:ind w:left="720"/>
        <w:jc w:val="both"/>
        <w:rPr>
          <w:rFonts w:ascii="Times New Roman" w:hAnsi="Times New Roman" w:cs="Times New Roman"/>
        </w:rPr>
      </w:pPr>
      <w:r w:rsidRPr="00E43DD6">
        <w:rPr>
          <w:rFonts w:ascii="Times New Roman" w:hAnsi="Times New Roman" w:cs="Times New Roman"/>
        </w:rPr>
        <w:t>‘The principle to be applied by the court considering the grant of an application for leave to execute on a judgment under appeal is what is just and equitable in all circumstances. The enquiry normally involves assessing such factors as: the</w:t>
      </w:r>
      <w:r w:rsidRPr="00E43DD6">
        <w:rPr>
          <w:rFonts w:ascii="Times New Roman" w:hAnsi="Times New Roman" w:cs="Times New Roman"/>
          <w:b/>
        </w:rPr>
        <w:t xml:space="preserve"> </w:t>
      </w:r>
      <w:r w:rsidRPr="00E43DD6">
        <w:rPr>
          <w:rFonts w:ascii="Times New Roman" w:hAnsi="Times New Roman" w:cs="Times New Roman"/>
        </w:rPr>
        <w:t xml:space="preserve">potentiality of irreparable harm or prejudice being sustained by either the successful or the losing party, and, if by both, the balance of hardship or convenience; and the prospects of success on appeal, including whether the appeal is frivolous or vexations or has been noted for some indirect purpose, such as to gain time or harass the other party. See the </w:t>
      </w:r>
      <w:r w:rsidRPr="00E43DD6">
        <w:rPr>
          <w:rFonts w:ascii="Times New Roman" w:hAnsi="Times New Roman" w:cs="Times New Roman"/>
          <w:i/>
        </w:rPr>
        <w:t>South Cape Corporation</w:t>
      </w:r>
      <w:r w:rsidRPr="00E43DD6">
        <w:rPr>
          <w:rFonts w:ascii="Times New Roman" w:hAnsi="Times New Roman" w:cs="Times New Roman"/>
        </w:rPr>
        <w:t xml:space="preserve"> case supra at 545 E-G.’ (</w:t>
      </w:r>
      <w:r w:rsidRPr="00E43DD6">
        <w:rPr>
          <w:rFonts w:ascii="Times New Roman" w:hAnsi="Times New Roman" w:cs="Times New Roman"/>
          <w:i/>
        </w:rPr>
        <w:t xml:space="preserve">South Cape Corporation (Pty) Ltd Eng Mgmt Svcs (Pty) Ltd </w:t>
      </w:r>
      <w:r w:rsidRPr="00E43DD6">
        <w:rPr>
          <w:rFonts w:ascii="Times New Roman" w:hAnsi="Times New Roman" w:cs="Times New Roman"/>
        </w:rPr>
        <w:t>1997 (3) SA 534 (A)’.”</w:t>
      </w:r>
    </w:p>
    <w:p w14:paraId="5808EF47" w14:textId="77777777" w:rsidR="008173A1" w:rsidRPr="00E43DD6" w:rsidRDefault="008173A1" w:rsidP="00E43DD6">
      <w:pPr>
        <w:pStyle w:val="NoSpacing"/>
        <w:spacing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The court further stated as follows:</w:t>
      </w:r>
    </w:p>
    <w:p w14:paraId="69D05965" w14:textId="77777777" w:rsidR="008173A1" w:rsidRPr="00E43DD6" w:rsidRDefault="008173A1" w:rsidP="00E43DD6">
      <w:pPr>
        <w:pStyle w:val="NoSpacing"/>
        <w:ind w:left="720"/>
        <w:jc w:val="both"/>
        <w:rPr>
          <w:rFonts w:ascii="Times New Roman" w:hAnsi="Times New Roman" w:cs="Times New Roman"/>
        </w:rPr>
      </w:pPr>
      <w:r w:rsidRPr="00E43DD6">
        <w:rPr>
          <w:rFonts w:ascii="Times New Roman" w:hAnsi="Times New Roman" w:cs="Times New Roman"/>
        </w:rPr>
        <w:t xml:space="preserve">“In </w:t>
      </w:r>
      <w:r w:rsidRPr="00E43DD6">
        <w:rPr>
          <w:rFonts w:ascii="Times New Roman" w:hAnsi="Times New Roman" w:cs="Times New Roman"/>
          <w:i/>
        </w:rPr>
        <w:t xml:space="preserve">Econet </w:t>
      </w:r>
      <w:r w:rsidRPr="00E43DD6">
        <w:rPr>
          <w:rFonts w:ascii="Times New Roman" w:hAnsi="Times New Roman" w:cs="Times New Roman"/>
          <w:iCs/>
        </w:rPr>
        <w:t>v</w:t>
      </w:r>
      <w:r w:rsidRPr="00E43DD6">
        <w:rPr>
          <w:rFonts w:ascii="Times New Roman" w:hAnsi="Times New Roman" w:cs="Times New Roman"/>
          <w:i/>
        </w:rPr>
        <w:t xml:space="preserve"> Telecel Zimbabwe (Pvt) Ltd</w:t>
      </w:r>
      <w:r w:rsidRPr="00E43DD6">
        <w:rPr>
          <w:rFonts w:ascii="Times New Roman" w:hAnsi="Times New Roman" w:cs="Times New Roman"/>
        </w:rPr>
        <w:t xml:space="preserve"> 1998 (1) ZLR 149 (H) </w:t>
      </w:r>
      <w:r w:rsidRPr="00E43DD6">
        <w:rPr>
          <w:rFonts w:ascii="Times New Roman" w:hAnsi="Times New Roman" w:cs="Times New Roman"/>
          <w:smallCaps/>
        </w:rPr>
        <w:t>Smith J</w:t>
      </w:r>
      <w:r w:rsidRPr="00E43DD6">
        <w:rPr>
          <w:rFonts w:ascii="Times New Roman" w:hAnsi="Times New Roman" w:cs="Times New Roman"/>
        </w:rPr>
        <w:t xml:space="preserve"> articulated the same principle at 154F-9 as follows:</w:t>
      </w:r>
    </w:p>
    <w:p w14:paraId="79027964" w14:textId="77777777" w:rsidR="008173A1" w:rsidRPr="00E43DD6" w:rsidRDefault="008173A1" w:rsidP="00E43DD6">
      <w:pPr>
        <w:pStyle w:val="NoSpacing"/>
        <w:spacing w:after="240"/>
        <w:ind w:left="720"/>
        <w:jc w:val="both"/>
        <w:rPr>
          <w:rFonts w:ascii="Times New Roman" w:hAnsi="Times New Roman" w:cs="Times New Roman"/>
        </w:rPr>
      </w:pPr>
      <w:r w:rsidRPr="00E43DD6">
        <w:rPr>
          <w:rFonts w:ascii="Times New Roman" w:hAnsi="Times New Roman" w:cs="Times New Roman"/>
        </w:rPr>
        <w:t xml:space="preserve">“In determining an application for leave to execute pending an appeal, the court must have regard to the “preponderance of equities”, the prospects of success on the part of the appellant and whether the appeal has been noted without “the </w:t>
      </w:r>
      <w:r w:rsidRPr="00E43DD6">
        <w:rPr>
          <w:rFonts w:ascii="Times New Roman" w:hAnsi="Times New Roman" w:cs="Times New Roman"/>
          <w:i/>
        </w:rPr>
        <w:t>bona fide</w:t>
      </w:r>
      <w:r w:rsidRPr="00E43DD6">
        <w:rPr>
          <w:rFonts w:ascii="Times New Roman" w:hAnsi="Times New Roman" w:cs="Times New Roman"/>
        </w:rPr>
        <w:t xml:space="preserve"> intention of seeking to reverse the judgment but for some indirect purpose e.g. to gain time or to harass the other party”: see </w:t>
      </w:r>
      <w:r w:rsidRPr="00E43DD6">
        <w:rPr>
          <w:rFonts w:ascii="Times New Roman" w:hAnsi="Times New Roman" w:cs="Times New Roman"/>
          <w:i/>
        </w:rPr>
        <w:t xml:space="preserve">Fox and Carney (Pvt) Ltd </w:t>
      </w:r>
      <w:r w:rsidRPr="00E43DD6">
        <w:rPr>
          <w:rFonts w:ascii="Times New Roman" w:hAnsi="Times New Roman" w:cs="Times New Roman"/>
          <w:iCs/>
        </w:rPr>
        <w:t>v</w:t>
      </w:r>
      <w:r w:rsidRPr="00E43DD6">
        <w:rPr>
          <w:rFonts w:ascii="Times New Roman" w:hAnsi="Times New Roman" w:cs="Times New Roman"/>
          <w:i/>
        </w:rPr>
        <w:t xml:space="preserve"> Carthew-Gabriel (2</w:t>
      </w:r>
      <w:r w:rsidRPr="00E43DD6">
        <w:rPr>
          <w:rFonts w:ascii="Times New Roman" w:hAnsi="Times New Roman" w:cs="Times New Roman"/>
        </w:rPr>
        <w:t xml:space="preserve">) 1997 (4) SA 970 (R) and </w:t>
      </w:r>
      <w:r w:rsidRPr="00E43DD6">
        <w:rPr>
          <w:rFonts w:ascii="Times New Roman" w:hAnsi="Times New Roman" w:cs="Times New Roman"/>
          <w:i/>
        </w:rPr>
        <w:t xml:space="preserve">ZDECO (Pvt) Ltd </w:t>
      </w:r>
      <w:r w:rsidRPr="00E43DD6">
        <w:rPr>
          <w:rFonts w:ascii="Times New Roman" w:hAnsi="Times New Roman" w:cs="Times New Roman"/>
          <w:iCs/>
        </w:rPr>
        <w:t>v</w:t>
      </w:r>
      <w:r w:rsidRPr="00E43DD6">
        <w:rPr>
          <w:rFonts w:ascii="Times New Roman" w:hAnsi="Times New Roman" w:cs="Times New Roman"/>
        </w:rPr>
        <w:t xml:space="preserve"> </w:t>
      </w:r>
      <w:r w:rsidRPr="00E43DD6">
        <w:rPr>
          <w:rFonts w:ascii="Times New Roman" w:hAnsi="Times New Roman" w:cs="Times New Roman"/>
          <w:i/>
        </w:rPr>
        <w:t>Commercial Careers College (1980) (Pvt) Ltd</w:t>
      </w:r>
      <w:r w:rsidRPr="00E43DD6">
        <w:rPr>
          <w:rFonts w:ascii="Times New Roman" w:hAnsi="Times New Roman" w:cs="Times New Roman"/>
        </w:rPr>
        <w:t xml:space="preserve"> 1991 (2) ZLR 61 (H).”</w:t>
      </w:r>
      <w:r w:rsidRPr="00E43DD6">
        <w:rPr>
          <w:rStyle w:val="FootnoteReference"/>
          <w:rFonts w:ascii="Times New Roman" w:hAnsi="Times New Roman" w:cs="Times New Roman"/>
        </w:rPr>
        <w:footnoteReference w:id="2"/>
      </w:r>
    </w:p>
    <w:p w14:paraId="3C610BE3" w14:textId="7211CDA4" w:rsidR="00F36A05" w:rsidRPr="003919A8" w:rsidRDefault="008173A1" w:rsidP="003919A8">
      <w:pPr>
        <w:spacing w:after="0" w:line="240" w:lineRule="auto"/>
        <w:ind w:left="720"/>
        <w:jc w:val="both"/>
        <w:rPr>
          <w:rFonts w:ascii="Times New Roman" w:hAnsi="Times New Roman" w:cs="Times New Roman"/>
        </w:rPr>
      </w:pPr>
      <w:r w:rsidRPr="003919A8">
        <w:rPr>
          <w:rFonts w:ascii="Times New Roman" w:hAnsi="Times New Roman" w:cs="Times New Roman"/>
        </w:rPr>
        <w:t xml:space="preserve">In determining an application of this nature, the court must consider the entirety of the circumstances of this matter. That includes the potentiality of irreparable harm or prejudice to either the applicant or the respondent in the event that leave to execute is denied or granted. In </w:t>
      </w:r>
      <w:r w:rsidRPr="003919A8">
        <w:rPr>
          <w:rFonts w:ascii="Times New Roman" w:hAnsi="Times New Roman" w:cs="Times New Roman"/>
        </w:rPr>
        <w:lastRenderedPageBreak/>
        <w:t>the event that there is a likelihood of prejudice to both parties, then the court must consider whether the balance of convenience favours the granting of the relief or its denial. In so doing, the court must also relate to the prospects of success of the appeal. There is no point in denying execution pending appeal where the appeal is clearly devoid of merit, and it has simply been filed in order to delay the day of reckoning.”</w:t>
      </w:r>
    </w:p>
    <w:p w14:paraId="16AAF327" w14:textId="77777777" w:rsidR="00F36A05" w:rsidRPr="00E43DD6" w:rsidRDefault="00F36A05" w:rsidP="00E43DD6">
      <w:pPr>
        <w:spacing w:after="0" w:line="360" w:lineRule="auto"/>
        <w:jc w:val="both"/>
        <w:rPr>
          <w:rFonts w:ascii="Times New Roman" w:hAnsi="Times New Roman" w:cs="Times New Roman"/>
          <w:sz w:val="24"/>
          <w:szCs w:val="24"/>
          <w:u w:val="single"/>
        </w:rPr>
      </w:pPr>
    </w:p>
    <w:p w14:paraId="7F96FBF2" w14:textId="14C1556D" w:rsidR="00F36A05" w:rsidRPr="00E43DD6" w:rsidRDefault="009B3549" w:rsidP="00E43DD6">
      <w:pPr>
        <w:spacing w:after="0"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APPLICATION OF THE LAW</w:t>
      </w:r>
    </w:p>
    <w:p w14:paraId="33332B27" w14:textId="11274FDA" w:rsidR="00755DBD" w:rsidRPr="00E43DD6" w:rsidRDefault="00755DBD"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Applying the law to the facts of the instant matter does not seem to me an onerous task. I say so in light of the nature of the relief granted by </w:t>
      </w:r>
      <w:r w:rsidR="00E43DD6" w:rsidRPr="00E43DD6">
        <w:rPr>
          <w:rFonts w:ascii="Times New Roman" w:hAnsi="Times New Roman" w:cs="Times New Roman"/>
          <w:smallCaps/>
          <w:sz w:val="24"/>
          <w:szCs w:val="24"/>
        </w:rPr>
        <w:t>maxwell</w:t>
      </w:r>
      <w:r w:rsidR="00E43DD6" w:rsidRPr="00E43DD6">
        <w:rPr>
          <w:rFonts w:ascii="Times New Roman" w:hAnsi="Times New Roman" w:cs="Times New Roman"/>
          <w:sz w:val="24"/>
          <w:szCs w:val="24"/>
        </w:rPr>
        <w:t xml:space="preserve"> </w:t>
      </w:r>
      <w:r w:rsidRPr="00E43DD6">
        <w:rPr>
          <w:rFonts w:ascii="Times New Roman" w:hAnsi="Times New Roman" w:cs="Times New Roman"/>
          <w:sz w:val="24"/>
          <w:szCs w:val="24"/>
        </w:rPr>
        <w:t>J, and the effect of its execution.</w:t>
      </w:r>
      <w:r w:rsidR="000F49AA" w:rsidRPr="00E43DD6">
        <w:rPr>
          <w:rFonts w:ascii="Times New Roman" w:hAnsi="Times New Roman" w:cs="Times New Roman"/>
          <w:sz w:val="24"/>
          <w:szCs w:val="24"/>
        </w:rPr>
        <w:t xml:space="preserve"> The learned judge granted a</w:t>
      </w:r>
      <w:r w:rsidR="000F49AA" w:rsidRPr="00E43DD6">
        <w:rPr>
          <w:rFonts w:ascii="Times New Roman" w:hAnsi="Times New Roman" w:cs="Times New Roman"/>
          <w:i/>
          <w:iCs/>
          <w:sz w:val="24"/>
          <w:szCs w:val="24"/>
        </w:rPr>
        <w:t xml:space="preserve"> mandam</w:t>
      </w:r>
      <w:r w:rsidR="00036B22" w:rsidRPr="00E43DD6">
        <w:rPr>
          <w:rFonts w:ascii="Times New Roman" w:hAnsi="Times New Roman" w:cs="Times New Roman"/>
          <w:i/>
          <w:iCs/>
          <w:sz w:val="24"/>
          <w:szCs w:val="24"/>
        </w:rPr>
        <w:t>e</w:t>
      </w:r>
      <w:r w:rsidR="000F49AA" w:rsidRPr="00E43DD6">
        <w:rPr>
          <w:rFonts w:ascii="Times New Roman" w:hAnsi="Times New Roman" w:cs="Times New Roman"/>
          <w:i/>
          <w:iCs/>
          <w:sz w:val="24"/>
          <w:szCs w:val="24"/>
        </w:rPr>
        <w:t>nt van spolie</w:t>
      </w:r>
      <w:r w:rsidR="000F49AA" w:rsidRPr="00E43DD6">
        <w:rPr>
          <w:rFonts w:ascii="Times New Roman" w:hAnsi="Times New Roman" w:cs="Times New Roman"/>
          <w:sz w:val="24"/>
          <w:szCs w:val="24"/>
        </w:rPr>
        <w:t>, whose terms are clear from the order cited. As such, it deals with the question of possession</w:t>
      </w:r>
      <w:r w:rsidR="00625B74" w:rsidRPr="00E43DD6">
        <w:rPr>
          <w:rFonts w:ascii="Times New Roman" w:hAnsi="Times New Roman" w:cs="Times New Roman"/>
          <w:sz w:val="24"/>
          <w:szCs w:val="24"/>
        </w:rPr>
        <w:t xml:space="preserve"> or occupation </w:t>
      </w:r>
      <w:r w:rsidR="000F49AA" w:rsidRPr="00E43DD6">
        <w:rPr>
          <w:rFonts w:ascii="Times New Roman" w:hAnsi="Times New Roman" w:cs="Times New Roman"/>
          <w:sz w:val="24"/>
          <w:szCs w:val="24"/>
        </w:rPr>
        <w:t>of the premises in question</w:t>
      </w:r>
      <w:r w:rsidR="00625B74" w:rsidRPr="00E43DD6">
        <w:rPr>
          <w:rFonts w:ascii="Times New Roman" w:hAnsi="Times New Roman" w:cs="Times New Roman"/>
          <w:sz w:val="24"/>
          <w:szCs w:val="24"/>
        </w:rPr>
        <w:t xml:space="preserve">. This entails provision of radiology services to patients in very often critical need of such services, which is the core business of the applicant. </w:t>
      </w:r>
    </w:p>
    <w:p w14:paraId="40BF63F8" w14:textId="29ED3193" w:rsidR="00625B74" w:rsidRPr="00E43DD6" w:rsidRDefault="00625B74"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applicant was disabled from carrying out this core business when the locks to the premises were changed and </w:t>
      </w:r>
      <w:r w:rsidR="0063199F" w:rsidRPr="00E43DD6">
        <w:rPr>
          <w:rFonts w:ascii="Times New Roman" w:hAnsi="Times New Roman" w:cs="Times New Roman"/>
          <w:sz w:val="24"/>
          <w:szCs w:val="24"/>
        </w:rPr>
        <w:t xml:space="preserve">bouncers deployed to prevent access thereto. I did not hear the first respondent denying taking these extreme measures. The explanation was that this was targeted at certain managerial staff of the applicant. How this staff, being senior </w:t>
      </w:r>
      <w:r w:rsidR="009B3549" w:rsidRPr="00E43DD6">
        <w:rPr>
          <w:rFonts w:ascii="Times New Roman" w:hAnsi="Times New Roman" w:cs="Times New Roman"/>
          <w:sz w:val="24"/>
          <w:szCs w:val="24"/>
        </w:rPr>
        <w:t>personnel</w:t>
      </w:r>
      <w:r w:rsidR="0063199F" w:rsidRPr="00E43DD6">
        <w:rPr>
          <w:rFonts w:ascii="Times New Roman" w:hAnsi="Times New Roman" w:cs="Times New Roman"/>
          <w:sz w:val="24"/>
          <w:szCs w:val="24"/>
        </w:rPr>
        <w:t xml:space="preserve"> of the applicant through whom it </w:t>
      </w:r>
      <w:r w:rsidR="00C940E0" w:rsidRPr="00E43DD6">
        <w:rPr>
          <w:rFonts w:ascii="Times New Roman" w:hAnsi="Times New Roman" w:cs="Times New Roman"/>
          <w:sz w:val="24"/>
          <w:szCs w:val="24"/>
        </w:rPr>
        <w:t xml:space="preserve">operates its business, can be separated from the applicant is something the first respondent could not explain. It is my considered view that the effect of the spoliation was the cessation of the applicant’s business operations. </w:t>
      </w:r>
    </w:p>
    <w:p w14:paraId="227E8190" w14:textId="5E1B26DC" w:rsidR="00C940E0" w:rsidRPr="00E43DD6" w:rsidRDefault="00C940E0"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The first respondent argued that the applicant ought to have tendered evidence </w:t>
      </w:r>
      <w:r w:rsidR="00C06E46" w:rsidRPr="00E43DD6">
        <w:rPr>
          <w:rFonts w:ascii="Times New Roman" w:hAnsi="Times New Roman" w:cs="Times New Roman"/>
          <w:sz w:val="24"/>
          <w:szCs w:val="24"/>
        </w:rPr>
        <w:t xml:space="preserve">of the financial harm it avers would be brought about by the spoliation. I do not think, for purposes of </w:t>
      </w:r>
      <w:r w:rsidR="008443D0" w:rsidRPr="00E43DD6">
        <w:rPr>
          <w:rFonts w:ascii="Times New Roman" w:hAnsi="Times New Roman" w:cs="Times New Roman"/>
          <w:sz w:val="24"/>
          <w:szCs w:val="24"/>
        </w:rPr>
        <w:t>the interim</w:t>
      </w:r>
      <w:r w:rsidR="00C06E46" w:rsidRPr="00E43DD6">
        <w:rPr>
          <w:rFonts w:ascii="Times New Roman" w:hAnsi="Times New Roman" w:cs="Times New Roman"/>
          <w:sz w:val="24"/>
          <w:szCs w:val="24"/>
        </w:rPr>
        <w:t xml:space="preserve"> measure being sought, the court should be burdened by poring through financial records of the applicant. This is not a liquidation inquiry</w:t>
      </w:r>
      <w:r w:rsidR="004E562F" w:rsidRPr="00E43DD6">
        <w:rPr>
          <w:rFonts w:ascii="Times New Roman" w:hAnsi="Times New Roman" w:cs="Times New Roman"/>
          <w:sz w:val="24"/>
          <w:szCs w:val="24"/>
        </w:rPr>
        <w:t>. The court weighs the potentiality of harm likely to result from cessation of business operations. This is much the same way it considers the argument</w:t>
      </w:r>
      <w:r w:rsidR="00036B22" w:rsidRPr="00E43DD6">
        <w:rPr>
          <w:rFonts w:ascii="Times New Roman" w:hAnsi="Times New Roman" w:cs="Times New Roman"/>
          <w:sz w:val="24"/>
          <w:szCs w:val="24"/>
        </w:rPr>
        <w:t xml:space="preserve"> often advanced</w:t>
      </w:r>
      <w:r w:rsidR="004E562F" w:rsidRPr="00E43DD6">
        <w:rPr>
          <w:rFonts w:ascii="Times New Roman" w:hAnsi="Times New Roman" w:cs="Times New Roman"/>
          <w:sz w:val="24"/>
          <w:szCs w:val="24"/>
        </w:rPr>
        <w:t>, in mining disputes where interim relief is sought, th</w:t>
      </w:r>
      <w:r w:rsidR="00E84561" w:rsidRPr="00E43DD6">
        <w:rPr>
          <w:rFonts w:ascii="Times New Roman" w:hAnsi="Times New Roman" w:cs="Times New Roman"/>
          <w:sz w:val="24"/>
          <w:szCs w:val="24"/>
        </w:rPr>
        <w:t xml:space="preserve">at there is </w:t>
      </w:r>
      <w:r w:rsidR="008443D0" w:rsidRPr="00E43DD6">
        <w:rPr>
          <w:rFonts w:ascii="Times New Roman" w:hAnsi="Times New Roman" w:cs="Times New Roman"/>
          <w:sz w:val="24"/>
          <w:szCs w:val="24"/>
        </w:rPr>
        <w:t>potentiality</w:t>
      </w:r>
      <w:r w:rsidR="004E562F" w:rsidRPr="00E43DD6">
        <w:rPr>
          <w:rFonts w:ascii="Times New Roman" w:hAnsi="Times New Roman" w:cs="Times New Roman"/>
          <w:sz w:val="24"/>
          <w:szCs w:val="24"/>
        </w:rPr>
        <w:t xml:space="preserve"> of harm resulting from the depletion of gold or other minerals as a finite resource. </w:t>
      </w:r>
      <w:r w:rsidR="00F56EC6" w:rsidRPr="00E43DD6">
        <w:rPr>
          <w:rFonts w:ascii="Times New Roman" w:hAnsi="Times New Roman" w:cs="Times New Roman"/>
          <w:sz w:val="24"/>
          <w:szCs w:val="24"/>
        </w:rPr>
        <w:t>The court rarely calls upon the party advancing such argument to produce daily, monthly or yearly records of the gold ore mined</w:t>
      </w:r>
      <w:r w:rsidR="008443D0" w:rsidRPr="00E43DD6">
        <w:rPr>
          <w:rFonts w:ascii="Times New Roman" w:hAnsi="Times New Roman" w:cs="Times New Roman"/>
          <w:sz w:val="24"/>
          <w:szCs w:val="24"/>
        </w:rPr>
        <w:t xml:space="preserve"> or likely to be mined</w:t>
      </w:r>
      <w:r w:rsidR="00F56EC6" w:rsidRPr="00E43DD6">
        <w:rPr>
          <w:rFonts w:ascii="Times New Roman" w:hAnsi="Times New Roman" w:cs="Times New Roman"/>
          <w:sz w:val="24"/>
          <w:szCs w:val="24"/>
        </w:rPr>
        <w:t xml:space="preserve">, what quantities of gold are likely to be extracted from the ore, and the value thereof. </w:t>
      </w:r>
      <w:r w:rsidR="008443D0" w:rsidRPr="00E43DD6">
        <w:rPr>
          <w:rFonts w:ascii="Times New Roman" w:hAnsi="Times New Roman" w:cs="Times New Roman"/>
          <w:sz w:val="24"/>
          <w:szCs w:val="24"/>
        </w:rPr>
        <w:t>It would be an excruciating and cumbersome process for</w:t>
      </w:r>
      <w:r w:rsidR="00E84561" w:rsidRPr="00E43DD6">
        <w:rPr>
          <w:rFonts w:ascii="Times New Roman" w:hAnsi="Times New Roman" w:cs="Times New Roman"/>
          <w:sz w:val="24"/>
          <w:szCs w:val="24"/>
        </w:rPr>
        <w:t xml:space="preserve"> the purpose of</w:t>
      </w:r>
      <w:r w:rsidR="008443D0" w:rsidRPr="00E43DD6">
        <w:rPr>
          <w:rFonts w:ascii="Times New Roman" w:hAnsi="Times New Roman" w:cs="Times New Roman"/>
          <w:sz w:val="24"/>
          <w:szCs w:val="24"/>
        </w:rPr>
        <w:t xml:space="preserve"> interim relief sought on an urgent basis.</w:t>
      </w:r>
    </w:p>
    <w:p w14:paraId="30F3C019" w14:textId="564FE640" w:rsidR="00893924" w:rsidRPr="00E43DD6" w:rsidRDefault="00893924" w:rsidP="00E43DD6">
      <w:pPr>
        <w:spacing w:after="0" w:line="360" w:lineRule="auto"/>
        <w:ind w:firstLine="720"/>
        <w:jc w:val="both"/>
        <w:rPr>
          <w:rFonts w:ascii="Times New Roman" w:hAnsi="Times New Roman" w:cs="Times New Roman"/>
          <w:i/>
          <w:iCs/>
          <w:sz w:val="24"/>
          <w:szCs w:val="24"/>
        </w:rPr>
      </w:pPr>
      <w:r w:rsidRPr="00E43DD6">
        <w:rPr>
          <w:rFonts w:ascii="Times New Roman" w:hAnsi="Times New Roman" w:cs="Times New Roman"/>
          <w:sz w:val="24"/>
          <w:szCs w:val="24"/>
        </w:rPr>
        <w:t>The other argument the first respondent makes is that the applicant can always recover whatever financial loss it suffers through a suit for damages. This argument is</w:t>
      </w:r>
      <w:r w:rsidR="00E84561" w:rsidRPr="00E43DD6">
        <w:rPr>
          <w:rFonts w:ascii="Times New Roman" w:hAnsi="Times New Roman" w:cs="Times New Roman"/>
          <w:sz w:val="24"/>
          <w:szCs w:val="24"/>
        </w:rPr>
        <w:t xml:space="preserve"> very often</w:t>
      </w:r>
      <w:r w:rsidRPr="00E43DD6">
        <w:rPr>
          <w:rFonts w:ascii="Times New Roman" w:hAnsi="Times New Roman" w:cs="Times New Roman"/>
          <w:sz w:val="24"/>
          <w:szCs w:val="24"/>
        </w:rPr>
        <w:t xml:space="preserve"> made with scant regard to the possibility of costly </w:t>
      </w:r>
      <w:r w:rsidR="00013FEF" w:rsidRPr="00E43DD6">
        <w:rPr>
          <w:rFonts w:ascii="Times New Roman" w:hAnsi="Times New Roman" w:cs="Times New Roman"/>
          <w:sz w:val="24"/>
          <w:szCs w:val="24"/>
        </w:rPr>
        <w:t>and protracted litigation</w:t>
      </w:r>
      <w:r w:rsidR="00487C94" w:rsidRPr="00E43DD6">
        <w:rPr>
          <w:rFonts w:ascii="Times New Roman" w:hAnsi="Times New Roman" w:cs="Times New Roman"/>
          <w:sz w:val="24"/>
          <w:szCs w:val="24"/>
        </w:rPr>
        <w:t xml:space="preserve">. This does </w:t>
      </w:r>
      <w:r w:rsidR="00487C94" w:rsidRPr="00E43DD6">
        <w:rPr>
          <w:rFonts w:ascii="Times New Roman" w:hAnsi="Times New Roman" w:cs="Times New Roman"/>
          <w:sz w:val="24"/>
          <w:szCs w:val="24"/>
        </w:rPr>
        <w:lastRenderedPageBreak/>
        <w:t xml:space="preserve">not effectively counteract the potentiality of irreparable prejudice occurring if interim relief is denied. </w:t>
      </w:r>
    </w:p>
    <w:p w14:paraId="5C37B107" w14:textId="27B0E221" w:rsidR="00372688" w:rsidRPr="00E43DD6" w:rsidRDefault="00372688" w:rsidP="00E43DD6">
      <w:pPr>
        <w:spacing w:after="0" w:line="360" w:lineRule="auto"/>
        <w:jc w:val="both"/>
        <w:rPr>
          <w:rFonts w:ascii="Times New Roman" w:hAnsi="Times New Roman" w:cs="Times New Roman"/>
          <w:sz w:val="24"/>
          <w:szCs w:val="24"/>
        </w:rPr>
      </w:pPr>
      <w:r w:rsidRPr="00E43DD6">
        <w:rPr>
          <w:rFonts w:ascii="Times New Roman" w:hAnsi="Times New Roman" w:cs="Times New Roman"/>
          <w:i/>
          <w:iCs/>
          <w:sz w:val="24"/>
          <w:szCs w:val="24"/>
        </w:rPr>
        <w:t>In casu</w:t>
      </w:r>
      <w:r w:rsidRPr="00E43DD6">
        <w:rPr>
          <w:rFonts w:ascii="Times New Roman" w:hAnsi="Times New Roman" w:cs="Times New Roman"/>
          <w:sz w:val="24"/>
          <w:szCs w:val="24"/>
        </w:rPr>
        <w:t xml:space="preserve">, the effect of the relief desired is to restore the status </w:t>
      </w:r>
      <w:r w:rsidRPr="003919A8">
        <w:rPr>
          <w:rFonts w:ascii="Times New Roman" w:hAnsi="Times New Roman" w:cs="Times New Roman"/>
          <w:i/>
          <w:iCs/>
          <w:sz w:val="24"/>
          <w:szCs w:val="24"/>
        </w:rPr>
        <w:t>quo ante</w:t>
      </w:r>
      <w:r w:rsidRPr="00E43DD6">
        <w:rPr>
          <w:rFonts w:ascii="Times New Roman" w:hAnsi="Times New Roman" w:cs="Times New Roman"/>
          <w:sz w:val="24"/>
          <w:szCs w:val="24"/>
        </w:rPr>
        <w:t xml:space="preserve"> the spoliation, until the parities</w:t>
      </w:r>
      <w:r w:rsidR="00E84561" w:rsidRPr="00E43DD6">
        <w:rPr>
          <w:rFonts w:ascii="Times New Roman" w:hAnsi="Times New Roman" w:cs="Times New Roman"/>
          <w:sz w:val="24"/>
          <w:szCs w:val="24"/>
        </w:rPr>
        <w:t>’</w:t>
      </w:r>
      <w:r w:rsidRPr="00E43DD6">
        <w:rPr>
          <w:rFonts w:ascii="Times New Roman" w:hAnsi="Times New Roman" w:cs="Times New Roman"/>
          <w:sz w:val="24"/>
          <w:szCs w:val="24"/>
        </w:rPr>
        <w:t xml:space="preserve"> substantive rights are determined. </w:t>
      </w:r>
    </w:p>
    <w:p w14:paraId="0E827C3B" w14:textId="47DFD425" w:rsidR="00372688" w:rsidRPr="00E43DD6" w:rsidRDefault="00372688"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 xml:space="preserve">In my view, both the first and the second respondents have not satisfactorily demonstrated what prejudice they will suffer if the relief of leave to execute is granted. </w:t>
      </w:r>
      <w:r w:rsidR="001E7921" w:rsidRPr="00E43DD6">
        <w:rPr>
          <w:rFonts w:ascii="Times New Roman" w:hAnsi="Times New Roman" w:cs="Times New Roman"/>
          <w:sz w:val="24"/>
          <w:szCs w:val="24"/>
        </w:rPr>
        <w:t xml:space="preserve">This </w:t>
      </w:r>
      <w:r w:rsidR="002C53BA" w:rsidRPr="00E43DD6">
        <w:rPr>
          <w:rFonts w:ascii="Times New Roman" w:hAnsi="Times New Roman" w:cs="Times New Roman"/>
          <w:sz w:val="24"/>
          <w:szCs w:val="24"/>
        </w:rPr>
        <w:t>relief</w:t>
      </w:r>
      <w:r w:rsidR="001E7921" w:rsidRPr="00E43DD6">
        <w:rPr>
          <w:rFonts w:ascii="Times New Roman" w:hAnsi="Times New Roman" w:cs="Times New Roman"/>
          <w:sz w:val="24"/>
          <w:szCs w:val="24"/>
        </w:rPr>
        <w:t xml:space="preserve"> simply means the applicant implements, in the interim, the </w:t>
      </w:r>
      <w:r w:rsidR="002C53BA" w:rsidRPr="00E43DD6">
        <w:rPr>
          <w:rFonts w:ascii="Times New Roman" w:hAnsi="Times New Roman" w:cs="Times New Roman"/>
          <w:sz w:val="24"/>
          <w:szCs w:val="24"/>
        </w:rPr>
        <w:t>spoliator</w:t>
      </w:r>
      <w:r w:rsidR="00E84561" w:rsidRPr="00E43DD6">
        <w:rPr>
          <w:rFonts w:ascii="Times New Roman" w:hAnsi="Times New Roman" w:cs="Times New Roman"/>
          <w:sz w:val="24"/>
          <w:szCs w:val="24"/>
        </w:rPr>
        <w:t>y</w:t>
      </w:r>
      <w:r w:rsidR="001E7921" w:rsidRPr="00E43DD6">
        <w:rPr>
          <w:rFonts w:ascii="Times New Roman" w:hAnsi="Times New Roman" w:cs="Times New Roman"/>
          <w:sz w:val="24"/>
          <w:szCs w:val="24"/>
        </w:rPr>
        <w:t xml:space="preserve"> relief granted by an order of this court. </w:t>
      </w:r>
      <w:r w:rsidR="00EC247A" w:rsidRPr="00E43DD6">
        <w:rPr>
          <w:rFonts w:ascii="Times New Roman" w:hAnsi="Times New Roman" w:cs="Times New Roman"/>
          <w:sz w:val="24"/>
          <w:szCs w:val="24"/>
        </w:rPr>
        <w:t>As for the parties’</w:t>
      </w:r>
      <w:r w:rsidR="001E7921" w:rsidRPr="00E43DD6">
        <w:rPr>
          <w:rFonts w:ascii="Times New Roman" w:hAnsi="Times New Roman" w:cs="Times New Roman"/>
          <w:sz w:val="24"/>
          <w:szCs w:val="24"/>
        </w:rPr>
        <w:t xml:space="preserve"> substantive rights in the </w:t>
      </w:r>
      <w:r w:rsidR="00EC247A" w:rsidRPr="00E43DD6">
        <w:rPr>
          <w:rFonts w:ascii="Times New Roman" w:hAnsi="Times New Roman" w:cs="Times New Roman"/>
          <w:sz w:val="24"/>
          <w:szCs w:val="24"/>
        </w:rPr>
        <w:t>shareholders’</w:t>
      </w:r>
      <w:r w:rsidR="001E7921" w:rsidRPr="00E43DD6">
        <w:rPr>
          <w:rFonts w:ascii="Times New Roman" w:hAnsi="Times New Roman" w:cs="Times New Roman"/>
          <w:sz w:val="24"/>
          <w:szCs w:val="24"/>
        </w:rPr>
        <w:t xml:space="preserve"> dispute</w:t>
      </w:r>
      <w:r w:rsidR="00EC247A" w:rsidRPr="00E43DD6">
        <w:rPr>
          <w:rFonts w:ascii="Times New Roman" w:hAnsi="Times New Roman" w:cs="Times New Roman"/>
          <w:sz w:val="24"/>
          <w:szCs w:val="24"/>
        </w:rPr>
        <w:t xml:space="preserve">, these will be dealt with in the </w:t>
      </w:r>
      <w:r w:rsidR="002C53BA" w:rsidRPr="00E43DD6">
        <w:rPr>
          <w:rFonts w:ascii="Times New Roman" w:hAnsi="Times New Roman" w:cs="Times New Roman"/>
          <w:sz w:val="24"/>
          <w:szCs w:val="24"/>
        </w:rPr>
        <w:t>pending application</w:t>
      </w:r>
      <w:r w:rsidR="00EC247A" w:rsidRPr="00E43DD6">
        <w:rPr>
          <w:rFonts w:ascii="Times New Roman" w:hAnsi="Times New Roman" w:cs="Times New Roman"/>
          <w:sz w:val="24"/>
          <w:szCs w:val="24"/>
        </w:rPr>
        <w:t xml:space="preserve"> for a review of the arbitral award.</w:t>
      </w:r>
      <w:r w:rsidR="002C53BA" w:rsidRPr="00E43DD6">
        <w:rPr>
          <w:rFonts w:ascii="Times New Roman" w:hAnsi="Times New Roman" w:cs="Times New Roman"/>
          <w:sz w:val="24"/>
          <w:szCs w:val="24"/>
        </w:rPr>
        <w:t xml:space="preserve"> As already indicated, the first respondent endeavoured to enforce the rights determined in this award through self-help, which took the crude form of changing locks and deploying bouncers. </w:t>
      </w:r>
      <w:r w:rsidR="00E97FB6" w:rsidRPr="00E43DD6">
        <w:rPr>
          <w:rFonts w:ascii="Times New Roman" w:hAnsi="Times New Roman" w:cs="Times New Roman"/>
          <w:sz w:val="24"/>
          <w:szCs w:val="24"/>
        </w:rPr>
        <w:t xml:space="preserve">Thus, a granting of leave to execute would, essentially, be a reversal of </w:t>
      </w:r>
      <w:r w:rsidR="0007181B" w:rsidRPr="00E43DD6">
        <w:rPr>
          <w:rFonts w:ascii="Times New Roman" w:hAnsi="Times New Roman" w:cs="Times New Roman"/>
          <w:sz w:val="24"/>
          <w:szCs w:val="24"/>
        </w:rPr>
        <w:t>the</w:t>
      </w:r>
      <w:r w:rsidR="00E97FB6" w:rsidRPr="00E43DD6">
        <w:rPr>
          <w:rFonts w:ascii="Times New Roman" w:hAnsi="Times New Roman" w:cs="Times New Roman"/>
          <w:sz w:val="24"/>
          <w:szCs w:val="24"/>
        </w:rPr>
        <w:t xml:space="preserve"> self-help.</w:t>
      </w:r>
    </w:p>
    <w:p w14:paraId="184B2F6A" w14:textId="77777777" w:rsidR="009A7B6F" w:rsidRPr="00E43DD6" w:rsidRDefault="009A7B6F" w:rsidP="00E43DD6">
      <w:pPr>
        <w:spacing w:after="0" w:line="360" w:lineRule="auto"/>
        <w:jc w:val="both"/>
        <w:rPr>
          <w:rFonts w:ascii="Times New Roman" w:hAnsi="Times New Roman" w:cs="Times New Roman"/>
          <w:sz w:val="24"/>
          <w:szCs w:val="24"/>
        </w:rPr>
      </w:pPr>
    </w:p>
    <w:p w14:paraId="57510A05" w14:textId="10A223B5" w:rsidR="009A7B6F" w:rsidRPr="00E43DD6" w:rsidRDefault="009A7B6F" w:rsidP="00E43DD6">
      <w:pPr>
        <w:spacing w:after="0" w:line="360" w:lineRule="auto"/>
        <w:jc w:val="both"/>
        <w:rPr>
          <w:rFonts w:ascii="Times New Roman" w:hAnsi="Times New Roman" w:cs="Times New Roman"/>
          <w:sz w:val="24"/>
          <w:szCs w:val="24"/>
          <w:u w:val="single"/>
        </w:rPr>
      </w:pPr>
      <w:r w:rsidRPr="00E43DD6">
        <w:rPr>
          <w:rFonts w:ascii="Times New Roman" w:hAnsi="Times New Roman" w:cs="Times New Roman"/>
          <w:sz w:val="24"/>
          <w:szCs w:val="24"/>
          <w:u w:val="single"/>
        </w:rPr>
        <w:t>DISPOSITION</w:t>
      </w:r>
    </w:p>
    <w:p w14:paraId="5B228792" w14:textId="2C2F07C8" w:rsidR="008B094E" w:rsidRPr="00E43DD6" w:rsidRDefault="00E84561" w:rsidP="00E43DD6">
      <w:pPr>
        <w:spacing w:after="0" w:line="360" w:lineRule="auto"/>
        <w:ind w:firstLine="720"/>
        <w:jc w:val="both"/>
        <w:rPr>
          <w:rFonts w:ascii="Times New Roman" w:hAnsi="Times New Roman" w:cs="Times New Roman"/>
          <w:sz w:val="24"/>
          <w:szCs w:val="24"/>
        </w:rPr>
      </w:pPr>
      <w:r w:rsidRPr="00E43DD6">
        <w:rPr>
          <w:rFonts w:ascii="Times New Roman" w:hAnsi="Times New Roman" w:cs="Times New Roman"/>
          <w:sz w:val="24"/>
          <w:szCs w:val="24"/>
        </w:rPr>
        <w:t>It is my considered view, in the circumstances, that the probabili</w:t>
      </w:r>
      <w:r w:rsidR="008B094E" w:rsidRPr="00E43DD6">
        <w:rPr>
          <w:rFonts w:ascii="Times New Roman" w:hAnsi="Times New Roman" w:cs="Times New Roman"/>
          <w:sz w:val="24"/>
          <w:szCs w:val="24"/>
        </w:rPr>
        <w:t>ties or equities of this matter lie in favour of granting the relief sought by the applicant</w:t>
      </w:r>
      <w:r w:rsidR="00153E9B" w:rsidRPr="00E43DD6">
        <w:rPr>
          <w:rFonts w:ascii="Times New Roman" w:hAnsi="Times New Roman" w:cs="Times New Roman"/>
          <w:sz w:val="24"/>
          <w:szCs w:val="24"/>
        </w:rPr>
        <w:t>, with costs on the ordinary scale.</w:t>
      </w:r>
    </w:p>
    <w:p w14:paraId="2975B9C7" w14:textId="09C3EB81" w:rsidR="008B094E" w:rsidRPr="00E43DD6" w:rsidRDefault="008B094E" w:rsidP="00E43DD6">
      <w:pPr>
        <w:spacing w:after="0" w:line="360" w:lineRule="auto"/>
        <w:jc w:val="both"/>
        <w:rPr>
          <w:rFonts w:ascii="Times New Roman" w:hAnsi="Times New Roman" w:cs="Times New Roman"/>
          <w:b/>
          <w:bCs/>
          <w:sz w:val="24"/>
          <w:szCs w:val="24"/>
        </w:rPr>
      </w:pPr>
      <w:r w:rsidRPr="00E43DD6">
        <w:rPr>
          <w:rFonts w:ascii="Times New Roman" w:hAnsi="Times New Roman" w:cs="Times New Roman"/>
          <w:b/>
          <w:bCs/>
          <w:sz w:val="24"/>
          <w:szCs w:val="24"/>
        </w:rPr>
        <w:t>In the result, it is ordered that:</w:t>
      </w:r>
    </w:p>
    <w:p w14:paraId="2A359389" w14:textId="0E7BB34F" w:rsidR="002F60D0" w:rsidRPr="00E43DD6" w:rsidRDefault="002F60D0" w:rsidP="00E43DD6">
      <w:pPr>
        <w:spacing w:line="240" w:lineRule="auto"/>
        <w:ind w:left="720"/>
        <w:jc w:val="both"/>
        <w:rPr>
          <w:rFonts w:ascii="Times New Roman" w:hAnsi="Times New Roman" w:cs="Times New Roman"/>
        </w:rPr>
      </w:pPr>
      <w:r w:rsidRPr="00E43DD6">
        <w:rPr>
          <w:rFonts w:ascii="Times New Roman" w:hAnsi="Times New Roman" w:cs="Times New Roman"/>
        </w:rPr>
        <w:t>“1. The instant applications for leave to execute pending appeal under reference case  numbers HCH4222/25 and HCH4368/25 be and are hereby granted.</w:t>
      </w:r>
    </w:p>
    <w:p w14:paraId="6469A5B1" w14:textId="4FCADEFA" w:rsidR="002F60D0" w:rsidRPr="00E43DD6" w:rsidRDefault="002F60D0" w:rsidP="00E43DD6">
      <w:pPr>
        <w:spacing w:line="240" w:lineRule="auto"/>
        <w:ind w:left="720"/>
        <w:jc w:val="both"/>
        <w:rPr>
          <w:rFonts w:ascii="Times New Roman" w:hAnsi="Times New Roman" w:cs="Times New Roman"/>
        </w:rPr>
      </w:pPr>
      <w:r w:rsidRPr="00E43DD6">
        <w:rPr>
          <w:rFonts w:ascii="Times New Roman" w:hAnsi="Times New Roman" w:cs="Times New Roman"/>
        </w:rPr>
        <w:t xml:space="preserve">2. The Applicant is hereby granted leave to execute the order of this Honourable Court under reference case number HCH 4060/25 as granted on 20th of August 2025 by </w:t>
      </w:r>
      <w:r w:rsidR="00A2702F" w:rsidRPr="00A2702F">
        <w:rPr>
          <w:rFonts w:ascii="Times New Roman" w:hAnsi="Times New Roman" w:cs="Times New Roman"/>
          <w:smallCaps/>
        </w:rPr>
        <w:t>maxwell</w:t>
      </w:r>
      <w:r w:rsidR="00A2702F" w:rsidRPr="00E43DD6">
        <w:rPr>
          <w:rFonts w:ascii="Times New Roman" w:hAnsi="Times New Roman" w:cs="Times New Roman"/>
        </w:rPr>
        <w:t xml:space="preserve"> </w:t>
      </w:r>
      <w:r w:rsidRPr="00E43DD6">
        <w:rPr>
          <w:rFonts w:ascii="Times New Roman" w:hAnsi="Times New Roman" w:cs="Times New Roman"/>
        </w:rPr>
        <w:t>J, pending the appeals under reference case numbers SC 657/2025 and SC 676/2025.</w:t>
      </w:r>
    </w:p>
    <w:p w14:paraId="4406569C" w14:textId="3683C5DD" w:rsidR="002F60D0" w:rsidRPr="00E43DD6" w:rsidRDefault="002F60D0" w:rsidP="00E43DD6">
      <w:pPr>
        <w:spacing w:line="240" w:lineRule="auto"/>
        <w:ind w:left="720"/>
        <w:jc w:val="both"/>
        <w:rPr>
          <w:rFonts w:ascii="Times New Roman" w:hAnsi="Times New Roman" w:cs="Times New Roman"/>
        </w:rPr>
      </w:pPr>
      <w:r w:rsidRPr="00E43DD6">
        <w:rPr>
          <w:rFonts w:ascii="Times New Roman" w:hAnsi="Times New Roman" w:cs="Times New Roman"/>
        </w:rPr>
        <w:t xml:space="preserve">3. The Applicant, with the assistance of the Zimbabwe Republic Police and/or the Sheriff of the High Court of Zimbabwe be and is hereby granted leave to execute the judgment of this court per </w:t>
      </w:r>
      <w:r w:rsidR="00A2702F" w:rsidRPr="00A2702F">
        <w:rPr>
          <w:rFonts w:ascii="Times New Roman" w:hAnsi="Times New Roman" w:cs="Times New Roman"/>
          <w:smallCaps/>
        </w:rPr>
        <w:t>maxwell</w:t>
      </w:r>
      <w:r w:rsidR="00A2702F" w:rsidRPr="00E43DD6">
        <w:rPr>
          <w:rFonts w:ascii="Times New Roman" w:hAnsi="Times New Roman" w:cs="Times New Roman"/>
        </w:rPr>
        <w:t xml:space="preserve"> </w:t>
      </w:r>
      <w:r w:rsidRPr="00E43DD6">
        <w:rPr>
          <w:rFonts w:ascii="Times New Roman" w:hAnsi="Times New Roman" w:cs="Times New Roman"/>
        </w:rPr>
        <w:t>J under HCH 4060/25.</w:t>
      </w:r>
    </w:p>
    <w:p w14:paraId="30FC7BA7" w14:textId="66519931" w:rsidR="00DC70FC" w:rsidRPr="00E43DD6" w:rsidRDefault="002F60D0" w:rsidP="00E43DD6">
      <w:pPr>
        <w:spacing w:line="240" w:lineRule="auto"/>
        <w:ind w:left="720"/>
        <w:jc w:val="both"/>
        <w:rPr>
          <w:rFonts w:ascii="Times New Roman" w:hAnsi="Times New Roman" w:cs="Times New Roman"/>
        </w:rPr>
      </w:pPr>
      <w:r w:rsidRPr="00E43DD6">
        <w:rPr>
          <w:rFonts w:ascii="Times New Roman" w:hAnsi="Times New Roman" w:cs="Times New Roman"/>
        </w:rPr>
        <w:t>4. The Respondents shall pay the applicant’s costs, jointly and severally, the one paying the other to be absolved.</w:t>
      </w:r>
      <w:r w:rsidR="00E43DD6" w:rsidRPr="00E43DD6">
        <w:rPr>
          <w:rFonts w:ascii="Times New Roman" w:hAnsi="Times New Roman" w:cs="Times New Roman"/>
        </w:rPr>
        <w:t>”</w:t>
      </w:r>
    </w:p>
    <w:p w14:paraId="6729E387" w14:textId="77777777" w:rsidR="00153E9B" w:rsidRPr="00E43DD6" w:rsidRDefault="00153E9B" w:rsidP="00E43DD6">
      <w:pPr>
        <w:spacing w:line="240" w:lineRule="auto"/>
        <w:jc w:val="both"/>
        <w:rPr>
          <w:rFonts w:ascii="Times New Roman" w:hAnsi="Times New Roman" w:cs="Times New Roman"/>
        </w:rPr>
      </w:pPr>
    </w:p>
    <w:p w14:paraId="2DB2B494" w14:textId="77777777" w:rsidR="00153E9B" w:rsidRPr="00E43DD6" w:rsidRDefault="00153E9B" w:rsidP="00E43DD6">
      <w:pPr>
        <w:spacing w:line="360" w:lineRule="auto"/>
        <w:jc w:val="both"/>
        <w:rPr>
          <w:rFonts w:ascii="Times New Roman" w:hAnsi="Times New Roman" w:cs="Times New Roman"/>
          <w:sz w:val="24"/>
          <w:szCs w:val="24"/>
        </w:rPr>
      </w:pPr>
    </w:p>
    <w:p w14:paraId="44158242" w14:textId="59023FC3" w:rsidR="00153E9B" w:rsidRDefault="00E43DD6" w:rsidP="00E43DD6">
      <w:pPr>
        <w:spacing w:line="360" w:lineRule="auto"/>
        <w:jc w:val="both"/>
        <w:rPr>
          <w:rFonts w:ascii="Times New Roman" w:hAnsi="Times New Roman" w:cs="Times New Roman"/>
          <w:b/>
          <w:bCs/>
          <w:sz w:val="24"/>
          <w:szCs w:val="24"/>
        </w:rPr>
      </w:pPr>
      <w:r w:rsidRPr="00E43DD6">
        <w:rPr>
          <w:rFonts w:ascii="Times New Roman" w:hAnsi="Times New Roman" w:cs="Times New Roman"/>
          <w:b/>
          <w:bCs/>
          <w:smallCaps/>
          <w:sz w:val="24"/>
          <w:szCs w:val="24"/>
        </w:rPr>
        <w:t>Manyangadze</w:t>
      </w:r>
      <w:r w:rsidRPr="00E43DD6">
        <w:rPr>
          <w:rFonts w:ascii="Times New Roman" w:hAnsi="Times New Roman" w:cs="Times New Roman"/>
          <w:b/>
          <w:bCs/>
          <w:sz w:val="24"/>
          <w:szCs w:val="24"/>
        </w:rPr>
        <w:t xml:space="preserve"> J:………………………………</w:t>
      </w:r>
      <w:r w:rsidR="00767856">
        <w:rPr>
          <w:rFonts w:ascii="Times New Roman" w:hAnsi="Times New Roman" w:cs="Times New Roman"/>
          <w:b/>
          <w:bCs/>
          <w:sz w:val="24"/>
          <w:szCs w:val="24"/>
        </w:rPr>
        <w:t>….</w:t>
      </w:r>
    </w:p>
    <w:p w14:paraId="06B47BFA" w14:textId="77777777" w:rsidR="00A2702F" w:rsidRPr="00E43DD6" w:rsidRDefault="00A2702F" w:rsidP="00E43DD6">
      <w:pPr>
        <w:spacing w:line="360" w:lineRule="auto"/>
        <w:jc w:val="both"/>
        <w:rPr>
          <w:rFonts w:ascii="Times New Roman" w:hAnsi="Times New Roman" w:cs="Times New Roman"/>
          <w:b/>
          <w:bCs/>
          <w:sz w:val="24"/>
          <w:szCs w:val="24"/>
        </w:rPr>
      </w:pPr>
    </w:p>
    <w:p w14:paraId="28370922" w14:textId="429F3A01" w:rsidR="00153E9B" w:rsidRPr="00E43DD6" w:rsidRDefault="00153E9B" w:rsidP="00E43DD6">
      <w:pPr>
        <w:spacing w:after="0" w:line="240" w:lineRule="auto"/>
        <w:jc w:val="both"/>
        <w:rPr>
          <w:rFonts w:ascii="Times New Roman" w:hAnsi="Times New Roman" w:cs="Times New Roman"/>
          <w:i/>
          <w:iCs/>
          <w:sz w:val="24"/>
          <w:szCs w:val="24"/>
        </w:rPr>
      </w:pPr>
      <w:r w:rsidRPr="00E43DD6">
        <w:rPr>
          <w:rFonts w:ascii="Times New Roman" w:hAnsi="Times New Roman" w:cs="Times New Roman"/>
          <w:i/>
          <w:iCs/>
          <w:sz w:val="24"/>
          <w:szCs w:val="24"/>
        </w:rPr>
        <w:t>Scanlen &amp; Holderness</w:t>
      </w:r>
      <w:r w:rsidRPr="00E43DD6">
        <w:rPr>
          <w:rFonts w:ascii="Times New Roman" w:hAnsi="Times New Roman" w:cs="Times New Roman"/>
          <w:sz w:val="24"/>
          <w:szCs w:val="24"/>
        </w:rPr>
        <w:t>, applicant’s legal practitioners</w:t>
      </w:r>
    </w:p>
    <w:p w14:paraId="007BBCDE" w14:textId="3D691765" w:rsidR="00153E9B" w:rsidRPr="00E43DD6" w:rsidRDefault="00153E9B" w:rsidP="00E43DD6">
      <w:pPr>
        <w:spacing w:after="0" w:line="240" w:lineRule="auto"/>
        <w:jc w:val="both"/>
        <w:rPr>
          <w:rFonts w:ascii="Times New Roman" w:hAnsi="Times New Roman" w:cs="Times New Roman"/>
          <w:i/>
          <w:iCs/>
          <w:sz w:val="24"/>
          <w:szCs w:val="24"/>
        </w:rPr>
      </w:pPr>
      <w:r w:rsidRPr="00E43DD6">
        <w:rPr>
          <w:rFonts w:ascii="Times New Roman" w:hAnsi="Times New Roman" w:cs="Times New Roman"/>
          <w:i/>
          <w:iCs/>
          <w:sz w:val="24"/>
          <w:szCs w:val="24"/>
        </w:rPr>
        <w:t>Gill, Godlonton &amp; Gerrans</w:t>
      </w:r>
      <w:r w:rsidRPr="00E43DD6">
        <w:rPr>
          <w:rFonts w:ascii="Times New Roman" w:hAnsi="Times New Roman" w:cs="Times New Roman"/>
          <w:sz w:val="24"/>
          <w:szCs w:val="24"/>
        </w:rPr>
        <w:t xml:space="preserve">, </w:t>
      </w:r>
      <w:r w:rsidR="00E43DD6">
        <w:rPr>
          <w:rFonts w:ascii="Times New Roman" w:hAnsi="Times New Roman" w:cs="Times New Roman"/>
          <w:sz w:val="24"/>
          <w:szCs w:val="24"/>
        </w:rPr>
        <w:t>first</w:t>
      </w:r>
      <w:r w:rsidRPr="00E43DD6">
        <w:rPr>
          <w:rFonts w:ascii="Times New Roman" w:hAnsi="Times New Roman" w:cs="Times New Roman"/>
          <w:sz w:val="24"/>
          <w:szCs w:val="24"/>
        </w:rPr>
        <w:t xml:space="preserve"> respondent’s legal practitioners</w:t>
      </w:r>
    </w:p>
    <w:p w14:paraId="0ABE48E9" w14:textId="551A205C" w:rsidR="00153E9B" w:rsidRPr="00E43DD6" w:rsidRDefault="00153E9B" w:rsidP="00E43DD6">
      <w:pPr>
        <w:spacing w:after="0" w:line="240" w:lineRule="auto"/>
        <w:jc w:val="both"/>
        <w:rPr>
          <w:rFonts w:ascii="Times New Roman" w:hAnsi="Times New Roman" w:cs="Times New Roman"/>
          <w:sz w:val="24"/>
          <w:szCs w:val="24"/>
        </w:rPr>
      </w:pPr>
      <w:r w:rsidRPr="00E43DD6">
        <w:rPr>
          <w:rFonts w:ascii="Times New Roman" w:hAnsi="Times New Roman" w:cs="Times New Roman"/>
          <w:i/>
          <w:iCs/>
          <w:sz w:val="24"/>
          <w:szCs w:val="24"/>
        </w:rPr>
        <w:t>Muza Attorneys</w:t>
      </w:r>
      <w:r w:rsidRPr="00E43DD6">
        <w:rPr>
          <w:rFonts w:ascii="Times New Roman" w:hAnsi="Times New Roman" w:cs="Times New Roman"/>
          <w:sz w:val="24"/>
          <w:szCs w:val="24"/>
        </w:rPr>
        <w:t xml:space="preserve">, </w:t>
      </w:r>
      <w:r w:rsidR="00E43DD6">
        <w:rPr>
          <w:rFonts w:ascii="Times New Roman" w:hAnsi="Times New Roman" w:cs="Times New Roman"/>
          <w:sz w:val="24"/>
          <w:szCs w:val="24"/>
        </w:rPr>
        <w:t xml:space="preserve">second </w:t>
      </w:r>
      <w:r w:rsidRPr="00E43DD6">
        <w:rPr>
          <w:rFonts w:ascii="Times New Roman" w:hAnsi="Times New Roman" w:cs="Times New Roman"/>
          <w:sz w:val="24"/>
          <w:szCs w:val="24"/>
        </w:rPr>
        <w:t>respondent’s legal practitioners</w:t>
      </w:r>
    </w:p>
    <w:sectPr w:rsidR="00153E9B" w:rsidRPr="00E43DD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A7540" w14:textId="77777777" w:rsidR="00E71604" w:rsidRDefault="00E71604" w:rsidP="008173A1">
      <w:pPr>
        <w:spacing w:after="0" w:line="240" w:lineRule="auto"/>
      </w:pPr>
      <w:r>
        <w:separator/>
      </w:r>
    </w:p>
  </w:endnote>
  <w:endnote w:type="continuationSeparator" w:id="0">
    <w:p w14:paraId="0AB3E977" w14:textId="77777777" w:rsidR="00E71604" w:rsidRDefault="00E71604" w:rsidP="0081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07B54" w14:textId="77777777" w:rsidR="00E71604" w:rsidRDefault="00E71604" w:rsidP="008173A1">
      <w:pPr>
        <w:spacing w:after="0" w:line="240" w:lineRule="auto"/>
      </w:pPr>
      <w:r>
        <w:separator/>
      </w:r>
    </w:p>
  </w:footnote>
  <w:footnote w:type="continuationSeparator" w:id="0">
    <w:p w14:paraId="78B05D7E" w14:textId="77777777" w:rsidR="00E71604" w:rsidRDefault="00E71604" w:rsidP="008173A1">
      <w:pPr>
        <w:spacing w:after="0" w:line="240" w:lineRule="auto"/>
      </w:pPr>
      <w:r>
        <w:continuationSeparator/>
      </w:r>
    </w:p>
  </w:footnote>
  <w:footnote w:id="1">
    <w:p w14:paraId="35A406A4" w14:textId="7DE47809" w:rsidR="008173A1" w:rsidRPr="00574FA8" w:rsidRDefault="008173A1" w:rsidP="008173A1">
      <w:pPr>
        <w:pStyle w:val="FootnoteText"/>
        <w:rPr>
          <w:rFonts w:ascii="Times New Roman" w:hAnsi="Times New Roman" w:cs="Times New Roman"/>
          <w:sz w:val="18"/>
          <w:szCs w:val="18"/>
        </w:rPr>
      </w:pPr>
    </w:p>
  </w:footnote>
  <w:footnote w:id="2">
    <w:p w14:paraId="709F7EF1" w14:textId="70A3048A" w:rsidR="008173A1" w:rsidRPr="00574FA8" w:rsidRDefault="008173A1" w:rsidP="00F36A05">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373158"/>
      <w:docPartObj>
        <w:docPartGallery w:val="Page Numbers (Top of Page)"/>
        <w:docPartUnique/>
      </w:docPartObj>
    </w:sdtPr>
    <w:sdtEndPr>
      <w:rPr>
        <w:noProof/>
      </w:rPr>
    </w:sdtEndPr>
    <w:sdtContent>
      <w:p w14:paraId="2CA19428" w14:textId="77777777" w:rsidR="00E43DD6" w:rsidRDefault="00E43DD6">
        <w:pPr>
          <w:pStyle w:val="Header"/>
          <w:jc w:val="right"/>
          <w:rPr>
            <w:noProof/>
          </w:rPr>
        </w:pPr>
        <w:r>
          <w:fldChar w:fldCharType="begin"/>
        </w:r>
        <w:r>
          <w:instrText xml:space="preserve"> PAGE   \* MERGEFORMAT </w:instrText>
        </w:r>
        <w:r>
          <w:fldChar w:fldCharType="separate"/>
        </w:r>
        <w:r w:rsidR="003A7627">
          <w:rPr>
            <w:noProof/>
          </w:rPr>
          <w:t>1</w:t>
        </w:r>
        <w:r>
          <w:rPr>
            <w:noProof/>
          </w:rPr>
          <w:fldChar w:fldCharType="end"/>
        </w:r>
      </w:p>
      <w:p w14:paraId="1F3B8152" w14:textId="406B6474" w:rsidR="00C40753" w:rsidRDefault="00C40753">
        <w:pPr>
          <w:pStyle w:val="Header"/>
          <w:jc w:val="right"/>
          <w:rPr>
            <w:noProof/>
          </w:rPr>
        </w:pPr>
        <w:r>
          <w:rPr>
            <w:noProof/>
          </w:rPr>
          <w:t>HH 587-25</w:t>
        </w:r>
      </w:p>
      <w:p w14:paraId="76AAB66C" w14:textId="0ECDCA7A" w:rsidR="00E43DD6" w:rsidRDefault="00E43DD6">
        <w:pPr>
          <w:pStyle w:val="Header"/>
          <w:jc w:val="right"/>
        </w:pPr>
        <w:r>
          <w:rPr>
            <w:noProof/>
          </w:rPr>
          <w:t>HCH 4222/25</w:t>
        </w:r>
      </w:p>
    </w:sdtContent>
  </w:sdt>
  <w:p w14:paraId="7E586086" w14:textId="77777777" w:rsidR="00E43DD6" w:rsidRDefault="00E43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D97"/>
    <w:multiLevelType w:val="hybridMultilevel"/>
    <w:tmpl w:val="AF2CBB14"/>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E2"/>
    <w:rsid w:val="00013FEF"/>
    <w:rsid w:val="00022DD2"/>
    <w:rsid w:val="00036B22"/>
    <w:rsid w:val="00051CE2"/>
    <w:rsid w:val="0007181B"/>
    <w:rsid w:val="00083E94"/>
    <w:rsid w:val="000B3DD4"/>
    <w:rsid w:val="000F49AA"/>
    <w:rsid w:val="00116479"/>
    <w:rsid w:val="00151C37"/>
    <w:rsid w:val="00153E9B"/>
    <w:rsid w:val="00185D02"/>
    <w:rsid w:val="001C36CB"/>
    <w:rsid w:val="001D6206"/>
    <w:rsid w:val="001E7921"/>
    <w:rsid w:val="0020361F"/>
    <w:rsid w:val="00216038"/>
    <w:rsid w:val="00287901"/>
    <w:rsid w:val="00290B3A"/>
    <w:rsid w:val="002A05B0"/>
    <w:rsid w:val="002A097B"/>
    <w:rsid w:val="002C53BA"/>
    <w:rsid w:val="002E0A09"/>
    <w:rsid w:val="002F60D0"/>
    <w:rsid w:val="00315A04"/>
    <w:rsid w:val="00321A29"/>
    <w:rsid w:val="003275C2"/>
    <w:rsid w:val="0034698A"/>
    <w:rsid w:val="00372688"/>
    <w:rsid w:val="00381569"/>
    <w:rsid w:val="003919A8"/>
    <w:rsid w:val="003A7627"/>
    <w:rsid w:val="003D0A78"/>
    <w:rsid w:val="003D1173"/>
    <w:rsid w:val="00411465"/>
    <w:rsid w:val="00487C94"/>
    <w:rsid w:val="004D7003"/>
    <w:rsid w:val="004E057E"/>
    <w:rsid w:val="004E562F"/>
    <w:rsid w:val="004E5CA6"/>
    <w:rsid w:val="004E6A9E"/>
    <w:rsid w:val="00523F00"/>
    <w:rsid w:val="005324ED"/>
    <w:rsid w:val="005B5AD2"/>
    <w:rsid w:val="005B6B3F"/>
    <w:rsid w:val="00625B74"/>
    <w:rsid w:val="0063199F"/>
    <w:rsid w:val="0065075A"/>
    <w:rsid w:val="00657754"/>
    <w:rsid w:val="006B0806"/>
    <w:rsid w:val="006F7BEC"/>
    <w:rsid w:val="0070707A"/>
    <w:rsid w:val="00755DBD"/>
    <w:rsid w:val="00767856"/>
    <w:rsid w:val="007B3D12"/>
    <w:rsid w:val="008173A1"/>
    <w:rsid w:val="008443D0"/>
    <w:rsid w:val="00847FD2"/>
    <w:rsid w:val="008911E9"/>
    <w:rsid w:val="00893924"/>
    <w:rsid w:val="008A4622"/>
    <w:rsid w:val="008B094E"/>
    <w:rsid w:val="00906E05"/>
    <w:rsid w:val="0093299F"/>
    <w:rsid w:val="00935440"/>
    <w:rsid w:val="00957DAD"/>
    <w:rsid w:val="00962894"/>
    <w:rsid w:val="00990003"/>
    <w:rsid w:val="009928BE"/>
    <w:rsid w:val="009A7B6F"/>
    <w:rsid w:val="009B3549"/>
    <w:rsid w:val="009D2C62"/>
    <w:rsid w:val="00A03707"/>
    <w:rsid w:val="00A2702F"/>
    <w:rsid w:val="00A313D4"/>
    <w:rsid w:val="00A61B3B"/>
    <w:rsid w:val="00AE5732"/>
    <w:rsid w:val="00B11A5C"/>
    <w:rsid w:val="00B13857"/>
    <w:rsid w:val="00B17C63"/>
    <w:rsid w:val="00B17E4D"/>
    <w:rsid w:val="00B35982"/>
    <w:rsid w:val="00B56A55"/>
    <w:rsid w:val="00B83F0D"/>
    <w:rsid w:val="00C06E46"/>
    <w:rsid w:val="00C106EE"/>
    <w:rsid w:val="00C40753"/>
    <w:rsid w:val="00C55175"/>
    <w:rsid w:val="00C65A6C"/>
    <w:rsid w:val="00C940E0"/>
    <w:rsid w:val="00CA2752"/>
    <w:rsid w:val="00CF49A9"/>
    <w:rsid w:val="00CF4CBA"/>
    <w:rsid w:val="00D14779"/>
    <w:rsid w:val="00D363D9"/>
    <w:rsid w:val="00D84FF4"/>
    <w:rsid w:val="00DC70FC"/>
    <w:rsid w:val="00DF6A1C"/>
    <w:rsid w:val="00E43DD6"/>
    <w:rsid w:val="00E54671"/>
    <w:rsid w:val="00E57503"/>
    <w:rsid w:val="00E636B1"/>
    <w:rsid w:val="00E673DF"/>
    <w:rsid w:val="00E71604"/>
    <w:rsid w:val="00E84561"/>
    <w:rsid w:val="00E97FB6"/>
    <w:rsid w:val="00EC247A"/>
    <w:rsid w:val="00EF1037"/>
    <w:rsid w:val="00F36A05"/>
    <w:rsid w:val="00F43D83"/>
    <w:rsid w:val="00F56EC6"/>
    <w:rsid w:val="00F847D9"/>
    <w:rsid w:val="00FD77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E2"/>
    <w:rPr>
      <w:rFonts w:eastAsiaTheme="majorEastAsia" w:cstheme="majorBidi"/>
      <w:color w:val="272727" w:themeColor="text1" w:themeTint="D8"/>
    </w:rPr>
  </w:style>
  <w:style w:type="paragraph" w:styleId="Title">
    <w:name w:val="Title"/>
    <w:basedOn w:val="Normal"/>
    <w:next w:val="Normal"/>
    <w:link w:val="TitleChar"/>
    <w:uiPriority w:val="10"/>
    <w:qFormat/>
    <w:rsid w:val="0005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E2"/>
    <w:pPr>
      <w:spacing w:before="160"/>
      <w:jc w:val="center"/>
    </w:pPr>
    <w:rPr>
      <w:i/>
      <w:iCs/>
      <w:color w:val="404040" w:themeColor="text1" w:themeTint="BF"/>
    </w:rPr>
  </w:style>
  <w:style w:type="character" w:customStyle="1" w:styleId="QuoteChar">
    <w:name w:val="Quote Char"/>
    <w:basedOn w:val="DefaultParagraphFont"/>
    <w:link w:val="Quote"/>
    <w:uiPriority w:val="29"/>
    <w:rsid w:val="00051CE2"/>
    <w:rPr>
      <w:i/>
      <w:iCs/>
      <w:color w:val="404040" w:themeColor="text1" w:themeTint="BF"/>
    </w:rPr>
  </w:style>
  <w:style w:type="paragraph" w:styleId="ListParagraph">
    <w:name w:val="List Paragraph"/>
    <w:basedOn w:val="Normal"/>
    <w:uiPriority w:val="34"/>
    <w:qFormat/>
    <w:rsid w:val="00051CE2"/>
    <w:pPr>
      <w:ind w:left="720"/>
      <w:contextualSpacing/>
    </w:pPr>
  </w:style>
  <w:style w:type="character" w:styleId="IntenseEmphasis">
    <w:name w:val="Intense Emphasis"/>
    <w:basedOn w:val="DefaultParagraphFont"/>
    <w:uiPriority w:val="21"/>
    <w:qFormat/>
    <w:rsid w:val="00051CE2"/>
    <w:rPr>
      <w:i/>
      <w:iCs/>
      <w:color w:val="0F4761" w:themeColor="accent1" w:themeShade="BF"/>
    </w:rPr>
  </w:style>
  <w:style w:type="paragraph" w:styleId="IntenseQuote">
    <w:name w:val="Intense Quote"/>
    <w:basedOn w:val="Normal"/>
    <w:next w:val="Normal"/>
    <w:link w:val="IntenseQuoteChar"/>
    <w:uiPriority w:val="30"/>
    <w:qFormat/>
    <w:rsid w:val="0005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E2"/>
    <w:rPr>
      <w:i/>
      <w:iCs/>
      <w:color w:val="0F4761" w:themeColor="accent1" w:themeShade="BF"/>
    </w:rPr>
  </w:style>
  <w:style w:type="character" w:styleId="IntenseReference">
    <w:name w:val="Intense Reference"/>
    <w:basedOn w:val="DefaultParagraphFont"/>
    <w:uiPriority w:val="32"/>
    <w:qFormat/>
    <w:rsid w:val="00051CE2"/>
    <w:rPr>
      <w:b/>
      <w:bCs/>
      <w:smallCaps/>
      <w:color w:val="0F4761" w:themeColor="accent1" w:themeShade="BF"/>
      <w:spacing w:val="5"/>
    </w:rPr>
  </w:style>
  <w:style w:type="paragraph" w:styleId="FootnoteText">
    <w:name w:val="footnote text"/>
    <w:basedOn w:val="Normal"/>
    <w:link w:val="FootnoteTextChar"/>
    <w:uiPriority w:val="99"/>
    <w:unhideWhenUsed/>
    <w:rsid w:val="008173A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173A1"/>
    <w:rPr>
      <w:sz w:val="20"/>
      <w:szCs w:val="20"/>
      <w:lang w:val="en-US"/>
    </w:rPr>
  </w:style>
  <w:style w:type="character" w:styleId="FootnoteReference">
    <w:name w:val="footnote reference"/>
    <w:basedOn w:val="DefaultParagraphFont"/>
    <w:uiPriority w:val="99"/>
    <w:unhideWhenUsed/>
    <w:rsid w:val="008173A1"/>
    <w:rPr>
      <w:vertAlign w:val="superscript"/>
    </w:rPr>
  </w:style>
  <w:style w:type="paragraph" w:styleId="NoSpacing">
    <w:name w:val="No Spacing"/>
    <w:uiPriority w:val="1"/>
    <w:qFormat/>
    <w:rsid w:val="008173A1"/>
    <w:pPr>
      <w:spacing w:after="0" w:line="240" w:lineRule="auto"/>
    </w:pPr>
    <w:rPr>
      <w:rFonts w:eastAsiaTheme="minorEastAsia"/>
      <w:lang w:eastAsia="en-ZW"/>
    </w:rPr>
  </w:style>
  <w:style w:type="paragraph" w:styleId="Header">
    <w:name w:val="header"/>
    <w:basedOn w:val="Normal"/>
    <w:link w:val="HeaderChar"/>
    <w:uiPriority w:val="99"/>
    <w:unhideWhenUsed/>
    <w:rsid w:val="00E43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DD6"/>
  </w:style>
  <w:style w:type="paragraph" w:styleId="Footer">
    <w:name w:val="footer"/>
    <w:basedOn w:val="Normal"/>
    <w:link w:val="FooterChar"/>
    <w:uiPriority w:val="99"/>
    <w:unhideWhenUsed/>
    <w:rsid w:val="00E43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E2"/>
    <w:rPr>
      <w:rFonts w:eastAsiaTheme="majorEastAsia" w:cstheme="majorBidi"/>
      <w:color w:val="272727" w:themeColor="text1" w:themeTint="D8"/>
    </w:rPr>
  </w:style>
  <w:style w:type="paragraph" w:styleId="Title">
    <w:name w:val="Title"/>
    <w:basedOn w:val="Normal"/>
    <w:next w:val="Normal"/>
    <w:link w:val="TitleChar"/>
    <w:uiPriority w:val="10"/>
    <w:qFormat/>
    <w:rsid w:val="0005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E2"/>
    <w:pPr>
      <w:spacing w:before="160"/>
      <w:jc w:val="center"/>
    </w:pPr>
    <w:rPr>
      <w:i/>
      <w:iCs/>
      <w:color w:val="404040" w:themeColor="text1" w:themeTint="BF"/>
    </w:rPr>
  </w:style>
  <w:style w:type="character" w:customStyle="1" w:styleId="QuoteChar">
    <w:name w:val="Quote Char"/>
    <w:basedOn w:val="DefaultParagraphFont"/>
    <w:link w:val="Quote"/>
    <w:uiPriority w:val="29"/>
    <w:rsid w:val="00051CE2"/>
    <w:rPr>
      <w:i/>
      <w:iCs/>
      <w:color w:val="404040" w:themeColor="text1" w:themeTint="BF"/>
    </w:rPr>
  </w:style>
  <w:style w:type="paragraph" w:styleId="ListParagraph">
    <w:name w:val="List Paragraph"/>
    <w:basedOn w:val="Normal"/>
    <w:uiPriority w:val="34"/>
    <w:qFormat/>
    <w:rsid w:val="00051CE2"/>
    <w:pPr>
      <w:ind w:left="720"/>
      <w:contextualSpacing/>
    </w:pPr>
  </w:style>
  <w:style w:type="character" w:styleId="IntenseEmphasis">
    <w:name w:val="Intense Emphasis"/>
    <w:basedOn w:val="DefaultParagraphFont"/>
    <w:uiPriority w:val="21"/>
    <w:qFormat/>
    <w:rsid w:val="00051CE2"/>
    <w:rPr>
      <w:i/>
      <w:iCs/>
      <w:color w:val="0F4761" w:themeColor="accent1" w:themeShade="BF"/>
    </w:rPr>
  </w:style>
  <w:style w:type="paragraph" w:styleId="IntenseQuote">
    <w:name w:val="Intense Quote"/>
    <w:basedOn w:val="Normal"/>
    <w:next w:val="Normal"/>
    <w:link w:val="IntenseQuoteChar"/>
    <w:uiPriority w:val="30"/>
    <w:qFormat/>
    <w:rsid w:val="0005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E2"/>
    <w:rPr>
      <w:i/>
      <w:iCs/>
      <w:color w:val="0F4761" w:themeColor="accent1" w:themeShade="BF"/>
    </w:rPr>
  </w:style>
  <w:style w:type="character" w:styleId="IntenseReference">
    <w:name w:val="Intense Reference"/>
    <w:basedOn w:val="DefaultParagraphFont"/>
    <w:uiPriority w:val="32"/>
    <w:qFormat/>
    <w:rsid w:val="00051CE2"/>
    <w:rPr>
      <w:b/>
      <w:bCs/>
      <w:smallCaps/>
      <w:color w:val="0F4761" w:themeColor="accent1" w:themeShade="BF"/>
      <w:spacing w:val="5"/>
    </w:rPr>
  </w:style>
  <w:style w:type="paragraph" w:styleId="FootnoteText">
    <w:name w:val="footnote text"/>
    <w:basedOn w:val="Normal"/>
    <w:link w:val="FootnoteTextChar"/>
    <w:uiPriority w:val="99"/>
    <w:unhideWhenUsed/>
    <w:rsid w:val="008173A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173A1"/>
    <w:rPr>
      <w:sz w:val="20"/>
      <w:szCs w:val="20"/>
      <w:lang w:val="en-US"/>
    </w:rPr>
  </w:style>
  <w:style w:type="character" w:styleId="FootnoteReference">
    <w:name w:val="footnote reference"/>
    <w:basedOn w:val="DefaultParagraphFont"/>
    <w:uiPriority w:val="99"/>
    <w:unhideWhenUsed/>
    <w:rsid w:val="008173A1"/>
    <w:rPr>
      <w:vertAlign w:val="superscript"/>
    </w:rPr>
  </w:style>
  <w:style w:type="paragraph" w:styleId="NoSpacing">
    <w:name w:val="No Spacing"/>
    <w:uiPriority w:val="1"/>
    <w:qFormat/>
    <w:rsid w:val="008173A1"/>
    <w:pPr>
      <w:spacing w:after="0" w:line="240" w:lineRule="auto"/>
    </w:pPr>
    <w:rPr>
      <w:rFonts w:eastAsiaTheme="minorEastAsia"/>
      <w:lang w:eastAsia="en-ZW"/>
    </w:rPr>
  </w:style>
  <w:style w:type="paragraph" w:styleId="Header">
    <w:name w:val="header"/>
    <w:basedOn w:val="Normal"/>
    <w:link w:val="HeaderChar"/>
    <w:uiPriority w:val="99"/>
    <w:unhideWhenUsed/>
    <w:rsid w:val="00E43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DD6"/>
  </w:style>
  <w:style w:type="paragraph" w:styleId="Footer">
    <w:name w:val="footer"/>
    <w:basedOn w:val="Normal"/>
    <w:link w:val="FooterChar"/>
    <w:uiPriority w:val="99"/>
    <w:unhideWhenUsed/>
    <w:rsid w:val="00E43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Manyangadze</dc:creator>
  <cp:lastModifiedBy>User</cp:lastModifiedBy>
  <cp:revision>2</cp:revision>
  <dcterms:created xsi:type="dcterms:W3CDTF">2025-10-03T10:59:00Z</dcterms:created>
  <dcterms:modified xsi:type="dcterms:W3CDTF">2025-10-03T10:59:00Z</dcterms:modified>
</cp:coreProperties>
</file>