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6A8C" w14:textId="77777777" w:rsidR="002D4C75" w:rsidRDefault="002E48E8" w:rsidP="005A4EC9">
      <w:pPr>
        <w:spacing w:after="0" w:line="240" w:lineRule="auto"/>
        <w:jc w:val="both"/>
        <w:rPr>
          <w:rFonts w:ascii="Times New Roman" w:hAnsi="Times New Roman" w:cs="Times New Roman"/>
          <w:sz w:val="24"/>
          <w:szCs w:val="24"/>
        </w:rPr>
      </w:pPr>
      <w:bookmarkStart w:id="0" w:name="_GoBack"/>
      <w:bookmarkEnd w:id="0"/>
      <w:r w:rsidRPr="00AB3584">
        <w:rPr>
          <w:rFonts w:ascii="Times New Roman" w:hAnsi="Times New Roman" w:cs="Times New Roman"/>
          <w:sz w:val="24"/>
          <w:szCs w:val="24"/>
        </w:rPr>
        <w:t xml:space="preserve">                                                                                                   </w:t>
      </w:r>
      <w:r w:rsidR="002D4C75">
        <w:rPr>
          <w:rFonts w:ascii="Times New Roman" w:hAnsi="Times New Roman" w:cs="Times New Roman"/>
          <w:sz w:val="24"/>
          <w:szCs w:val="24"/>
        </w:rPr>
        <w:t xml:space="preserve">                        </w:t>
      </w:r>
    </w:p>
    <w:p w14:paraId="1163A69E" w14:textId="77777777" w:rsidR="00E70031" w:rsidRDefault="002E48E8" w:rsidP="005A4EC9">
      <w:pPr>
        <w:spacing w:after="0" w:line="240" w:lineRule="auto"/>
        <w:jc w:val="both"/>
        <w:rPr>
          <w:rFonts w:ascii="Times New Roman" w:hAnsi="Times New Roman" w:cs="Times New Roman"/>
          <w:sz w:val="24"/>
          <w:szCs w:val="24"/>
        </w:rPr>
      </w:pPr>
      <w:r w:rsidRPr="00AB3584">
        <w:rPr>
          <w:rFonts w:ascii="Times New Roman" w:hAnsi="Times New Roman" w:cs="Times New Roman"/>
          <w:sz w:val="24"/>
          <w:szCs w:val="24"/>
        </w:rPr>
        <w:t xml:space="preserve">BEULLAH CHIRUNGA                                                                                                                     </w:t>
      </w:r>
    </w:p>
    <w:p w14:paraId="512292AB" w14:textId="33573D7B" w:rsidR="002E48E8" w:rsidRPr="00AB3584" w:rsidRDefault="002E48E8" w:rsidP="005A4EC9">
      <w:pPr>
        <w:spacing w:after="0" w:line="240" w:lineRule="auto"/>
        <w:jc w:val="both"/>
        <w:rPr>
          <w:rFonts w:ascii="Times New Roman" w:hAnsi="Times New Roman" w:cs="Times New Roman"/>
          <w:sz w:val="24"/>
          <w:szCs w:val="24"/>
        </w:rPr>
      </w:pPr>
      <w:r w:rsidRPr="00AB3584">
        <w:rPr>
          <w:rFonts w:ascii="Times New Roman" w:hAnsi="Times New Roman" w:cs="Times New Roman"/>
          <w:sz w:val="24"/>
          <w:szCs w:val="24"/>
        </w:rPr>
        <w:t>versus</w:t>
      </w:r>
    </w:p>
    <w:p w14:paraId="36618BA4" w14:textId="06907BEC" w:rsidR="002E48E8" w:rsidRPr="00AB3584" w:rsidRDefault="002E48E8" w:rsidP="005A4EC9">
      <w:pPr>
        <w:spacing w:line="240" w:lineRule="auto"/>
        <w:jc w:val="both"/>
        <w:rPr>
          <w:rFonts w:ascii="Times New Roman" w:hAnsi="Times New Roman" w:cs="Times New Roman"/>
          <w:sz w:val="24"/>
          <w:szCs w:val="24"/>
        </w:rPr>
      </w:pPr>
      <w:r w:rsidRPr="00AB3584">
        <w:rPr>
          <w:rFonts w:ascii="Times New Roman" w:hAnsi="Times New Roman" w:cs="Times New Roman"/>
          <w:sz w:val="24"/>
          <w:szCs w:val="24"/>
        </w:rPr>
        <w:t>PROPERTY SHOP</w:t>
      </w:r>
      <w:r w:rsidR="002D4C75">
        <w:rPr>
          <w:rFonts w:ascii="Times New Roman" w:hAnsi="Times New Roman" w:cs="Times New Roman"/>
          <w:sz w:val="24"/>
          <w:szCs w:val="24"/>
        </w:rPr>
        <w:t xml:space="preserve"> (PRIVATE) LIMITED</w:t>
      </w:r>
    </w:p>
    <w:p w14:paraId="5736E8BF" w14:textId="4B389301" w:rsidR="002E48E8" w:rsidRPr="00AB3584" w:rsidRDefault="00C74026" w:rsidP="00C74026">
      <w:pPr>
        <w:tabs>
          <w:tab w:val="left" w:pos="71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08BBCE1" w14:textId="77777777" w:rsidR="002E48E8" w:rsidRPr="00AB3584" w:rsidRDefault="002E48E8" w:rsidP="005A4EC9">
      <w:pPr>
        <w:spacing w:after="0" w:line="240" w:lineRule="auto"/>
        <w:jc w:val="both"/>
        <w:rPr>
          <w:rFonts w:ascii="Times New Roman" w:hAnsi="Times New Roman" w:cs="Times New Roman"/>
          <w:sz w:val="24"/>
          <w:szCs w:val="24"/>
        </w:rPr>
      </w:pPr>
      <w:r w:rsidRPr="00AB3584">
        <w:rPr>
          <w:rFonts w:ascii="Times New Roman" w:hAnsi="Times New Roman" w:cs="Times New Roman"/>
          <w:sz w:val="24"/>
          <w:szCs w:val="24"/>
        </w:rPr>
        <w:t>HIGH COURT OF ZIMBABWE</w:t>
      </w:r>
    </w:p>
    <w:p w14:paraId="3BD9E73E" w14:textId="11D5994E" w:rsidR="002E48E8" w:rsidRPr="00AB3584" w:rsidRDefault="002E48E8" w:rsidP="005A4EC9">
      <w:pPr>
        <w:spacing w:after="0" w:line="240" w:lineRule="auto"/>
        <w:jc w:val="both"/>
        <w:rPr>
          <w:rFonts w:ascii="Times New Roman" w:hAnsi="Times New Roman" w:cs="Times New Roman"/>
          <w:sz w:val="24"/>
          <w:szCs w:val="24"/>
        </w:rPr>
      </w:pPr>
      <w:r w:rsidRPr="00AB3584">
        <w:rPr>
          <w:rFonts w:ascii="Times New Roman" w:hAnsi="Times New Roman" w:cs="Times New Roman"/>
          <w:sz w:val="24"/>
          <w:szCs w:val="24"/>
        </w:rPr>
        <w:t>TSANGA AND MA</w:t>
      </w:r>
      <w:r w:rsidR="00425A2B">
        <w:rPr>
          <w:rFonts w:ascii="Times New Roman" w:hAnsi="Times New Roman" w:cs="Times New Roman"/>
          <w:sz w:val="24"/>
          <w:szCs w:val="24"/>
        </w:rPr>
        <w:t>X</w:t>
      </w:r>
      <w:r w:rsidRPr="00AB3584">
        <w:rPr>
          <w:rFonts w:ascii="Times New Roman" w:hAnsi="Times New Roman" w:cs="Times New Roman"/>
          <w:sz w:val="24"/>
          <w:szCs w:val="24"/>
        </w:rPr>
        <w:t>WELL JJ</w:t>
      </w:r>
    </w:p>
    <w:p w14:paraId="318917C1" w14:textId="6A06E4A7" w:rsidR="002E48E8" w:rsidRPr="00AB3584" w:rsidRDefault="002E48E8" w:rsidP="005A4EC9">
      <w:pPr>
        <w:spacing w:after="0" w:line="240" w:lineRule="auto"/>
        <w:jc w:val="both"/>
        <w:rPr>
          <w:rFonts w:ascii="Times New Roman" w:hAnsi="Times New Roman" w:cs="Times New Roman"/>
          <w:sz w:val="24"/>
          <w:szCs w:val="24"/>
        </w:rPr>
      </w:pPr>
      <w:r w:rsidRPr="00AB3584">
        <w:rPr>
          <w:rFonts w:ascii="Times New Roman" w:hAnsi="Times New Roman" w:cs="Times New Roman"/>
          <w:sz w:val="24"/>
          <w:szCs w:val="24"/>
        </w:rPr>
        <w:t>HARARE, 16 November, 2021</w:t>
      </w:r>
      <w:r w:rsidR="001C7661">
        <w:rPr>
          <w:rFonts w:ascii="Times New Roman" w:hAnsi="Times New Roman" w:cs="Times New Roman"/>
          <w:sz w:val="24"/>
          <w:szCs w:val="24"/>
        </w:rPr>
        <w:t xml:space="preserve"> and 9 February 2022</w:t>
      </w:r>
    </w:p>
    <w:p w14:paraId="736125F8" w14:textId="77777777" w:rsidR="002E48E8" w:rsidRPr="00AB3584" w:rsidRDefault="002E48E8" w:rsidP="005A4EC9">
      <w:pPr>
        <w:spacing w:after="0" w:line="360" w:lineRule="auto"/>
        <w:jc w:val="both"/>
        <w:rPr>
          <w:rFonts w:ascii="Times New Roman" w:hAnsi="Times New Roman" w:cs="Times New Roman"/>
          <w:sz w:val="24"/>
          <w:szCs w:val="24"/>
        </w:rPr>
      </w:pPr>
    </w:p>
    <w:p w14:paraId="70FA99A5" w14:textId="77777777" w:rsidR="002E48E8" w:rsidRPr="00AB3584" w:rsidRDefault="002E48E8" w:rsidP="005A4EC9">
      <w:pPr>
        <w:spacing w:after="0" w:line="360" w:lineRule="auto"/>
        <w:jc w:val="both"/>
        <w:rPr>
          <w:rFonts w:ascii="Times New Roman" w:hAnsi="Times New Roman" w:cs="Times New Roman"/>
          <w:b/>
          <w:sz w:val="24"/>
          <w:szCs w:val="24"/>
        </w:rPr>
      </w:pPr>
      <w:r w:rsidRPr="00AB3584">
        <w:rPr>
          <w:rFonts w:ascii="Times New Roman" w:hAnsi="Times New Roman" w:cs="Times New Roman"/>
          <w:b/>
          <w:sz w:val="24"/>
          <w:szCs w:val="24"/>
        </w:rPr>
        <w:t>Civil Appeal</w:t>
      </w:r>
    </w:p>
    <w:p w14:paraId="58E54733" w14:textId="77777777" w:rsidR="002E48E8" w:rsidRPr="00AB3584" w:rsidRDefault="002E48E8" w:rsidP="005A4EC9">
      <w:pPr>
        <w:spacing w:after="0" w:line="360" w:lineRule="auto"/>
        <w:jc w:val="both"/>
        <w:rPr>
          <w:rFonts w:ascii="Times New Roman" w:hAnsi="Times New Roman" w:cs="Times New Roman"/>
          <w:sz w:val="24"/>
          <w:szCs w:val="24"/>
        </w:rPr>
      </w:pPr>
    </w:p>
    <w:p w14:paraId="6EE95DE5" w14:textId="7AD14808" w:rsidR="002E48E8" w:rsidRPr="00AB3584" w:rsidRDefault="002E48E8" w:rsidP="005A4EC9">
      <w:pPr>
        <w:spacing w:after="0" w:line="240" w:lineRule="auto"/>
        <w:jc w:val="both"/>
        <w:rPr>
          <w:rFonts w:ascii="Times New Roman" w:hAnsi="Times New Roman" w:cs="Times New Roman"/>
          <w:sz w:val="24"/>
          <w:szCs w:val="24"/>
        </w:rPr>
      </w:pPr>
      <w:r w:rsidRPr="00AB3584">
        <w:rPr>
          <w:rFonts w:ascii="Times New Roman" w:hAnsi="Times New Roman" w:cs="Times New Roman"/>
          <w:i/>
          <w:sz w:val="24"/>
          <w:szCs w:val="24"/>
        </w:rPr>
        <w:t xml:space="preserve">D. Ndakwenwa &amp; M. Kavhumbura, </w:t>
      </w:r>
      <w:r w:rsidRPr="00AB3584">
        <w:rPr>
          <w:rFonts w:ascii="Times New Roman" w:hAnsi="Times New Roman" w:cs="Times New Roman"/>
          <w:sz w:val="24"/>
          <w:szCs w:val="24"/>
        </w:rPr>
        <w:t>for the appellant</w:t>
      </w:r>
    </w:p>
    <w:p w14:paraId="09C40963" w14:textId="7B89F125" w:rsidR="002E48E8" w:rsidRPr="00AB3584" w:rsidRDefault="002E48E8" w:rsidP="005A4EC9">
      <w:pPr>
        <w:spacing w:after="0" w:line="360" w:lineRule="auto"/>
        <w:jc w:val="both"/>
        <w:rPr>
          <w:rFonts w:ascii="Times New Roman" w:hAnsi="Times New Roman" w:cs="Times New Roman"/>
          <w:sz w:val="24"/>
          <w:szCs w:val="24"/>
        </w:rPr>
      </w:pPr>
      <w:r w:rsidRPr="00AB3584">
        <w:rPr>
          <w:rFonts w:ascii="Times New Roman" w:hAnsi="Times New Roman" w:cs="Times New Roman"/>
          <w:i/>
          <w:sz w:val="24"/>
          <w:szCs w:val="24"/>
        </w:rPr>
        <w:t xml:space="preserve">T. Nyabeze, </w:t>
      </w:r>
      <w:r w:rsidRPr="00AB3584">
        <w:rPr>
          <w:rFonts w:ascii="Times New Roman" w:hAnsi="Times New Roman" w:cs="Times New Roman"/>
          <w:sz w:val="24"/>
          <w:szCs w:val="24"/>
        </w:rPr>
        <w:t>for the respondent</w:t>
      </w:r>
    </w:p>
    <w:p w14:paraId="75F502FD" w14:textId="53808923" w:rsidR="00DE76B7" w:rsidRPr="00AB3584" w:rsidRDefault="00DE76B7" w:rsidP="005A4EC9">
      <w:pPr>
        <w:spacing w:after="0" w:line="360" w:lineRule="auto"/>
        <w:jc w:val="both"/>
        <w:rPr>
          <w:rFonts w:ascii="Times New Roman" w:hAnsi="Times New Roman" w:cs="Times New Roman"/>
          <w:sz w:val="24"/>
          <w:szCs w:val="24"/>
        </w:rPr>
      </w:pPr>
    </w:p>
    <w:p w14:paraId="0519ECD8" w14:textId="50143189" w:rsidR="00DE76B7" w:rsidRPr="00AB3584" w:rsidRDefault="00DE76B7" w:rsidP="005A4EC9">
      <w:pPr>
        <w:spacing w:after="0" w:line="360" w:lineRule="auto"/>
        <w:jc w:val="both"/>
        <w:rPr>
          <w:rFonts w:ascii="Times New Roman" w:hAnsi="Times New Roman" w:cs="Times New Roman"/>
          <w:sz w:val="24"/>
          <w:szCs w:val="24"/>
        </w:rPr>
      </w:pPr>
      <w:r w:rsidRPr="00AB3584">
        <w:rPr>
          <w:rFonts w:ascii="Times New Roman" w:hAnsi="Times New Roman" w:cs="Times New Roman"/>
          <w:sz w:val="24"/>
          <w:szCs w:val="24"/>
        </w:rPr>
        <w:t>MAXWELL J</w:t>
      </w:r>
    </w:p>
    <w:p w14:paraId="31BD26F8" w14:textId="709B0AB8" w:rsidR="00DE76B7" w:rsidRPr="00AB3584" w:rsidRDefault="00DE76B7" w:rsidP="00F04397">
      <w:pPr>
        <w:spacing w:after="0" w:line="360" w:lineRule="auto"/>
        <w:ind w:firstLine="720"/>
        <w:jc w:val="both"/>
        <w:rPr>
          <w:rFonts w:ascii="Times New Roman" w:hAnsi="Times New Roman" w:cs="Times New Roman"/>
          <w:sz w:val="24"/>
          <w:szCs w:val="24"/>
        </w:rPr>
      </w:pPr>
      <w:r w:rsidRPr="00AB3584">
        <w:rPr>
          <w:rFonts w:ascii="Times New Roman" w:hAnsi="Times New Roman" w:cs="Times New Roman"/>
          <w:sz w:val="24"/>
          <w:szCs w:val="24"/>
        </w:rPr>
        <w:t>This is an appeal against a judgment in favour of the Respondent handed down on 5 May 2021 at the Harare Magistrates Court.</w:t>
      </w:r>
    </w:p>
    <w:p w14:paraId="639EFF7E" w14:textId="41E6B1D4" w:rsidR="00E36035" w:rsidRPr="00AB3584" w:rsidRDefault="00DE76B7" w:rsidP="00F04397">
      <w:pPr>
        <w:spacing w:after="0" w:line="360" w:lineRule="auto"/>
        <w:ind w:firstLine="720"/>
        <w:jc w:val="both"/>
        <w:rPr>
          <w:rFonts w:ascii="Times New Roman" w:hAnsi="Times New Roman" w:cs="Times New Roman"/>
          <w:sz w:val="24"/>
          <w:szCs w:val="24"/>
        </w:rPr>
      </w:pPr>
      <w:r w:rsidRPr="00AB3584">
        <w:rPr>
          <w:rFonts w:ascii="Times New Roman" w:hAnsi="Times New Roman" w:cs="Times New Roman"/>
          <w:sz w:val="24"/>
          <w:szCs w:val="24"/>
        </w:rPr>
        <w:t>Respondent had issued summons claiming payment of an equivalent of $4 370</w:t>
      </w:r>
      <w:r w:rsidR="002D4C75">
        <w:rPr>
          <w:rFonts w:ascii="Times New Roman" w:hAnsi="Times New Roman" w:cs="Times New Roman"/>
          <w:sz w:val="24"/>
          <w:szCs w:val="24"/>
        </w:rPr>
        <w:t>.00</w:t>
      </w:r>
      <w:r w:rsidRPr="00AB3584">
        <w:rPr>
          <w:rFonts w:ascii="Times New Roman" w:hAnsi="Times New Roman" w:cs="Times New Roman"/>
          <w:sz w:val="24"/>
          <w:szCs w:val="24"/>
        </w:rPr>
        <w:t xml:space="preserve"> USD</w:t>
      </w:r>
      <w:r w:rsidR="00202347" w:rsidRPr="00AB3584">
        <w:rPr>
          <w:rFonts w:ascii="Times New Roman" w:hAnsi="Times New Roman" w:cs="Times New Roman"/>
          <w:sz w:val="24"/>
          <w:szCs w:val="24"/>
        </w:rPr>
        <w:t xml:space="preserve">, being tenant placement fees, </w:t>
      </w:r>
      <w:r w:rsidRPr="00AB3584">
        <w:rPr>
          <w:rFonts w:ascii="Times New Roman" w:hAnsi="Times New Roman" w:cs="Times New Roman"/>
          <w:sz w:val="24"/>
          <w:szCs w:val="24"/>
        </w:rPr>
        <w:t>at the auction rate</w:t>
      </w:r>
      <w:r w:rsidR="00202347" w:rsidRPr="00AB3584">
        <w:rPr>
          <w:rFonts w:ascii="Times New Roman" w:hAnsi="Times New Roman" w:cs="Times New Roman"/>
          <w:sz w:val="24"/>
          <w:szCs w:val="24"/>
        </w:rPr>
        <w:t>,</w:t>
      </w:r>
      <w:r w:rsidRPr="00AB3584">
        <w:rPr>
          <w:rFonts w:ascii="Times New Roman" w:hAnsi="Times New Roman" w:cs="Times New Roman"/>
          <w:sz w:val="24"/>
          <w:szCs w:val="24"/>
        </w:rPr>
        <w:t xml:space="preserve"> </w:t>
      </w:r>
      <w:r w:rsidR="005E31A7" w:rsidRPr="00AB3584">
        <w:rPr>
          <w:rFonts w:ascii="Times New Roman" w:hAnsi="Times New Roman" w:cs="Times New Roman"/>
          <w:sz w:val="24"/>
          <w:szCs w:val="24"/>
        </w:rPr>
        <w:t>plus interest thereon at the prescribed rate calculated from 8 January 2019 to date of payment in full. Respondent also claimed costs of suit on a legal practitioner and client scale as well as collection commission.</w:t>
      </w:r>
      <w:r w:rsidR="00E5560C" w:rsidRPr="00AB3584">
        <w:rPr>
          <w:rFonts w:ascii="Times New Roman" w:hAnsi="Times New Roman" w:cs="Times New Roman"/>
          <w:sz w:val="24"/>
          <w:szCs w:val="24"/>
        </w:rPr>
        <w:t xml:space="preserve"> The particulars of claim were that on 8 January 2019, the parties entered into an Owner’s Mandate to Lease</w:t>
      </w:r>
      <w:r w:rsidR="00A82447" w:rsidRPr="00AB3584">
        <w:rPr>
          <w:rFonts w:ascii="Times New Roman" w:hAnsi="Times New Roman" w:cs="Times New Roman"/>
          <w:sz w:val="24"/>
          <w:szCs w:val="24"/>
        </w:rPr>
        <w:t xml:space="preserve"> in terms of which Respondent was to secure a tenant for the Appellant’s immovable property known as 300 Fairway Avenue, Borrowdale Brooke, Harare. In exchange, Appellant would pay a tenant placement fee of $43 700.00 (Forty-three thousand</w:t>
      </w:r>
      <w:r w:rsidR="00BD5CA7" w:rsidRPr="00AB3584">
        <w:rPr>
          <w:rFonts w:ascii="Times New Roman" w:hAnsi="Times New Roman" w:cs="Times New Roman"/>
          <w:sz w:val="24"/>
          <w:szCs w:val="24"/>
        </w:rPr>
        <w:t xml:space="preserve"> Seven hundred dollars) which amount was equivalent to rental for one month. Respondent alleged that</w:t>
      </w:r>
      <w:r w:rsidR="00D4202C" w:rsidRPr="00AB3584">
        <w:rPr>
          <w:rFonts w:ascii="Times New Roman" w:hAnsi="Times New Roman" w:cs="Times New Roman"/>
          <w:sz w:val="24"/>
          <w:szCs w:val="24"/>
        </w:rPr>
        <w:t xml:space="preserve"> on 12 April 2019, through Memory Muzenda</w:t>
      </w:r>
      <w:r w:rsidR="008119E9" w:rsidRPr="00AB3584">
        <w:rPr>
          <w:rFonts w:ascii="Times New Roman" w:hAnsi="Times New Roman" w:cs="Times New Roman"/>
          <w:sz w:val="24"/>
          <w:szCs w:val="24"/>
        </w:rPr>
        <w:t xml:space="preserve"> (Memory)</w:t>
      </w:r>
      <w:r w:rsidR="00D4202C" w:rsidRPr="00AB3584">
        <w:rPr>
          <w:rFonts w:ascii="Times New Roman" w:hAnsi="Times New Roman" w:cs="Times New Roman"/>
          <w:sz w:val="24"/>
          <w:szCs w:val="24"/>
        </w:rPr>
        <w:t xml:space="preserve">, looked for and found Mr Wang who expressed </w:t>
      </w:r>
      <w:r w:rsidR="008119E9" w:rsidRPr="00AB3584">
        <w:rPr>
          <w:rFonts w:ascii="Times New Roman" w:hAnsi="Times New Roman" w:cs="Times New Roman"/>
          <w:sz w:val="24"/>
          <w:szCs w:val="24"/>
        </w:rPr>
        <w:t xml:space="preserve">his desire to rent the Appellant’s property. Memory is said to have advised Appellant’s husband that she had found a tenant. Respondent stated that Mr Wang put in an offer of USD 3800.00 per month which was rejected by Appellant. Negotiations followed and Appellant asked for Mr Wang’s details. Respondent </w:t>
      </w:r>
      <w:r w:rsidR="00BA2A6C" w:rsidRPr="00AB3584">
        <w:rPr>
          <w:rFonts w:ascii="Times New Roman" w:hAnsi="Times New Roman" w:cs="Times New Roman"/>
          <w:sz w:val="24"/>
          <w:szCs w:val="24"/>
        </w:rPr>
        <w:t xml:space="preserve">averred that Appellant approached Mr Wang behind Memory’s back and concluded a </w:t>
      </w:r>
      <w:r w:rsidR="00BA2A6C" w:rsidRPr="00AB3584">
        <w:rPr>
          <w:rFonts w:ascii="Times New Roman" w:hAnsi="Times New Roman" w:cs="Times New Roman"/>
          <w:sz w:val="24"/>
          <w:szCs w:val="24"/>
        </w:rPr>
        <w:lastRenderedPageBreak/>
        <w:t>lease agreement with him. Respondent averred that</w:t>
      </w:r>
      <w:r w:rsidR="00BD5CA7" w:rsidRPr="00AB3584">
        <w:rPr>
          <w:rFonts w:ascii="Times New Roman" w:hAnsi="Times New Roman" w:cs="Times New Roman"/>
          <w:sz w:val="24"/>
          <w:szCs w:val="24"/>
        </w:rPr>
        <w:t xml:space="preserve"> it complied with its obligations in terms of the mandate and secured a tenant for the Appellant’s property</w:t>
      </w:r>
      <w:r w:rsidR="00BA2A6C" w:rsidRPr="00AB3584">
        <w:rPr>
          <w:rFonts w:ascii="Times New Roman" w:hAnsi="Times New Roman" w:cs="Times New Roman"/>
          <w:sz w:val="24"/>
          <w:szCs w:val="24"/>
        </w:rPr>
        <w:t>.</w:t>
      </w:r>
      <w:r w:rsidR="00BD5CA7" w:rsidRPr="00AB3584">
        <w:rPr>
          <w:rFonts w:ascii="Times New Roman" w:hAnsi="Times New Roman" w:cs="Times New Roman"/>
          <w:sz w:val="24"/>
          <w:szCs w:val="24"/>
        </w:rPr>
        <w:t xml:space="preserve"> </w:t>
      </w:r>
      <w:r w:rsidR="00570C15" w:rsidRPr="00AB3584">
        <w:rPr>
          <w:rFonts w:ascii="Times New Roman" w:hAnsi="Times New Roman" w:cs="Times New Roman"/>
          <w:sz w:val="24"/>
          <w:szCs w:val="24"/>
        </w:rPr>
        <w:t>Respondent further a</w:t>
      </w:r>
      <w:r w:rsidR="00BA2A6C" w:rsidRPr="00AB3584">
        <w:rPr>
          <w:rFonts w:ascii="Times New Roman" w:hAnsi="Times New Roman" w:cs="Times New Roman"/>
          <w:sz w:val="24"/>
          <w:szCs w:val="24"/>
        </w:rPr>
        <w:t>verred</w:t>
      </w:r>
      <w:r w:rsidR="00570C15" w:rsidRPr="00AB3584">
        <w:rPr>
          <w:rFonts w:ascii="Times New Roman" w:hAnsi="Times New Roman" w:cs="Times New Roman"/>
          <w:sz w:val="24"/>
          <w:szCs w:val="24"/>
        </w:rPr>
        <w:t xml:space="preserve"> that Appellant breached the agreement in that she has failed and/or refused to settle the tenant placement fee despite demand</w:t>
      </w:r>
      <w:r w:rsidR="002D4C75">
        <w:rPr>
          <w:rFonts w:ascii="Times New Roman" w:hAnsi="Times New Roman" w:cs="Times New Roman"/>
          <w:sz w:val="24"/>
          <w:szCs w:val="24"/>
        </w:rPr>
        <w:t>.</w:t>
      </w:r>
    </w:p>
    <w:p w14:paraId="06F728C3" w14:textId="4A40E2DD" w:rsidR="00DE76B7" w:rsidRPr="00AB3584" w:rsidRDefault="005E31A7" w:rsidP="005A4EC9">
      <w:pPr>
        <w:spacing w:after="0" w:line="360" w:lineRule="auto"/>
        <w:jc w:val="both"/>
        <w:rPr>
          <w:rFonts w:ascii="Times New Roman" w:hAnsi="Times New Roman" w:cs="Times New Roman"/>
          <w:sz w:val="24"/>
          <w:szCs w:val="24"/>
        </w:rPr>
      </w:pPr>
      <w:r w:rsidRPr="00AB3584">
        <w:rPr>
          <w:rFonts w:ascii="Times New Roman" w:hAnsi="Times New Roman" w:cs="Times New Roman"/>
          <w:sz w:val="24"/>
          <w:szCs w:val="24"/>
        </w:rPr>
        <w:t xml:space="preserve"> </w:t>
      </w:r>
      <w:r w:rsidR="00F04397">
        <w:rPr>
          <w:rFonts w:ascii="Times New Roman" w:hAnsi="Times New Roman" w:cs="Times New Roman"/>
          <w:sz w:val="24"/>
          <w:szCs w:val="24"/>
        </w:rPr>
        <w:tab/>
      </w:r>
      <w:r w:rsidRPr="00AB3584">
        <w:rPr>
          <w:rFonts w:ascii="Times New Roman" w:hAnsi="Times New Roman" w:cs="Times New Roman"/>
          <w:sz w:val="24"/>
          <w:szCs w:val="24"/>
        </w:rPr>
        <w:t>The Appellant</w:t>
      </w:r>
      <w:r w:rsidR="002D4C75">
        <w:rPr>
          <w:rFonts w:ascii="Times New Roman" w:hAnsi="Times New Roman" w:cs="Times New Roman"/>
          <w:sz w:val="24"/>
          <w:szCs w:val="24"/>
        </w:rPr>
        <w:t>,</w:t>
      </w:r>
      <w:r w:rsidRPr="00AB3584">
        <w:rPr>
          <w:rFonts w:ascii="Times New Roman" w:hAnsi="Times New Roman" w:cs="Times New Roman"/>
          <w:sz w:val="24"/>
          <w:szCs w:val="24"/>
        </w:rPr>
        <w:t xml:space="preserve"> in her plea</w:t>
      </w:r>
      <w:r w:rsidR="002D4C75">
        <w:rPr>
          <w:rFonts w:ascii="Times New Roman" w:hAnsi="Times New Roman" w:cs="Times New Roman"/>
          <w:sz w:val="24"/>
          <w:szCs w:val="24"/>
        </w:rPr>
        <w:t>,</w:t>
      </w:r>
      <w:r w:rsidRPr="00AB3584">
        <w:rPr>
          <w:rFonts w:ascii="Times New Roman" w:hAnsi="Times New Roman" w:cs="Times New Roman"/>
          <w:sz w:val="24"/>
          <w:szCs w:val="24"/>
        </w:rPr>
        <w:t xml:space="preserve"> averred that Respondent had not fulfilled the mandate between the parties</w:t>
      </w:r>
      <w:r w:rsidR="00561716" w:rsidRPr="00AB3584">
        <w:rPr>
          <w:rFonts w:ascii="Times New Roman" w:hAnsi="Times New Roman" w:cs="Times New Roman"/>
          <w:sz w:val="24"/>
          <w:szCs w:val="24"/>
        </w:rPr>
        <w:t xml:space="preserve"> and therefore cannot claim tenant placement </w:t>
      </w:r>
      <w:r w:rsidR="00202347" w:rsidRPr="00AB3584">
        <w:rPr>
          <w:rFonts w:ascii="Times New Roman" w:hAnsi="Times New Roman" w:cs="Times New Roman"/>
          <w:sz w:val="24"/>
          <w:szCs w:val="24"/>
        </w:rPr>
        <w:t>fees.</w:t>
      </w:r>
      <w:r w:rsidR="00BA2A6C" w:rsidRPr="00AB3584">
        <w:rPr>
          <w:rFonts w:ascii="Times New Roman" w:hAnsi="Times New Roman" w:cs="Times New Roman"/>
          <w:sz w:val="24"/>
          <w:szCs w:val="24"/>
        </w:rPr>
        <w:t xml:space="preserve"> She further averred that Respondent was supposed to secure a tenant and draft a lease agreement.</w:t>
      </w:r>
      <w:r w:rsidR="00CD7E39" w:rsidRPr="00AB3584">
        <w:rPr>
          <w:rFonts w:ascii="Times New Roman" w:hAnsi="Times New Roman" w:cs="Times New Roman"/>
          <w:sz w:val="24"/>
          <w:szCs w:val="24"/>
        </w:rPr>
        <w:t xml:space="preserve"> According to her, her husband is the one who obtained the tenant who was residing on the property at the time of the institution of these proceedings. </w:t>
      </w:r>
      <w:r w:rsidR="00202347" w:rsidRPr="00AB3584">
        <w:rPr>
          <w:rFonts w:ascii="Times New Roman" w:hAnsi="Times New Roman" w:cs="Times New Roman"/>
          <w:sz w:val="24"/>
          <w:szCs w:val="24"/>
        </w:rPr>
        <w:t xml:space="preserve"> She further averred that Respondent was not entitled to payment either in United States Dollars or Zimbabwean dollars at the auction rate.</w:t>
      </w:r>
      <w:r w:rsidR="00FC7491" w:rsidRPr="00AB3584">
        <w:rPr>
          <w:rFonts w:ascii="Times New Roman" w:hAnsi="Times New Roman" w:cs="Times New Roman"/>
          <w:sz w:val="24"/>
          <w:szCs w:val="24"/>
        </w:rPr>
        <w:t xml:space="preserve"> </w:t>
      </w:r>
      <w:r w:rsidR="009B7555" w:rsidRPr="00AB3584">
        <w:rPr>
          <w:rFonts w:ascii="Times New Roman" w:hAnsi="Times New Roman" w:cs="Times New Roman"/>
          <w:sz w:val="24"/>
          <w:szCs w:val="24"/>
        </w:rPr>
        <w:t>The matter went to trial and the Respondent’s claim was granted with an amendment on the amount to be paid.</w:t>
      </w:r>
    </w:p>
    <w:p w14:paraId="3FB675AC" w14:textId="196887A4" w:rsidR="009B7555" w:rsidRPr="00AB3584" w:rsidRDefault="009B7555" w:rsidP="005A4EC9">
      <w:pPr>
        <w:spacing w:after="0" w:line="360" w:lineRule="auto"/>
        <w:jc w:val="both"/>
        <w:rPr>
          <w:rFonts w:ascii="Times New Roman" w:hAnsi="Times New Roman" w:cs="Times New Roman"/>
          <w:b/>
          <w:bCs/>
          <w:i/>
          <w:iCs/>
          <w:sz w:val="24"/>
          <w:szCs w:val="24"/>
        </w:rPr>
      </w:pPr>
      <w:r w:rsidRPr="00AB3584">
        <w:rPr>
          <w:rFonts w:ascii="Times New Roman" w:hAnsi="Times New Roman" w:cs="Times New Roman"/>
          <w:b/>
          <w:bCs/>
          <w:sz w:val="24"/>
          <w:szCs w:val="24"/>
        </w:rPr>
        <w:t xml:space="preserve">Judgment of the Court </w:t>
      </w:r>
      <w:r w:rsidRPr="00AB3584">
        <w:rPr>
          <w:rFonts w:ascii="Times New Roman" w:hAnsi="Times New Roman" w:cs="Times New Roman"/>
          <w:b/>
          <w:bCs/>
          <w:i/>
          <w:iCs/>
          <w:sz w:val="24"/>
          <w:szCs w:val="24"/>
        </w:rPr>
        <w:t>a Quo</w:t>
      </w:r>
    </w:p>
    <w:p w14:paraId="5A2869A8" w14:textId="7A53EE2B" w:rsidR="00CD7E39" w:rsidRPr="00AB3584" w:rsidRDefault="006720A1" w:rsidP="00F04397">
      <w:pPr>
        <w:spacing w:after="0" w:line="360" w:lineRule="auto"/>
        <w:ind w:firstLine="720"/>
        <w:jc w:val="both"/>
        <w:rPr>
          <w:rFonts w:ascii="Times New Roman" w:hAnsi="Times New Roman" w:cs="Times New Roman"/>
          <w:sz w:val="24"/>
          <w:szCs w:val="24"/>
        </w:rPr>
      </w:pPr>
      <w:r w:rsidRPr="00AB3584">
        <w:rPr>
          <w:rFonts w:ascii="Times New Roman" w:hAnsi="Times New Roman" w:cs="Times New Roman"/>
          <w:sz w:val="24"/>
          <w:szCs w:val="24"/>
        </w:rPr>
        <w:t xml:space="preserve">The court </w:t>
      </w:r>
      <w:r w:rsidR="00583D35" w:rsidRPr="00AB3584">
        <w:rPr>
          <w:rFonts w:ascii="Times New Roman" w:hAnsi="Times New Roman" w:cs="Times New Roman"/>
          <w:i/>
          <w:iCs/>
          <w:sz w:val="24"/>
          <w:szCs w:val="24"/>
        </w:rPr>
        <w:t>a quo</w:t>
      </w:r>
      <w:r w:rsidR="00583D35" w:rsidRPr="00AB3584">
        <w:rPr>
          <w:rFonts w:ascii="Times New Roman" w:hAnsi="Times New Roman" w:cs="Times New Roman"/>
          <w:sz w:val="24"/>
          <w:szCs w:val="24"/>
        </w:rPr>
        <w:t xml:space="preserve"> </w:t>
      </w:r>
      <w:r w:rsidRPr="00AB3584">
        <w:rPr>
          <w:rFonts w:ascii="Times New Roman" w:hAnsi="Times New Roman" w:cs="Times New Roman"/>
          <w:sz w:val="24"/>
          <w:szCs w:val="24"/>
        </w:rPr>
        <w:t xml:space="preserve">found that although Appellant entered into an agreement with the Respondent, she was aware that Memory was communicating with her husband over the same agreement. It observed that Appellant did not stop Memory from communicating with her husband on issues relating to the mandate </w:t>
      </w:r>
      <w:r w:rsidR="00583D35" w:rsidRPr="00AB3584">
        <w:rPr>
          <w:rFonts w:ascii="Times New Roman" w:hAnsi="Times New Roman" w:cs="Times New Roman"/>
          <w:sz w:val="24"/>
          <w:szCs w:val="24"/>
        </w:rPr>
        <w:t xml:space="preserve">thereby creating the impression that she had allowed him to be involved. </w:t>
      </w:r>
    </w:p>
    <w:p w14:paraId="3408AADA" w14:textId="63FEF767" w:rsidR="009B7555" w:rsidRPr="00AB3584" w:rsidRDefault="00583D35" w:rsidP="00F04397">
      <w:pPr>
        <w:spacing w:after="0" w:line="360" w:lineRule="auto"/>
        <w:ind w:firstLine="720"/>
        <w:jc w:val="both"/>
        <w:rPr>
          <w:rFonts w:ascii="Times New Roman" w:hAnsi="Times New Roman" w:cs="Times New Roman"/>
          <w:sz w:val="24"/>
          <w:szCs w:val="24"/>
        </w:rPr>
      </w:pPr>
      <w:r w:rsidRPr="00AB3584">
        <w:rPr>
          <w:rFonts w:ascii="Times New Roman" w:hAnsi="Times New Roman" w:cs="Times New Roman"/>
          <w:sz w:val="24"/>
          <w:szCs w:val="24"/>
        </w:rPr>
        <w:t xml:space="preserve">It further observed that when Appellant’s husband denied the offer brought by Memory, he clearly stated that both of them were not accepting it on the basis that usd 4000.00 was their last figure. </w:t>
      </w:r>
      <w:r w:rsidR="002B3EED" w:rsidRPr="00AB3584">
        <w:rPr>
          <w:rFonts w:ascii="Times New Roman" w:hAnsi="Times New Roman" w:cs="Times New Roman"/>
          <w:sz w:val="24"/>
          <w:szCs w:val="24"/>
        </w:rPr>
        <w:t xml:space="preserve">It was of the view that the acceptance of a less offer from the same tenant </w:t>
      </w:r>
      <w:r w:rsidR="00490C9A" w:rsidRPr="00AB3584">
        <w:rPr>
          <w:rFonts w:ascii="Times New Roman" w:hAnsi="Times New Roman" w:cs="Times New Roman"/>
          <w:sz w:val="24"/>
          <w:szCs w:val="24"/>
        </w:rPr>
        <w:t xml:space="preserve">without Memory’s involvement did not negate the agreement. </w:t>
      </w:r>
      <w:r w:rsidRPr="00AB3584">
        <w:rPr>
          <w:rFonts w:ascii="Times New Roman" w:hAnsi="Times New Roman" w:cs="Times New Roman"/>
          <w:sz w:val="24"/>
          <w:szCs w:val="24"/>
        </w:rPr>
        <w:t>The court stated that the only inference that can be drawn</w:t>
      </w:r>
      <w:r w:rsidR="002B3EED" w:rsidRPr="00AB3584">
        <w:rPr>
          <w:rFonts w:ascii="Times New Roman" w:hAnsi="Times New Roman" w:cs="Times New Roman"/>
          <w:sz w:val="24"/>
          <w:szCs w:val="24"/>
        </w:rPr>
        <w:t xml:space="preserve"> is that the Appellant allowed her husband, who</w:t>
      </w:r>
      <w:r w:rsidR="00490C9A" w:rsidRPr="00AB3584">
        <w:rPr>
          <w:rFonts w:ascii="Times New Roman" w:hAnsi="Times New Roman" w:cs="Times New Roman"/>
          <w:sz w:val="24"/>
          <w:szCs w:val="24"/>
        </w:rPr>
        <w:t xml:space="preserve"> </w:t>
      </w:r>
      <w:r w:rsidR="002B3EED" w:rsidRPr="00AB3584">
        <w:rPr>
          <w:rFonts w:ascii="Times New Roman" w:hAnsi="Times New Roman" w:cs="Times New Roman"/>
          <w:sz w:val="24"/>
          <w:szCs w:val="24"/>
        </w:rPr>
        <w:t>was present when the mandate was signed, and also a co-owner of the immovable property to be leased, to take an active role with her approval and she took a back seat. The court concluded that Memory introduced the tenant to the Appellant</w:t>
      </w:r>
      <w:r w:rsidR="009470C7" w:rsidRPr="00AB3584">
        <w:rPr>
          <w:rFonts w:ascii="Times New Roman" w:hAnsi="Times New Roman" w:cs="Times New Roman"/>
          <w:sz w:val="24"/>
          <w:szCs w:val="24"/>
        </w:rPr>
        <w:t xml:space="preserve"> therefore Respondent was entitled to the tenant placement fee. It however did not award the amount claimed  on the basis that it would</w:t>
      </w:r>
      <w:r w:rsidR="002D4C75">
        <w:rPr>
          <w:rFonts w:ascii="Times New Roman" w:hAnsi="Times New Roman" w:cs="Times New Roman"/>
          <w:sz w:val="24"/>
          <w:szCs w:val="24"/>
        </w:rPr>
        <w:t xml:space="preserve"> be in the interest of justice  that Respondent’s</w:t>
      </w:r>
      <w:r w:rsidR="009470C7" w:rsidRPr="00AB3584">
        <w:rPr>
          <w:rFonts w:ascii="Times New Roman" w:hAnsi="Times New Roman" w:cs="Times New Roman"/>
          <w:sz w:val="24"/>
          <w:szCs w:val="24"/>
        </w:rPr>
        <w:t xml:space="preserve"> commission be in terms of the offer that was finally accepted by the Appellant on 30 April 2019, which was $ 3500.00 usd plus vat. The court also awarded Respondent costs of suit.</w:t>
      </w:r>
    </w:p>
    <w:p w14:paraId="6B5BCAE7" w14:textId="30BB672A" w:rsidR="009470C7" w:rsidRPr="00AB3584" w:rsidRDefault="006D6C9E" w:rsidP="005A4EC9">
      <w:pPr>
        <w:spacing w:after="0" w:line="360" w:lineRule="auto"/>
        <w:jc w:val="both"/>
        <w:rPr>
          <w:rFonts w:ascii="Times New Roman" w:hAnsi="Times New Roman" w:cs="Times New Roman"/>
          <w:b/>
          <w:bCs/>
          <w:sz w:val="24"/>
          <w:szCs w:val="24"/>
        </w:rPr>
      </w:pPr>
      <w:r w:rsidRPr="00AB3584">
        <w:rPr>
          <w:rFonts w:ascii="Times New Roman" w:hAnsi="Times New Roman" w:cs="Times New Roman"/>
          <w:b/>
          <w:bCs/>
          <w:sz w:val="24"/>
          <w:szCs w:val="24"/>
        </w:rPr>
        <w:lastRenderedPageBreak/>
        <w:t>Grounds of Appeal</w:t>
      </w:r>
    </w:p>
    <w:p w14:paraId="69827849" w14:textId="65C0F131" w:rsidR="009470C7" w:rsidRPr="00AB3584" w:rsidRDefault="009470C7" w:rsidP="005A4EC9">
      <w:pPr>
        <w:spacing w:after="0" w:line="360" w:lineRule="auto"/>
        <w:jc w:val="both"/>
        <w:rPr>
          <w:rFonts w:ascii="Times New Roman" w:hAnsi="Times New Roman" w:cs="Times New Roman"/>
          <w:sz w:val="24"/>
          <w:szCs w:val="24"/>
        </w:rPr>
      </w:pPr>
      <w:r w:rsidRPr="00AB3584">
        <w:rPr>
          <w:rFonts w:ascii="Times New Roman" w:hAnsi="Times New Roman" w:cs="Times New Roman"/>
          <w:sz w:val="24"/>
          <w:szCs w:val="24"/>
        </w:rPr>
        <w:t>Appellant was aggrieved and noted an appeal on the following grounds</w:t>
      </w:r>
      <w:r w:rsidR="006D6C9E" w:rsidRPr="00AB3584">
        <w:rPr>
          <w:rFonts w:ascii="Times New Roman" w:hAnsi="Times New Roman" w:cs="Times New Roman"/>
          <w:sz w:val="24"/>
          <w:szCs w:val="24"/>
        </w:rPr>
        <w:t>; -</w:t>
      </w:r>
    </w:p>
    <w:p w14:paraId="35F1D87E" w14:textId="482B1E9F" w:rsidR="006D6C9E" w:rsidRPr="00AB3584" w:rsidRDefault="006D6C9E" w:rsidP="005A4EC9">
      <w:pPr>
        <w:pStyle w:val="ListParagraph"/>
        <w:numPr>
          <w:ilvl w:val="0"/>
          <w:numId w:val="1"/>
        </w:numPr>
        <w:spacing w:after="0" w:line="360" w:lineRule="auto"/>
        <w:jc w:val="both"/>
        <w:rPr>
          <w:rFonts w:ascii="Times New Roman" w:hAnsi="Times New Roman" w:cs="Times New Roman"/>
          <w:sz w:val="24"/>
          <w:szCs w:val="24"/>
        </w:rPr>
      </w:pPr>
      <w:r w:rsidRPr="00AB3584">
        <w:rPr>
          <w:rFonts w:ascii="Times New Roman" w:hAnsi="Times New Roman" w:cs="Times New Roman"/>
          <w:sz w:val="24"/>
          <w:szCs w:val="24"/>
        </w:rPr>
        <w:t>The learned magistrate erred and grossly misdirected herself in finding that the Respondent performed its obligation in terms of the mandate contrary to the evidence that was led which proved that Respondent did not bring the tenant and draw up the lease agreement as per the mandate.</w:t>
      </w:r>
    </w:p>
    <w:p w14:paraId="3942A19D" w14:textId="23871CFC" w:rsidR="006D6C9E" w:rsidRPr="00AB3584" w:rsidRDefault="006D6C9E" w:rsidP="005A4EC9">
      <w:pPr>
        <w:pStyle w:val="ListParagraph"/>
        <w:numPr>
          <w:ilvl w:val="0"/>
          <w:numId w:val="1"/>
        </w:numPr>
        <w:spacing w:after="0" w:line="360" w:lineRule="auto"/>
        <w:jc w:val="both"/>
        <w:rPr>
          <w:rFonts w:ascii="Times New Roman" w:hAnsi="Times New Roman" w:cs="Times New Roman"/>
          <w:sz w:val="24"/>
          <w:szCs w:val="24"/>
        </w:rPr>
      </w:pPr>
      <w:r w:rsidRPr="00AB3584">
        <w:rPr>
          <w:rFonts w:ascii="Times New Roman" w:hAnsi="Times New Roman" w:cs="Times New Roman"/>
          <w:sz w:val="24"/>
          <w:szCs w:val="24"/>
        </w:rPr>
        <w:t xml:space="preserve">The learned magistrate erred and grossly misdirected herself in making a finding against the Appellant based on communications that was </w:t>
      </w:r>
      <w:r w:rsidR="00401625" w:rsidRPr="00AB3584">
        <w:rPr>
          <w:rFonts w:ascii="Times New Roman" w:hAnsi="Times New Roman" w:cs="Times New Roman"/>
          <w:sz w:val="24"/>
          <w:szCs w:val="24"/>
        </w:rPr>
        <w:t>made (sic) by an individual who was not party to the mandate between Appellant and Respondent.</w:t>
      </w:r>
    </w:p>
    <w:p w14:paraId="116FB1B6" w14:textId="034D7E69" w:rsidR="00401625" w:rsidRPr="00AB3584" w:rsidRDefault="00401625" w:rsidP="005A4EC9">
      <w:pPr>
        <w:pStyle w:val="ListParagraph"/>
        <w:numPr>
          <w:ilvl w:val="0"/>
          <w:numId w:val="1"/>
        </w:numPr>
        <w:spacing w:after="0" w:line="360" w:lineRule="auto"/>
        <w:jc w:val="both"/>
        <w:rPr>
          <w:rFonts w:ascii="Times New Roman" w:hAnsi="Times New Roman" w:cs="Times New Roman"/>
          <w:sz w:val="24"/>
          <w:szCs w:val="24"/>
        </w:rPr>
      </w:pPr>
      <w:r w:rsidRPr="00AB3584">
        <w:rPr>
          <w:rFonts w:ascii="Times New Roman" w:hAnsi="Times New Roman" w:cs="Times New Roman"/>
          <w:sz w:val="24"/>
          <w:szCs w:val="24"/>
        </w:rPr>
        <w:t>The learned magistrate erred and grossly misdirected herself in finding the Appellant liable after making a finding that the introduction of the tenant was made to one Mr Chirunga in terms of a new agreement between Mr Chirunga and the Respondent.</w:t>
      </w:r>
    </w:p>
    <w:p w14:paraId="4EF73D30" w14:textId="427A048D" w:rsidR="00401625" w:rsidRPr="00AB3584" w:rsidRDefault="00401625" w:rsidP="005A4EC9">
      <w:pPr>
        <w:spacing w:after="0" w:line="360" w:lineRule="auto"/>
        <w:jc w:val="both"/>
        <w:rPr>
          <w:rFonts w:ascii="Times New Roman" w:hAnsi="Times New Roman" w:cs="Times New Roman"/>
          <w:sz w:val="24"/>
          <w:szCs w:val="24"/>
        </w:rPr>
      </w:pPr>
      <w:r w:rsidRPr="00AB3584">
        <w:rPr>
          <w:rFonts w:ascii="Times New Roman" w:hAnsi="Times New Roman" w:cs="Times New Roman"/>
          <w:sz w:val="24"/>
          <w:szCs w:val="24"/>
        </w:rPr>
        <w:t>Appellant prayed for the setting aside of the judgment of the court a quo and its substitution with a dismissal of the Respondent’s claim.</w:t>
      </w:r>
    </w:p>
    <w:p w14:paraId="5E0D5DAD" w14:textId="452B7CAD" w:rsidR="00401625" w:rsidRPr="00AB3584" w:rsidRDefault="00401625" w:rsidP="005A4EC9">
      <w:pPr>
        <w:spacing w:after="0" w:line="360" w:lineRule="auto"/>
        <w:jc w:val="both"/>
        <w:rPr>
          <w:rFonts w:ascii="Times New Roman" w:hAnsi="Times New Roman" w:cs="Times New Roman"/>
          <w:b/>
          <w:bCs/>
          <w:sz w:val="24"/>
          <w:szCs w:val="24"/>
        </w:rPr>
      </w:pPr>
      <w:r w:rsidRPr="00AB3584">
        <w:rPr>
          <w:rFonts w:ascii="Times New Roman" w:hAnsi="Times New Roman" w:cs="Times New Roman"/>
          <w:b/>
          <w:bCs/>
          <w:sz w:val="24"/>
          <w:szCs w:val="24"/>
        </w:rPr>
        <w:t>Submissions by the Parties</w:t>
      </w:r>
    </w:p>
    <w:p w14:paraId="5E30C6D5" w14:textId="4295C5FA" w:rsidR="00ED4DAE" w:rsidRPr="00AB3584" w:rsidRDefault="00A456F2" w:rsidP="00F04397">
      <w:pPr>
        <w:spacing w:after="0" w:line="360" w:lineRule="auto"/>
        <w:ind w:firstLine="720"/>
        <w:jc w:val="both"/>
        <w:rPr>
          <w:rFonts w:ascii="Times New Roman" w:hAnsi="Times New Roman" w:cs="Times New Roman"/>
          <w:sz w:val="24"/>
          <w:szCs w:val="24"/>
        </w:rPr>
      </w:pPr>
      <w:r w:rsidRPr="00AB3584">
        <w:rPr>
          <w:rFonts w:ascii="Times New Roman" w:hAnsi="Times New Roman" w:cs="Times New Roman"/>
          <w:sz w:val="24"/>
          <w:szCs w:val="24"/>
        </w:rPr>
        <w:t>Appellant submitted that in terms of the mandate, Respondent’s obligations were to find a tenant and draw up a lease agreement.</w:t>
      </w:r>
      <w:r w:rsidR="00D52119" w:rsidRPr="00AB3584">
        <w:rPr>
          <w:rFonts w:ascii="Times New Roman" w:hAnsi="Times New Roman" w:cs="Times New Roman"/>
          <w:sz w:val="24"/>
          <w:szCs w:val="24"/>
        </w:rPr>
        <w:t xml:space="preserve"> She submitted that the evidence led showed that Memory did not introduce the tenant to Appellant and did not discuss with Appellant but with her husband. Appellant indicated that the grounds of appeal relate to factual findings and that she was cognizant of the fact that an appeal court is slow to interfere with factual findings made by a trial court. She referred to </w:t>
      </w:r>
      <w:r w:rsidR="00D52119" w:rsidRPr="00F04397">
        <w:rPr>
          <w:rFonts w:ascii="Times New Roman" w:hAnsi="Times New Roman" w:cs="Times New Roman"/>
          <w:b/>
          <w:bCs/>
          <w:i/>
          <w:sz w:val="24"/>
          <w:szCs w:val="24"/>
        </w:rPr>
        <w:t>Zinwa</w:t>
      </w:r>
      <w:r w:rsidR="00D52119" w:rsidRPr="00AB3584">
        <w:rPr>
          <w:rFonts w:ascii="Times New Roman" w:hAnsi="Times New Roman" w:cs="Times New Roman"/>
          <w:b/>
          <w:bCs/>
          <w:sz w:val="24"/>
          <w:szCs w:val="24"/>
        </w:rPr>
        <w:t xml:space="preserve"> v </w:t>
      </w:r>
      <w:r w:rsidR="00D52119" w:rsidRPr="00F04397">
        <w:rPr>
          <w:rFonts w:ascii="Times New Roman" w:hAnsi="Times New Roman" w:cs="Times New Roman"/>
          <w:b/>
          <w:bCs/>
          <w:i/>
          <w:sz w:val="24"/>
          <w:szCs w:val="24"/>
        </w:rPr>
        <w:t>Mwoyounotsva</w:t>
      </w:r>
      <w:r w:rsidR="00D52119" w:rsidRPr="00AB3584">
        <w:rPr>
          <w:rFonts w:ascii="Times New Roman" w:hAnsi="Times New Roman" w:cs="Times New Roman"/>
          <w:b/>
          <w:bCs/>
          <w:sz w:val="24"/>
          <w:szCs w:val="24"/>
        </w:rPr>
        <w:t xml:space="preserve"> </w:t>
      </w:r>
      <w:r w:rsidR="0083429C">
        <w:rPr>
          <w:rFonts w:ascii="Times New Roman" w:hAnsi="Times New Roman" w:cs="Times New Roman"/>
          <w:sz w:val="24"/>
          <w:szCs w:val="24"/>
        </w:rPr>
        <w:t xml:space="preserve">SC 28/15, </w:t>
      </w:r>
      <w:r w:rsidR="00D52119" w:rsidRPr="00F04397">
        <w:rPr>
          <w:rFonts w:ascii="Times New Roman" w:hAnsi="Times New Roman" w:cs="Times New Roman"/>
          <w:b/>
          <w:bCs/>
          <w:i/>
          <w:sz w:val="24"/>
          <w:szCs w:val="24"/>
        </w:rPr>
        <w:t>Aidan Beckford</w:t>
      </w:r>
      <w:r w:rsidR="00D52119" w:rsidRPr="00AB3584">
        <w:rPr>
          <w:rFonts w:ascii="Times New Roman" w:hAnsi="Times New Roman" w:cs="Times New Roman"/>
          <w:b/>
          <w:bCs/>
          <w:sz w:val="24"/>
          <w:szCs w:val="24"/>
        </w:rPr>
        <w:t xml:space="preserve"> v </w:t>
      </w:r>
      <w:r w:rsidR="00D52119" w:rsidRPr="00F04397">
        <w:rPr>
          <w:rFonts w:ascii="Times New Roman" w:hAnsi="Times New Roman" w:cs="Times New Roman"/>
          <w:b/>
          <w:bCs/>
          <w:i/>
          <w:sz w:val="24"/>
          <w:szCs w:val="24"/>
        </w:rPr>
        <w:t>Elizabeth Anne</w:t>
      </w:r>
      <w:r w:rsidR="00517BD2" w:rsidRPr="00F04397">
        <w:rPr>
          <w:rFonts w:ascii="Times New Roman" w:hAnsi="Times New Roman" w:cs="Times New Roman"/>
          <w:b/>
          <w:bCs/>
          <w:i/>
          <w:sz w:val="24"/>
          <w:szCs w:val="24"/>
        </w:rPr>
        <w:t xml:space="preserve"> </w:t>
      </w:r>
      <w:r w:rsidR="00F04397" w:rsidRPr="00F04397">
        <w:rPr>
          <w:rFonts w:ascii="Times New Roman" w:hAnsi="Times New Roman" w:cs="Times New Roman"/>
          <w:b/>
          <w:bCs/>
          <w:i/>
          <w:sz w:val="24"/>
          <w:szCs w:val="24"/>
        </w:rPr>
        <w:t>Beckford</w:t>
      </w:r>
      <w:r w:rsidR="00F04397" w:rsidRPr="00AB3584">
        <w:rPr>
          <w:rFonts w:ascii="Times New Roman" w:hAnsi="Times New Roman" w:cs="Times New Roman"/>
          <w:b/>
          <w:bCs/>
          <w:sz w:val="24"/>
          <w:szCs w:val="24"/>
        </w:rPr>
        <w:t xml:space="preserve"> </w:t>
      </w:r>
      <w:r w:rsidR="00F04397" w:rsidRPr="00AB3584">
        <w:rPr>
          <w:rFonts w:ascii="Times New Roman" w:hAnsi="Times New Roman" w:cs="Times New Roman"/>
          <w:sz w:val="24"/>
          <w:szCs w:val="24"/>
        </w:rPr>
        <w:t>SC</w:t>
      </w:r>
      <w:r w:rsidR="00517BD2" w:rsidRPr="00AB3584">
        <w:rPr>
          <w:rFonts w:ascii="Times New Roman" w:hAnsi="Times New Roman" w:cs="Times New Roman"/>
          <w:sz w:val="24"/>
          <w:szCs w:val="24"/>
        </w:rPr>
        <w:t xml:space="preserve"> 25/09 and </w:t>
      </w:r>
      <w:r w:rsidR="00517BD2" w:rsidRPr="00F04397">
        <w:rPr>
          <w:rFonts w:ascii="Times New Roman" w:hAnsi="Times New Roman" w:cs="Times New Roman"/>
          <w:b/>
          <w:bCs/>
          <w:i/>
          <w:sz w:val="24"/>
          <w:szCs w:val="24"/>
        </w:rPr>
        <w:t>Hama</w:t>
      </w:r>
      <w:r w:rsidR="00517BD2" w:rsidRPr="00AB3584">
        <w:rPr>
          <w:rFonts w:ascii="Times New Roman" w:hAnsi="Times New Roman" w:cs="Times New Roman"/>
          <w:b/>
          <w:bCs/>
          <w:sz w:val="24"/>
          <w:szCs w:val="24"/>
        </w:rPr>
        <w:t xml:space="preserve"> v </w:t>
      </w:r>
      <w:r w:rsidR="00517BD2" w:rsidRPr="00F04397">
        <w:rPr>
          <w:rFonts w:ascii="Times New Roman" w:hAnsi="Times New Roman" w:cs="Times New Roman"/>
          <w:b/>
          <w:bCs/>
          <w:i/>
          <w:sz w:val="24"/>
          <w:szCs w:val="24"/>
        </w:rPr>
        <w:t>National Railways of Zimbabwe</w:t>
      </w:r>
      <w:r w:rsidR="00517BD2" w:rsidRPr="00AB3584">
        <w:rPr>
          <w:rFonts w:ascii="Times New Roman" w:hAnsi="Times New Roman" w:cs="Times New Roman"/>
          <w:b/>
          <w:bCs/>
          <w:sz w:val="24"/>
          <w:szCs w:val="24"/>
        </w:rPr>
        <w:t xml:space="preserve"> </w:t>
      </w:r>
      <w:r w:rsidR="00517BD2" w:rsidRPr="00AB3584">
        <w:rPr>
          <w:rFonts w:ascii="Times New Roman" w:hAnsi="Times New Roman" w:cs="Times New Roman"/>
          <w:sz w:val="24"/>
          <w:szCs w:val="24"/>
        </w:rPr>
        <w:t>1996 (1) ZLR 664</w:t>
      </w:r>
      <w:r w:rsidR="002D4C75">
        <w:rPr>
          <w:rFonts w:ascii="Times New Roman" w:hAnsi="Times New Roman" w:cs="Times New Roman"/>
          <w:sz w:val="24"/>
          <w:szCs w:val="24"/>
        </w:rPr>
        <w:t>.</w:t>
      </w:r>
      <w:r w:rsidR="00517BD2" w:rsidRPr="00AB3584">
        <w:rPr>
          <w:rFonts w:ascii="Times New Roman" w:hAnsi="Times New Roman" w:cs="Times New Roman"/>
          <w:sz w:val="24"/>
          <w:szCs w:val="24"/>
        </w:rPr>
        <w:t xml:space="preserve"> She submitted that the magistrate’s findings ought to be set aside  on the ground that they are contrary to the evidence led by the parties. She pointed out that the magistrate accepted that Memory was communicating with Mr Chirunga</w:t>
      </w:r>
      <w:r w:rsidR="00FA3A61" w:rsidRPr="00AB3584">
        <w:rPr>
          <w:rFonts w:ascii="Times New Roman" w:hAnsi="Times New Roman" w:cs="Times New Roman"/>
          <w:sz w:val="24"/>
          <w:szCs w:val="24"/>
        </w:rPr>
        <w:t xml:space="preserve">. In her view that communication had no bearing on her as the signatory to the mandate. She therefore criticizes the magistrate for finding that Respondent had performed its obligation in terms of the mandate agreement based on the communication between Memory and Mr Chirunga. Appellant submitted that Respondent did not </w:t>
      </w:r>
      <w:r w:rsidR="00952B46" w:rsidRPr="00AB3584">
        <w:rPr>
          <w:rFonts w:ascii="Times New Roman" w:hAnsi="Times New Roman" w:cs="Times New Roman"/>
          <w:sz w:val="24"/>
          <w:szCs w:val="24"/>
        </w:rPr>
        <w:t xml:space="preserve">bring the tenant and did not draw up </w:t>
      </w:r>
      <w:r w:rsidR="00952B46" w:rsidRPr="00AB3584">
        <w:rPr>
          <w:rFonts w:ascii="Times New Roman" w:hAnsi="Times New Roman" w:cs="Times New Roman"/>
          <w:sz w:val="24"/>
          <w:szCs w:val="24"/>
        </w:rPr>
        <w:lastRenderedPageBreak/>
        <w:t>the lease agreement as per mandate and did not discharge the onus to prove that it did. She prayed for the granting of the appeal with costs.</w:t>
      </w:r>
    </w:p>
    <w:p w14:paraId="7350A3CF" w14:textId="60775FDA" w:rsidR="00952B46" w:rsidRPr="00AB3584" w:rsidRDefault="00ED4DAE" w:rsidP="00F04397">
      <w:pPr>
        <w:spacing w:after="0" w:line="360" w:lineRule="auto"/>
        <w:ind w:firstLine="720"/>
        <w:jc w:val="both"/>
        <w:rPr>
          <w:rFonts w:ascii="Times New Roman" w:hAnsi="Times New Roman" w:cs="Times New Roman"/>
          <w:sz w:val="24"/>
          <w:szCs w:val="24"/>
        </w:rPr>
      </w:pPr>
      <w:r w:rsidRPr="00AB3584">
        <w:rPr>
          <w:rFonts w:ascii="Times New Roman" w:hAnsi="Times New Roman" w:cs="Times New Roman"/>
          <w:sz w:val="24"/>
          <w:szCs w:val="24"/>
        </w:rPr>
        <w:t xml:space="preserve">Respondent submitted that the court a quo considered the correct issue and came to a conclusion supported by the facts. It submitted that </w:t>
      </w:r>
      <w:r w:rsidR="00B43E68" w:rsidRPr="00AB3584">
        <w:rPr>
          <w:rFonts w:ascii="Times New Roman" w:hAnsi="Times New Roman" w:cs="Times New Roman"/>
          <w:sz w:val="24"/>
          <w:szCs w:val="24"/>
        </w:rPr>
        <w:t xml:space="preserve">it is clear that the evidence supports the conclusion that the Respondent brought Mr Wang to the Appellant and that Appellant’s husband, whilst working in common purpose with her, pretended to have rejected the offer that was presented to him by Memory on account that the offer was below an acceptable amount. It further submitted that it was not controverted that the Appellant went on to conclude a lease agreement with the same Mr Wang </w:t>
      </w:r>
      <w:r w:rsidR="00EE6E20" w:rsidRPr="00AB3584">
        <w:rPr>
          <w:rFonts w:ascii="Times New Roman" w:hAnsi="Times New Roman" w:cs="Times New Roman"/>
          <w:sz w:val="24"/>
          <w:szCs w:val="24"/>
        </w:rPr>
        <w:t>‘</w:t>
      </w:r>
      <w:r w:rsidR="00B43E68" w:rsidRPr="00AB3584">
        <w:rPr>
          <w:rFonts w:ascii="Times New Roman" w:hAnsi="Times New Roman" w:cs="Times New Roman"/>
          <w:sz w:val="24"/>
          <w:szCs w:val="24"/>
        </w:rPr>
        <w:t>nicodemously</w:t>
      </w:r>
      <w:r w:rsidR="00EE6E20" w:rsidRPr="00AB3584">
        <w:rPr>
          <w:rFonts w:ascii="Times New Roman" w:hAnsi="Times New Roman" w:cs="Times New Roman"/>
          <w:sz w:val="24"/>
          <w:szCs w:val="24"/>
        </w:rPr>
        <w:t xml:space="preserve">’. Respondent pointed out that Mr Chirunga had admitted that </w:t>
      </w:r>
      <w:r w:rsidR="006B0E35" w:rsidRPr="00AB3584">
        <w:rPr>
          <w:rFonts w:ascii="Times New Roman" w:hAnsi="Times New Roman" w:cs="Times New Roman"/>
          <w:sz w:val="24"/>
          <w:szCs w:val="24"/>
        </w:rPr>
        <w:t>he was working in common purpose with his wife and therefore the court cannot be faulted for finding that the communication between Memory and Appellant’s husband were known, sanctioned and approved of by Appellant and that the denial thereof was meant to evade payment. Respondent further pointed out that whether or not Respondent had physically drafted the lease agreement was never an issue because</w:t>
      </w:r>
      <w:r w:rsidR="0026006E" w:rsidRPr="00AB3584">
        <w:rPr>
          <w:rFonts w:ascii="Times New Roman" w:hAnsi="Times New Roman" w:cs="Times New Roman"/>
          <w:sz w:val="24"/>
          <w:szCs w:val="24"/>
        </w:rPr>
        <w:t xml:space="preserve"> it conceded that it did not do so because it was prevented from doing so by the lies of the Appellant’s husband. It referred to the case of </w:t>
      </w:r>
      <w:r w:rsidR="0026006E" w:rsidRPr="00F04397">
        <w:rPr>
          <w:rFonts w:ascii="Times New Roman" w:hAnsi="Times New Roman" w:cs="Times New Roman"/>
          <w:b/>
          <w:bCs/>
          <w:i/>
          <w:sz w:val="24"/>
          <w:szCs w:val="24"/>
        </w:rPr>
        <w:t>Stohill Investment Properties (Pvt) Ltd</w:t>
      </w:r>
      <w:r w:rsidR="0026006E" w:rsidRPr="00AB3584">
        <w:rPr>
          <w:rFonts w:ascii="Times New Roman" w:hAnsi="Times New Roman" w:cs="Times New Roman"/>
          <w:b/>
          <w:bCs/>
          <w:sz w:val="24"/>
          <w:szCs w:val="24"/>
        </w:rPr>
        <w:t xml:space="preserve"> v </w:t>
      </w:r>
      <w:r w:rsidR="0026006E" w:rsidRPr="00F04397">
        <w:rPr>
          <w:rFonts w:ascii="Times New Roman" w:hAnsi="Times New Roman" w:cs="Times New Roman"/>
          <w:b/>
          <w:bCs/>
          <w:i/>
          <w:sz w:val="24"/>
          <w:szCs w:val="24"/>
        </w:rPr>
        <w:t>Mahachi &amp; Ors</w:t>
      </w:r>
      <w:r w:rsidR="0026006E" w:rsidRPr="00AB3584">
        <w:rPr>
          <w:rFonts w:ascii="Times New Roman" w:hAnsi="Times New Roman" w:cs="Times New Roman"/>
          <w:b/>
          <w:bCs/>
          <w:sz w:val="24"/>
          <w:szCs w:val="24"/>
        </w:rPr>
        <w:t xml:space="preserve"> </w:t>
      </w:r>
      <w:r w:rsidR="0026006E" w:rsidRPr="00AB3584">
        <w:rPr>
          <w:rFonts w:ascii="Times New Roman" w:hAnsi="Times New Roman" w:cs="Times New Roman"/>
          <w:sz w:val="24"/>
          <w:szCs w:val="24"/>
        </w:rPr>
        <w:t>2014 (!) ZLR 533 in which it was held that the fact that the seller elected to side-line the agent and accepted a lower price than that given in the mandate does not disentitle the agent of its commission on the lower price accepted by the seller who deliberately prevented the agent from negotiating the price.</w:t>
      </w:r>
      <w:r w:rsidR="006B0E35" w:rsidRPr="00AB3584">
        <w:rPr>
          <w:rFonts w:ascii="Times New Roman" w:hAnsi="Times New Roman" w:cs="Times New Roman"/>
          <w:sz w:val="24"/>
          <w:szCs w:val="24"/>
        </w:rPr>
        <w:t xml:space="preserve"> </w:t>
      </w:r>
      <w:r w:rsidR="001D1EF1" w:rsidRPr="00AB3584">
        <w:rPr>
          <w:rFonts w:ascii="Times New Roman" w:hAnsi="Times New Roman" w:cs="Times New Roman"/>
          <w:sz w:val="24"/>
          <w:szCs w:val="24"/>
        </w:rPr>
        <w:t>Respondent submitted that the court a quo did not err in concluding that the communication bet</w:t>
      </w:r>
      <w:r w:rsidR="002D4C75">
        <w:rPr>
          <w:rFonts w:ascii="Times New Roman" w:hAnsi="Times New Roman" w:cs="Times New Roman"/>
          <w:sz w:val="24"/>
          <w:szCs w:val="24"/>
        </w:rPr>
        <w:t>ween Memory and Mr Chirunga was</w:t>
      </w:r>
      <w:r w:rsidR="001D1EF1" w:rsidRPr="00AB3584">
        <w:rPr>
          <w:rFonts w:ascii="Times New Roman" w:hAnsi="Times New Roman" w:cs="Times New Roman"/>
          <w:sz w:val="24"/>
          <w:szCs w:val="24"/>
        </w:rPr>
        <w:t xml:space="preserve"> with the knowledge and benefit of the Appellant as the conclusion reached</w:t>
      </w:r>
      <w:r w:rsidR="00153184" w:rsidRPr="00AB3584">
        <w:rPr>
          <w:rFonts w:ascii="Times New Roman" w:hAnsi="Times New Roman" w:cs="Times New Roman"/>
          <w:sz w:val="24"/>
          <w:szCs w:val="24"/>
        </w:rPr>
        <w:t xml:space="preserve"> was the most natural and plausible inference from a number of possible inferences. It referred to </w:t>
      </w:r>
      <w:r w:rsidR="00153184" w:rsidRPr="00AB3584">
        <w:rPr>
          <w:rFonts w:ascii="Times New Roman" w:hAnsi="Times New Roman" w:cs="Times New Roman"/>
          <w:b/>
          <w:bCs/>
          <w:sz w:val="24"/>
          <w:szCs w:val="24"/>
        </w:rPr>
        <w:t xml:space="preserve">S v Masawi &amp; Anor </w:t>
      </w:r>
      <w:r w:rsidR="001D1EF1" w:rsidRPr="00AB3584">
        <w:rPr>
          <w:rFonts w:ascii="Times New Roman" w:hAnsi="Times New Roman" w:cs="Times New Roman"/>
          <w:sz w:val="24"/>
          <w:szCs w:val="24"/>
        </w:rPr>
        <w:t xml:space="preserve"> </w:t>
      </w:r>
      <w:r w:rsidR="005A4EC9" w:rsidRPr="00AB3584">
        <w:rPr>
          <w:rFonts w:ascii="Times New Roman" w:hAnsi="Times New Roman" w:cs="Times New Roman"/>
          <w:sz w:val="24"/>
          <w:szCs w:val="24"/>
        </w:rPr>
        <w:t xml:space="preserve">1996 (2) ZLR 472 in  which </w:t>
      </w:r>
      <w:r w:rsidR="005A4EC9" w:rsidRPr="00C74026">
        <w:rPr>
          <w:rFonts w:ascii="Times New Roman" w:hAnsi="Times New Roman" w:cs="Times New Roman"/>
          <w:smallCaps/>
          <w:sz w:val="24"/>
          <w:szCs w:val="24"/>
        </w:rPr>
        <w:t>Korsah J</w:t>
      </w:r>
      <w:r w:rsidR="005A4EC9" w:rsidRPr="00AB3584">
        <w:rPr>
          <w:rFonts w:ascii="Times New Roman" w:hAnsi="Times New Roman" w:cs="Times New Roman"/>
          <w:sz w:val="24"/>
          <w:szCs w:val="24"/>
        </w:rPr>
        <w:t xml:space="preserve"> commented that the findings of a lower court are conclusive on appeal if they have support in the facts established and in reasonable inferences. Respondent prayed for the dismissal of the appeal with costs on a higher scale.</w:t>
      </w:r>
    </w:p>
    <w:p w14:paraId="17AC93B2" w14:textId="77777777" w:rsidR="005A4EC9" w:rsidRPr="00AB3584" w:rsidRDefault="005A4EC9" w:rsidP="005A4EC9">
      <w:pPr>
        <w:spacing w:after="0" w:line="360" w:lineRule="auto"/>
        <w:jc w:val="both"/>
        <w:rPr>
          <w:rFonts w:ascii="Times New Roman" w:hAnsi="Times New Roman" w:cs="Times New Roman"/>
          <w:sz w:val="24"/>
          <w:szCs w:val="24"/>
        </w:rPr>
      </w:pPr>
    </w:p>
    <w:p w14:paraId="72C97078" w14:textId="52AAC0FF" w:rsidR="002E48E8" w:rsidRPr="00AB3584" w:rsidRDefault="005A4EC9" w:rsidP="005A4EC9">
      <w:pPr>
        <w:jc w:val="both"/>
        <w:rPr>
          <w:rFonts w:ascii="Times New Roman" w:hAnsi="Times New Roman" w:cs="Times New Roman"/>
          <w:b/>
          <w:bCs/>
          <w:sz w:val="24"/>
          <w:szCs w:val="24"/>
        </w:rPr>
      </w:pPr>
      <w:r w:rsidRPr="00AB3584">
        <w:rPr>
          <w:rFonts w:ascii="Times New Roman" w:hAnsi="Times New Roman" w:cs="Times New Roman"/>
          <w:b/>
          <w:bCs/>
          <w:sz w:val="24"/>
          <w:szCs w:val="24"/>
        </w:rPr>
        <w:t>Analysis</w:t>
      </w:r>
    </w:p>
    <w:p w14:paraId="43757400" w14:textId="190D72FC" w:rsidR="006A79E5" w:rsidRPr="00AB3584" w:rsidRDefault="00FD7F89" w:rsidP="00F04397">
      <w:pPr>
        <w:spacing w:after="0" w:line="360" w:lineRule="auto"/>
        <w:ind w:firstLine="567"/>
        <w:jc w:val="both"/>
        <w:rPr>
          <w:rFonts w:ascii="Times New Roman" w:hAnsi="Times New Roman" w:cs="Times New Roman"/>
          <w:sz w:val="24"/>
          <w:szCs w:val="24"/>
        </w:rPr>
      </w:pPr>
      <w:r w:rsidRPr="00AB3584">
        <w:rPr>
          <w:rFonts w:ascii="Times New Roman" w:hAnsi="Times New Roman" w:cs="Times New Roman"/>
          <w:sz w:val="24"/>
          <w:szCs w:val="24"/>
        </w:rPr>
        <w:lastRenderedPageBreak/>
        <w:t xml:space="preserve">The court </w:t>
      </w:r>
      <w:r w:rsidRPr="00F04397">
        <w:rPr>
          <w:rFonts w:ascii="Times New Roman" w:hAnsi="Times New Roman" w:cs="Times New Roman"/>
          <w:i/>
          <w:sz w:val="24"/>
          <w:szCs w:val="24"/>
        </w:rPr>
        <w:t>a quo</w:t>
      </w:r>
      <w:r w:rsidRPr="00AB3584">
        <w:rPr>
          <w:rFonts w:ascii="Times New Roman" w:hAnsi="Times New Roman" w:cs="Times New Roman"/>
          <w:sz w:val="24"/>
          <w:szCs w:val="24"/>
        </w:rPr>
        <w:t xml:space="preserve"> considered the evidence of the witnesses and found in favour of </w:t>
      </w:r>
      <w:r w:rsidR="00027421">
        <w:rPr>
          <w:rFonts w:ascii="Times New Roman" w:hAnsi="Times New Roman" w:cs="Times New Roman"/>
          <w:sz w:val="24"/>
          <w:szCs w:val="24"/>
        </w:rPr>
        <w:t>t</w:t>
      </w:r>
      <w:r w:rsidRPr="00AB3584">
        <w:rPr>
          <w:rFonts w:ascii="Times New Roman" w:hAnsi="Times New Roman" w:cs="Times New Roman"/>
          <w:sz w:val="24"/>
          <w:szCs w:val="24"/>
        </w:rPr>
        <w:t>he</w:t>
      </w:r>
      <w:r w:rsidR="00027421">
        <w:rPr>
          <w:rFonts w:ascii="Times New Roman" w:hAnsi="Times New Roman" w:cs="Times New Roman"/>
          <w:sz w:val="24"/>
          <w:szCs w:val="24"/>
        </w:rPr>
        <w:t xml:space="preserve"> </w:t>
      </w:r>
      <w:r w:rsidRPr="00AB3584">
        <w:rPr>
          <w:rFonts w:ascii="Times New Roman" w:hAnsi="Times New Roman" w:cs="Times New Roman"/>
          <w:sz w:val="24"/>
          <w:szCs w:val="24"/>
        </w:rPr>
        <w:t>Respondent.</w:t>
      </w:r>
      <w:r w:rsidR="00027421">
        <w:rPr>
          <w:rFonts w:ascii="Times New Roman" w:hAnsi="Times New Roman" w:cs="Times New Roman"/>
          <w:sz w:val="24"/>
          <w:szCs w:val="24"/>
        </w:rPr>
        <w:t xml:space="preserve"> </w:t>
      </w:r>
      <w:r w:rsidR="006A79E5" w:rsidRPr="00AB3584">
        <w:rPr>
          <w:rFonts w:ascii="Times New Roman" w:eastAsia="Calibri" w:hAnsi="Times New Roman" w:cs="Times New Roman"/>
          <w:sz w:val="24"/>
          <w:szCs w:val="24"/>
          <w:lang w:val="en-ZA"/>
        </w:rPr>
        <w:t xml:space="preserve">It is a settled principle that an appellate court will not easily interfere with factual findings made by a lower court unless the findings are grossly unreasonable. (See </w:t>
      </w:r>
      <w:r w:rsidR="006A79E5" w:rsidRPr="00F04397">
        <w:rPr>
          <w:rFonts w:ascii="Times New Roman" w:eastAsia="Calibri" w:hAnsi="Times New Roman" w:cs="Times New Roman"/>
          <w:b/>
          <w:bCs/>
          <w:i/>
          <w:iCs/>
          <w:sz w:val="24"/>
          <w:szCs w:val="24"/>
          <w:lang w:val="en-ZA"/>
        </w:rPr>
        <w:t>ZINWA</w:t>
      </w:r>
      <w:r w:rsidR="006A79E5" w:rsidRPr="00AB3584">
        <w:rPr>
          <w:rFonts w:ascii="Times New Roman" w:eastAsia="Calibri" w:hAnsi="Times New Roman" w:cs="Times New Roman"/>
          <w:b/>
          <w:bCs/>
          <w:iCs/>
          <w:sz w:val="24"/>
          <w:szCs w:val="24"/>
          <w:lang w:val="en-ZA"/>
        </w:rPr>
        <w:t xml:space="preserve"> v </w:t>
      </w:r>
      <w:r w:rsidR="006A79E5" w:rsidRPr="00F04397">
        <w:rPr>
          <w:rFonts w:ascii="Times New Roman" w:eastAsia="Calibri" w:hAnsi="Times New Roman" w:cs="Times New Roman"/>
          <w:b/>
          <w:bCs/>
          <w:i/>
          <w:iCs/>
          <w:sz w:val="24"/>
          <w:szCs w:val="24"/>
          <w:lang w:val="en-ZA"/>
        </w:rPr>
        <w:t>Mwoyounotsva</w:t>
      </w:r>
      <w:r w:rsidR="006A79E5" w:rsidRPr="00AB3584">
        <w:rPr>
          <w:rFonts w:ascii="Times New Roman" w:eastAsia="Calibri" w:hAnsi="Times New Roman" w:cs="Times New Roman"/>
          <w:b/>
          <w:bCs/>
          <w:iCs/>
          <w:sz w:val="24"/>
          <w:szCs w:val="24"/>
          <w:lang w:val="en-ZA"/>
        </w:rPr>
        <w:t xml:space="preserve"> </w:t>
      </w:r>
      <w:r w:rsidR="006A79E5" w:rsidRPr="00AB3584">
        <w:rPr>
          <w:rFonts w:ascii="Times New Roman" w:eastAsia="Calibri" w:hAnsi="Times New Roman" w:cs="Times New Roman"/>
          <w:iCs/>
          <w:sz w:val="24"/>
          <w:szCs w:val="24"/>
          <w:lang w:val="en-ZA"/>
        </w:rPr>
        <w:t>(</w:t>
      </w:r>
      <w:r w:rsidR="006A79E5" w:rsidRPr="00F04397">
        <w:rPr>
          <w:rFonts w:ascii="Times New Roman" w:eastAsia="Calibri" w:hAnsi="Times New Roman" w:cs="Times New Roman"/>
          <w:i/>
          <w:iCs/>
          <w:sz w:val="24"/>
          <w:szCs w:val="24"/>
          <w:lang w:val="en-ZA"/>
        </w:rPr>
        <w:t>supra</w:t>
      </w:r>
      <w:r w:rsidR="006A79E5" w:rsidRPr="00AB3584">
        <w:rPr>
          <w:rFonts w:ascii="Times New Roman" w:eastAsia="Calibri" w:hAnsi="Times New Roman" w:cs="Times New Roman"/>
          <w:iCs/>
          <w:sz w:val="24"/>
          <w:szCs w:val="24"/>
          <w:lang w:val="en-ZA"/>
        </w:rPr>
        <w:t>)</w:t>
      </w:r>
      <w:r w:rsidR="006A79E5" w:rsidRPr="00AB3584">
        <w:rPr>
          <w:rFonts w:ascii="Times New Roman" w:eastAsia="Calibri" w:hAnsi="Times New Roman" w:cs="Times New Roman"/>
          <w:b/>
          <w:bCs/>
          <w:iCs/>
          <w:sz w:val="24"/>
          <w:szCs w:val="24"/>
          <w:lang w:val="en-ZA"/>
        </w:rPr>
        <w:t xml:space="preserve"> </w:t>
      </w:r>
      <w:r w:rsidR="006A79E5" w:rsidRPr="00F04397">
        <w:rPr>
          <w:rFonts w:ascii="Times New Roman" w:eastAsia="Calibri" w:hAnsi="Times New Roman" w:cs="Times New Roman"/>
          <w:b/>
          <w:bCs/>
          <w:i/>
          <w:iCs/>
          <w:sz w:val="24"/>
          <w:szCs w:val="24"/>
          <w:lang w:val="en-ZA"/>
        </w:rPr>
        <w:t>Hama</w:t>
      </w:r>
      <w:r w:rsidR="006A79E5" w:rsidRPr="00AB3584">
        <w:rPr>
          <w:rFonts w:ascii="Times New Roman" w:eastAsia="Calibri" w:hAnsi="Times New Roman" w:cs="Times New Roman"/>
          <w:b/>
          <w:bCs/>
          <w:iCs/>
          <w:sz w:val="24"/>
          <w:szCs w:val="24"/>
          <w:lang w:val="en-ZA"/>
        </w:rPr>
        <w:t xml:space="preserve"> v </w:t>
      </w:r>
      <w:r w:rsidR="006A79E5" w:rsidRPr="00F04397">
        <w:rPr>
          <w:rFonts w:ascii="Times New Roman" w:eastAsia="Calibri" w:hAnsi="Times New Roman" w:cs="Times New Roman"/>
          <w:b/>
          <w:bCs/>
          <w:i/>
          <w:iCs/>
          <w:sz w:val="24"/>
          <w:szCs w:val="24"/>
          <w:lang w:val="en-ZA"/>
        </w:rPr>
        <w:t xml:space="preserve">NRZ </w:t>
      </w:r>
      <w:r w:rsidR="006A79E5" w:rsidRPr="00F04397">
        <w:rPr>
          <w:rFonts w:ascii="Times New Roman" w:eastAsia="Calibri" w:hAnsi="Times New Roman" w:cs="Times New Roman"/>
          <w:i/>
          <w:iCs/>
          <w:sz w:val="24"/>
          <w:szCs w:val="24"/>
          <w:lang w:val="en-ZA"/>
        </w:rPr>
        <w:t>(supra)</w:t>
      </w:r>
      <w:r w:rsidR="006A79E5" w:rsidRPr="00AB3584">
        <w:rPr>
          <w:rFonts w:ascii="Times New Roman" w:eastAsia="Calibri" w:hAnsi="Times New Roman" w:cs="Times New Roman"/>
          <w:b/>
          <w:bCs/>
          <w:iCs/>
          <w:sz w:val="24"/>
          <w:szCs w:val="24"/>
          <w:lang w:val="en-ZA"/>
        </w:rPr>
        <w:t xml:space="preserve"> and </w:t>
      </w:r>
      <w:r w:rsidR="006A79E5" w:rsidRPr="00F04397">
        <w:rPr>
          <w:rFonts w:ascii="Times New Roman" w:eastAsia="Calibri" w:hAnsi="Times New Roman" w:cs="Times New Roman"/>
          <w:b/>
          <w:bCs/>
          <w:i/>
          <w:iCs/>
          <w:sz w:val="24"/>
          <w:szCs w:val="24"/>
          <w:lang w:val="en-ZA"/>
        </w:rPr>
        <w:t>Reserve Bank of Zimbabwe</w:t>
      </w:r>
      <w:r w:rsidR="006A79E5" w:rsidRPr="00AB3584">
        <w:rPr>
          <w:rFonts w:ascii="Times New Roman" w:eastAsia="Calibri" w:hAnsi="Times New Roman" w:cs="Times New Roman"/>
          <w:b/>
          <w:bCs/>
          <w:iCs/>
          <w:sz w:val="24"/>
          <w:szCs w:val="24"/>
          <w:lang w:val="en-ZA"/>
        </w:rPr>
        <w:t xml:space="preserve"> v </w:t>
      </w:r>
      <w:r w:rsidR="006A79E5" w:rsidRPr="00F04397">
        <w:rPr>
          <w:rFonts w:ascii="Times New Roman" w:eastAsia="Calibri" w:hAnsi="Times New Roman" w:cs="Times New Roman"/>
          <w:b/>
          <w:bCs/>
          <w:i/>
          <w:iCs/>
          <w:sz w:val="24"/>
          <w:szCs w:val="24"/>
          <w:lang w:val="en-ZA"/>
        </w:rPr>
        <w:t>Corrine Granger and Another</w:t>
      </w:r>
      <w:r w:rsidR="006A79E5" w:rsidRPr="00F04397">
        <w:rPr>
          <w:rFonts w:ascii="Times New Roman" w:eastAsia="Calibri" w:hAnsi="Times New Roman" w:cs="Times New Roman"/>
          <w:i/>
          <w:sz w:val="24"/>
          <w:szCs w:val="24"/>
          <w:lang w:val="en-ZA"/>
        </w:rPr>
        <w:t xml:space="preserve"> </w:t>
      </w:r>
      <w:r w:rsidR="006A79E5" w:rsidRPr="00AB3584">
        <w:rPr>
          <w:rFonts w:ascii="Times New Roman" w:eastAsia="Calibri" w:hAnsi="Times New Roman" w:cs="Times New Roman"/>
          <w:sz w:val="24"/>
          <w:szCs w:val="24"/>
          <w:lang w:val="en-ZA"/>
        </w:rPr>
        <w:t>SC 34/01) Th</w:t>
      </w:r>
      <w:r w:rsidR="00027421">
        <w:rPr>
          <w:rFonts w:ascii="Times New Roman" w:eastAsia="Calibri" w:hAnsi="Times New Roman" w:cs="Times New Roman"/>
          <w:sz w:val="24"/>
          <w:szCs w:val="24"/>
          <w:lang w:val="en-ZA"/>
        </w:rPr>
        <w:t>is is because the</w:t>
      </w:r>
      <w:r w:rsidR="006A79E5" w:rsidRPr="00AB3584">
        <w:rPr>
          <w:rFonts w:ascii="Times New Roman" w:eastAsia="Calibri" w:hAnsi="Times New Roman" w:cs="Times New Roman"/>
          <w:sz w:val="24"/>
          <w:szCs w:val="24"/>
          <w:lang w:val="en-ZA"/>
        </w:rPr>
        <w:t xml:space="preserve"> lower court enjoys the opportunity to see the witnesses on the stand, assess their demeanour and credibility. Such findings of fact cannot easily be interfered with by</w:t>
      </w:r>
      <w:r w:rsidR="00F04397">
        <w:rPr>
          <w:rFonts w:ascii="Times New Roman" w:hAnsi="Times New Roman" w:cs="Times New Roman"/>
          <w:sz w:val="24"/>
          <w:szCs w:val="24"/>
        </w:rPr>
        <w:t xml:space="preserve"> </w:t>
      </w:r>
      <w:r w:rsidR="006A79E5" w:rsidRPr="00AB3584">
        <w:rPr>
          <w:rFonts w:ascii="Times New Roman" w:eastAsia="Calibri" w:hAnsi="Times New Roman" w:cs="Times New Roman"/>
          <w:sz w:val="24"/>
          <w:szCs w:val="24"/>
          <w:lang w:val="en-ZA"/>
        </w:rPr>
        <w:t xml:space="preserve">an appellate court as it is limited to the record of proceedings. </w:t>
      </w:r>
    </w:p>
    <w:p w14:paraId="7E2BC15D" w14:textId="77777777" w:rsidR="00AB3584" w:rsidRPr="00AB3584" w:rsidRDefault="006A79E5" w:rsidP="00F04397">
      <w:pPr>
        <w:spacing w:after="0" w:line="360" w:lineRule="auto"/>
        <w:ind w:left="567"/>
        <w:jc w:val="both"/>
        <w:rPr>
          <w:rFonts w:ascii="Times New Roman" w:hAnsi="Times New Roman" w:cs="Times New Roman"/>
          <w:sz w:val="24"/>
          <w:szCs w:val="24"/>
        </w:rPr>
      </w:pPr>
      <w:r w:rsidRPr="00AB3584">
        <w:rPr>
          <w:rFonts w:ascii="Times New Roman" w:hAnsi="Times New Roman" w:cs="Times New Roman"/>
          <w:sz w:val="24"/>
          <w:szCs w:val="24"/>
        </w:rPr>
        <w:t xml:space="preserve">The </w:t>
      </w:r>
      <w:r w:rsidR="0096151E" w:rsidRPr="00AB3584">
        <w:rPr>
          <w:rFonts w:ascii="Times New Roman" w:hAnsi="Times New Roman" w:cs="Times New Roman"/>
          <w:sz w:val="24"/>
          <w:szCs w:val="24"/>
        </w:rPr>
        <w:t>R</w:t>
      </w:r>
      <w:r w:rsidRPr="00AB3584">
        <w:rPr>
          <w:rFonts w:ascii="Times New Roman" w:hAnsi="Times New Roman" w:cs="Times New Roman"/>
          <w:sz w:val="24"/>
          <w:szCs w:val="24"/>
        </w:rPr>
        <w:t xml:space="preserve">espondent had </w:t>
      </w:r>
      <w:r w:rsidR="0096151E" w:rsidRPr="00AB3584">
        <w:rPr>
          <w:rFonts w:ascii="Times New Roman" w:hAnsi="Times New Roman" w:cs="Times New Roman"/>
          <w:sz w:val="24"/>
          <w:szCs w:val="24"/>
        </w:rPr>
        <w:t xml:space="preserve">to prove that it had found a tenant for Appellant and therefore was owed </w:t>
      </w:r>
    </w:p>
    <w:p w14:paraId="075B0698" w14:textId="77777777" w:rsidR="00AB3584" w:rsidRDefault="0096151E" w:rsidP="00055DC6">
      <w:pPr>
        <w:spacing w:after="0" w:line="360" w:lineRule="auto"/>
        <w:ind w:left="567" w:hanging="567"/>
        <w:jc w:val="both"/>
        <w:rPr>
          <w:rFonts w:ascii="Times New Roman" w:hAnsi="Times New Roman" w:cs="Times New Roman"/>
          <w:sz w:val="24"/>
          <w:szCs w:val="24"/>
        </w:rPr>
      </w:pPr>
      <w:r w:rsidRPr="00AB3584">
        <w:rPr>
          <w:rFonts w:ascii="Times New Roman" w:hAnsi="Times New Roman" w:cs="Times New Roman"/>
          <w:sz w:val="24"/>
          <w:szCs w:val="24"/>
        </w:rPr>
        <w:t>tenant placement fees.</w:t>
      </w:r>
      <w:r w:rsidR="006A79E5" w:rsidRPr="00AB3584">
        <w:rPr>
          <w:rFonts w:ascii="Times New Roman" w:hAnsi="Times New Roman" w:cs="Times New Roman"/>
          <w:sz w:val="24"/>
          <w:szCs w:val="24"/>
        </w:rPr>
        <w:t xml:space="preserve"> </w:t>
      </w:r>
      <w:r w:rsidR="00AB3584" w:rsidRPr="00AB3584">
        <w:rPr>
          <w:rFonts w:ascii="Times New Roman" w:hAnsi="Times New Roman" w:cs="Times New Roman"/>
          <w:sz w:val="24"/>
          <w:szCs w:val="24"/>
        </w:rPr>
        <w:t xml:space="preserve">It is common cause that Mr Wang was the tenant that Memory was </w:t>
      </w:r>
    </w:p>
    <w:p w14:paraId="31540C15" w14:textId="77777777" w:rsidR="00AB3584" w:rsidRDefault="00AB3584" w:rsidP="00055DC6">
      <w:pPr>
        <w:spacing w:after="0" w:line="360" w:lineRule="auto"/>
        <w:ind w:left="567" w:hanging="567"/>
        <w:jc w:val="both"/>
        <w:rPr>
          <w:rFonts w:ascii="Times New Roman" w:hAnsi="Times New Roman" w:cs="Times New Roman"/>
          <w:sz w:val="24"/>
          <w:szCs w:val="24"/>
        </w:rPr>
      </w:pPr>
      <w:r w:rsidRPr="00AB3584">
        <w:rPr>
          <w:rFonts w:ascii="Times New Roman" w:hAnsi="Times New Roman" w:cs="Times New Roman"/>
          <w:sz w:val="24"/>
          <w:szCs w:val="24"/>
        </w:rPr>
        <w:t xml:space="preserve">negotiating with and that even though no lease agreement resulted from Memory’s negotiations, </w:t>
      </w:r>
    </w:p>
    <w:p w14:paraId="5BEB8773" w14:textId="77777777" w:rsidR="0060700C" w:rsidRDefault="00AB3584" w:rsidP="00055DC6">
      <w:pPr>
        <w:spacing w:after="0" w:line="360" w:lineRule="auto"/>
        <w:ind w:left="567" w:hanging="567"/>
        <w:jc w:val="both"/>
        <w:rPr>
          <w:rFonts w:ascii="Times New Roman" w:hAnsi="Times New Roman" w:cs="Times New Roman"/>
          <w:sz w:val="24"/>
          <w:szCs w:val="24"/>
        </w:rPr>
      </w:pPr>
      <w:r w:rsidRPr="00AB3584">
        <w:rPr>
          <w:rFonts w:ascii="Times New Roman" w:hAnsi="Times New Roman" w:cs="Times New Roman"/>
          <w:sz w:val="24"/>
          <w:szCs w:val="24"/>
        </w:rPr>
        <w:t>Mr Wang ended up signing a lease agreement with Appellant.</w:t>
      </w:r>
      <w:r>
        <w:rPr>
          <w:rFonts w:ascii="Times New Roman" w:hAnsi="Times New Roman" w:cs="Times New Roman"/>
          <w:sz w:val="24"/>
          <w:szCs w:val="24"/>
        </w:rPr>
        <w:t xml:space="preserve"> </w:t>
      </w:r>
      <w:r w:rsidR="0060700C">
        <w:rPr>
          <w:rFonts w:ascii="Times New Roman" w:hAnsi="Times New Roman" w:cs="Times New Roman"/>
          <w:sz w:val="24"/>
          <w:szCs w:val="24"/>
        </w:rPr>
        <w:t xml:space="preserve">It is also common cause that </w:t>
      </w:r>
    </w:p>
    <w:p w14:paraId="333B4569" w14:textId="77777777" w:rsidR="0060700C" w:rsidRDefault="0060700C" w:rsidP="00055DC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Memory was communicating with Appellant’s husband most of the time. </w:t>
      </w:r>
      <w:r w:rsidR="00AB3584">
        <w:rPr>
          <w:rFonts w:ascii="Times New Roman" w:hAnsi="Times New Roman" w:cs="Times New Roman"/>
          <w:sz w:val="24"/>
          <w:szCs w:val="24"/>
        </w:rPr>
        <w:t>Respondent was side-</w:t>
      </w:r>
    </w:p>
    <w:p w14:paraId="11E87E93" w14:textId="77777777" w:rsidR="0060700C" w:rsidRDefault="00AB3584" w:rsidP="0060700C">
      <w:pPr>
        <w:spacing w:after="0" w:line="36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 xml:space="preserve">lined when the lease agreement was signed but as stated in </w:t>
      </w:r>
      <w:r w:rsidRPr="001F1952">
        <w:rPr>
          <w:rFonts w:ascii="Times New Roman" w:hAnsi="Times New Roman" w:cs="Times New Roman"/>
          <w:b/>
          <w:bCs/>
          <w:sz w:val="24"/>
          <w:szCs w:val="24"/>
        </w:rPr>
        <w:t xml:space="preserve">Stohill </w:t>
      </w:r>
      <w:r w:rsidR="001F1952">
        <w:rPr>
          <w:rFonts w:ascii="Times New Roman" w:hAnsi="Times New Roman" w:cs="Times New Roman"/>
          <w:b/>
          <w:bCs/>
          <w:sz w:val="24"/>
          <w:szCs w:val="24"/>
        </w:rPr>
        <w:t>In</w:t>
      </w:r>
      <w:r w:rsidRPr="001F1952">
        <w:rPr>
          <w:rFonts w:ascii="Times New Roman" w:hAnsi="Times New Roman" w:cs="Times New Roman"/>
          <w:b/>
          <w:bCs/>
          <w:sz w:val="24"/>
          <w:szCs w:val="24"/>
        </w:rPr>
        <w:t>v</w:t>
      </w:r>
      <w:r w:rsidR="001F1952">
        <w:rPr>
          <w:rFonts w:ascii="Times New Roman" w:hAnsi="Times New Roman" w:cs="Times New Roman"/>
          <w:b/>
          <w:bCs/>
          <w:sz w:val="24"/>
          <w:szCs w:val="24"/>
        </w:rPr>
        <w:t>estment Properties (Pvt)</w:t>
      </w:r>
      <w:r w:rsidR="0060700C">
        <w:rPr>
          <w:rFonts w:ascii="Times New Roman" w:hAnsi="Times New Roman" w:cs="Times New Roman"/>
          <w:b/>
          <w:bCs/>
          <w:sz w:val="24"/>
          <w:szCs w:val="24"/>
        </w:rPr>
        <w:t xml:space="preserve"> </w:t>
      </w:r>
    </w:p>
    <w:p w14:paraId="7A6D4EDA" w14:textId="77777777" w:rsidR="0060700C" w:rsidRDefault="001F1952" w:rsidP="0060700C">
      <w:pPr>
        <w:spacing w:after="0" w:line="36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Ltd </w:t>
      </w:r>
      <w:r>
        <w:rPr>
          <w:rFonts w:ascii="Times New Roman" w:hAnsi="Times New Roman" w:cs="Times New Roman"/>
          <w:sz w:val="24"/>
          <w:szCs w:val="24"/>
        </w:rPr>
        <w:t>(</w:t>
      </w:r>
      <w:r w:rsidRPr="00C74026">
        <w:rPr>
          <w:rFonts w:ascii="Times New Roman" w:hAnsi="Times New Roman" w:cs="Times New Roman"/>
          <w:i/>
          <w:sz w:val="24"/>
          <w:szCs w:val="24"/>
        </w:rPr>
        <w:t>supra</w:t>
      </w:r>
      <w:r>
        <w:rPr>
          <w:rFonts w:ascii="Times New Roman" w:hAnsi="Times New Roman" w:cs="Times New Roman"/>
          <w:sz w:val="24"/>
          <w:szCs w:val="24"/>
        </w:rPr>
        <w:t>), it is entitled to its tenant placement fees.</w:t>
      </w:r>
      <w:r w:rsidR="00AB3584">
        <w:rPr>
          <w:rFonts w:ascii="Times New Roman" w:hAnsi="Times New Roman" w:cs="Times New Roman"/>
          <w:sz w:val="24"/>
          <w:szCs w:val="24"/>
        </w:rPr>
        <w:t xml:space="preserve"> </w:t>
      </w:r>
      <w:r w:rsidR="00AB3584" w:rsidRPr="00AB3584">
        <w:rPr>
          <w:rFonts w:ascii="Times New Roman" w:hAnsi="Times New Roman" w:cs="Times New Roman"/>
          <w:sz w:val="24"/>
          <w:szCs w:val="24"/>
        </w:rPr>
        <w:t xml:space="preserve"> </w:t>
      </w:r>
      <w:r w:rsidR="006A79E5" w:rsidRPr="00AB3584">
        <w:rPr>
          <w:rFonts w:ascii="Times New Roman" w:hAnsi="Times New Roman" w:cs="Times New Roman"/>
          <w:sz w:val="24"/>
          <w:szCs w:val="24"/>
        </w:rPr>
        <w:t xml:space="preserve">It is pertinent to note that the standard of </w:t>
      </w:r>
    </w:p>
    <w:p w14:paraId="27A98C77" w14:textId="77777777" w:rsidR="0060700C" w:rsidRDefault="006A79E5" w:rsidP="0060700C">
      <w:pPr>
        <w:spacing w:after="0" w:line="360" w:lineRule="auto"/>
        <w:ind w:left="567" w:hanging="567"/>
        <w:jc w:val="both"/>
        <w:rPr>
          <w:rFonts w:ascii="Times New Roman" w:hAnsi="Times New Roman" w:cs="Times New Roman"/>
          <w:sz w:val="24"/>
          <w:szCs w:val="24"/>
          <w:lang w:val="en-ZA"/>
        </w:rPr>
      </w:pPr>
      <w:r w:rsidRPr="00AB3584">
        <w:rPr>
          <w:rFonts w:ascii="Times New Roman" w:hAnsi="Times New Roman" w:cs="Times New Roman"/>
          <w:sz w:val="24"/>
          <w:szCs w:val="24"/>
        </w:rPr>
        <w:t>proof in all civil matters is on a balance of probabilities</w:t>
      </w:r>
      <w:r w:rsidRPr="00AB3584">
        <w:rPr>
          <w:rFonts w:ascii="Times New Roman" w:hAnsi="Times New Roman" w:cs="Times New Roman"/>
          <w:sz w:val="24"/>
          <w:szCs w:val="24"/>
          <w:lang w:val="en-ZA"/>
        </w:rPr>
        <w:t xml:space="preserve">. </w:t>
      </w:r>
      <w:r w:rsidR="009A76DC" w:rsidRPr="00AB3584">
        <w:rPr>
          <w:rFonts w:ascii="Times New Roman" w:hAnsi="Times New Roman" w:cs="Times New Roman"/>
          <w:sz w:val="24"/>
          <w:szCs w:val="24"/>
          <w:lang w:val="en-ZA"/>
        </w:rPr>
        <w:t>In enunciating t</w:t>
      </w:r>
      <w:r w:rsidRPr="00AB3584">
        <w:rPr>
          <w:rFonts w:ascii="Times New Roman" w:hAnsi="Times New Roman" w:cs="Times New Roman"/>
          <w:sz w:val="24"/>
          <w:szCs w:val="24"/>
          <w:lang w:val="en-ZA"/>
        </w:rPr>
        <w:t xml:space="preserve">he concept of proof on a </w:t>
      </w:r>
    </w:p>
    <w:p w14:paraId="58703D89" w14:textId="77777777" w:rsidR="0060700C" w:rsidRDefault="006A79E5" w:rsidP="0060700C">
      <w:pPr>
        <w:spacing w:after="0" w:line="360" w:lineRule="auto"/>
        <w:ind w:left="567" w:hanging="567"/>
        <w:jc w:val="both"/>
        <w:rPr>
          <w:rFonts w:ascii="Times New Roman" w:hAnsi="Times New Roman" w:cs="Times New Roman"/>
          <w:sz w:val="24"/>
          <w:szCs w:val="24"/>
        </w:rPr>
      </w:pPr>
      <w:r w:rsidRPr="00AB3584">
        <w:rPr>
          <w:rFonts w:ascii="Times New Roman" w:hAnsi="Times New Roman" w:cs="Times New Roman"/>
          <w:sz w:val="24"/>
          <w:szCs w:val="24"/>
          <w:lang w:val="en-ZA"/>
        </w:rPr>
        <w:t>balance of probabilities</w:t>
      </w:r>
      <w:r w:rsidR="009A76DC" w:rsidRPr="00AB3584">
        <w:rPr>
          <w:rFonts w:ascii="Times New Roman" w:hAnsi="Times New Roman" w:cs="Times New Roman"/>
          <w:sz w:val="24"/>
          <w:szCs w:val="24"/>
          <w:lang w:val="en-ZA"/>
        </w:rPr>
        <w:t>,</w:t>
      </w:r>
      <w:r w:rsidRPr="00AB3584">
        <w:rPr>
          <w:rFonts w:ascii="Times New Roman" w:hAnsi="Times New Roman" w:cs="Times New Roman"/>
          <w:sz w:val="24"/>
          <w:szCs w:val="24"/>
          <w:lang w:val="en-ZA"/>
        </w:rPr>
        <w:t xml:space="preserve"> </w:t>
      </w:r>
      <w:r w:rsidR="009A76DC" w:rsidRPr="00AB3584">
        <w:rPr>
          <w:rFonts w:ascii="Times New Roman" w:hAnsi="Times New Roman" w:cs="Times New Roman"/>
          <w:sz w:val="24"/>
          <w:szCs w:val="24"/>
          <w:lang w:val="en-ZA"/>
        </w:rPr>
        <w:t xml:space="preserve">the case of </w:t>
      </w:r>
      <w:r w:rsidR="009A76DC" w:rsidRPr="00F04397">
        <w:rPr>
          <w:rFonts w:ascii="Times New Roman" w:hAnsi="Times New Roman" w:cs="Times New Roman"/>
          <w:b/>
          <w:bCs/>
          <w:i/>
          <w:sz w:val="24"/>
          <w:szCs w:val="24"/>
        </w:rPr>
        <w:t>Miller</w:t>
      </w:r>
      <w:r w:rsidR="009A76DC" w:rsidRPr="00AB3584">
        <w:rPr>
          <w:rFonts w:ascii="Times New Roman" w:hAnsi="Times New Roman" w:cs="Times New Roman"/>
          <w:b/>
          <w:bCs/>
          <w:sz w:val="24"/>
          <w:szCs w:val="24"/>
        </w:rPr>
        <w:t xml:space="preserve"> v </w:t>
      </w:r>
      <w:r w:rsidR="009A76DC" w:rsidRPr="00F04397">
        <w:rPr>
          <w:rFonts w:ascii="Times New Roman" w:hAnsi="Times New Roman" w:cs="Times New Roman"/>
          <w:b/>
          <w:bCs/>
          <w:i/>
          <w:sz w:val="24"/>
          <w:szCs w:val="24"/>
        </w:rPr>
        <w:t>Minister of Pensions</w:t>
      </w:r>
      <w:r w:rsidR="009A76DC" w:rsidRPr="00AB3584">
        <w:rPr>
          <w:rFonts w:ascii="Times New Roman" w:hAnsi="Times New Roman" w:cs="Times New Roman"/>
          <w:sz w:val="24"/>
          <w:szCs w:val="24"/>
        </w:rPr>
        <w:t xml:space="preserve"> [1947] 2 All ER 372, </w:t>
      </w:r>
      <w:r w:rsidR="0065063E" w:rsidRPr="00AB3584">
        <w:rPr>
          <w:rFonts w:ascii="Times New Roman" w:hAnsi="Times New Roman" w:cs="Times New Roman"/>
          <w:sz w:val="24"/>
          <w:szCs w:val="24"/>
        </w:rPr>
        <w:t xml:space="preserve">was </w:t>
      </w:r>
    </w:p>
    <w:p w14:paraId="794843FA" w14:textId="77777777" w:rsidR="0060700C" w:rsidRDefault="0065063E" w:rsidP="0060700C">
      <w:pPr>
        <w:spacing w:after="0" w:line="360" w:lineRule="auto"/>
        <w:ind w:left="567" w:hanging="567"/>
        <w:jc w:val="both"/>
        <w:rPr>
          <w:rFonts w:ascii="Times New Roman" w:hAnsi="Times New Roman" w:cs="Times New Roman"/>
          <w:sz w:val="24"/>
          <w:szCs w:val="24"/>
        </w:rPr>
      </w:pPr>
      <w:r w:rsidRPr="00AB3584">
        <w:rPr>
          <w:rFonts w:ascii="Times New Roman" w:hAnsi="Times New Roman" w:cs="Times New Roman"/>
          <w:sz w:val="24"/>
          <w:szCs w:val="24"/>
        </w:rPr>
        <w:t xml:space="preserve">quoted with approval in the case of </w:t>
      </w:r>
      <w:r w:rsidR="006A79E5" w:rsidRPr="00F04397">
        <w:rPr>
          <w:rFonts w:ascii="Times New Roman" w:hAnsi="Times New Roman" w:cs="Times New Roman"/>
          <w:b/>
          <w:bCs/>
          <w:i/>
          <w:iCs/>
          <w:sz w:val="24"/>
          <w:szCs w:val="24"/>
        </w:rPr>
        <w:t>British American Tobacco Zimbabwe</w:t>
      </w:r>
      <w:r w:rsidR="006A79E5" w:rsidRPr="00AB3584">
        <w:rPr>
          <w:rFonts w:ascii="Times New Roman" w:hAnsi="Times New Roman" w:cs="Times New Roman"/>
          <w:b/>
          <w:bCs/>
          <w:iCs/>
          <w:sz w:val="24"/>
          <w:szCs w:val="24"/>
        </w:rPr>
        <w:t xml:space="preserve"> v </w:t>
      </w:r>
      <w:r w:rsidR="006A79E5" w:rsidRPr="00F04397">
        <w:rPr>
          <w:rFonts w:ascii="Times New Roman" w:hAnsi="Times New Roman" w:cs="Times New Roman"/>
          <w:b/>
          <w:bCs/>
          <w:i/>
          <w:iCs/>
          <w:sz w:val="24"/>
          <w:szCs w:val="24"/>
        </w:rPr>
        <w:t>Chibaya</w:t>
      </w:r>
      <w:r w:rsidR="006A79E5" w:rsidRPr="00AB3584">
        <w:rPr>
          <w:rFonts w:ascii="Times New Roman" w:hAnsi="Times New Roman" w:cs="Times New Roman"/>
          <w:b/>
          <w:bCs/>
          <w:iCs/>
          <w:sz w:val="24"/>
          <w:szCs w:val="24"/>
        </w:rPr>
        <w:t xml:space="preserve"> </w:t>
      </w:r>
      <w:r w:rsidR="006A79E5" w:rsidRPr="00AB3584">
        <w:rPr>
          <w:rFonts w:ascii="Times New Roman" w:hAnsi="Times New Roman" w:cs="Times New Roman"/>
          <w:iCs/>
          <w:sz w:val="24"/>
          <w:szCs w:val="24"/>
        </w:rPr>
        <w:t>SC</w:t>
      </w:r>
      <w:r w:rsidR="006A79E5" w:rsidRPr="00AB3584">
        <w:rPr>
          <w:rFonts w:ascii="Times New Roman" w:hAnsi="Times New Roman" w:cs="Times New Roman"/>
          <w:sz w:val="24"/>
          <w:szCs w:val="24"/>
        </w:rPr>
        <w:t xml:space="preserve"> 30/19</w:t>
      </w:r>
      <w:r w:rsidR="001F1952">
        <w:rPr>
          <w:rFonts w:ascii="Times New Roman" w:hAnsi="Times New Roman" w:cs="Times New Roman"/>
          <w:sz w:val="24"/>
          <w:szCs w:val="24"/>
        </w:rPr>
        <w:t>,</w:t>
      </w:r>
    </w:p>
    <w:p w14:paraId="0BF00C14" w14:textId="6464BAD7" w:rsidR="006A79E5" w:rsidRPr="00AB3584" w:rsidRDefault="006A79E5" w:rsidP="0060700C">
      <w:pPr>
        <w:spacing w:after="0" w:line="360" w:lineRule="auto"/>
        <w:ind w:left="567" w:hanging="567"/>
        <w:jc w:val="both"/>
        <w:rPr>
          <w:rFonts w:ascii="Times New Roman" w:hAnsi="Times New Roman" w:cs="Times New Roman"/>
          <w:sz w:val="24"/>
          <w:szCs w:val="24"/>
        </w:rPr>
      </w:pPr>
      <w:r w:rsidRPr="00AB3584">
        <w:rPr>
          <w:rFonts w:ascii="Times New Roman" w:hAnsi="Times New Roman" w:cs="Times New Roman"/>
          <w:sz w:val="24"/>
          <w:szCs w:val="24"/>
        </w:rPr>
        <w:t xml:space="preserve"> </w:t>
      </w:r>
      <w:r w:rsidR="001F1952">
        <w:rPr>
          <w:rFonts w:ascii="Times New Roman" w:hAnsi="Times New Roman" w:cs="Times New Roman"/>
          <w:sz w:val="24"/>
          <w:szCs w:val="24"/>
        </w:rPr>
        <w:t xml:space="preserve">where </w:t>
      </w:r>
      <w:r w:rsidRPr="00AB3584">
        <w:rPr>
          <w:rFonts w:ascii="Times New Roman" w:hAnsi="Times New Roman" w:cs="Times New Roman"/>
          <w:sz w:val="24"/>
          <w:szCs w:val="24"/>
        </w:rPr>
        <w:t xml:space="preserve">the concept of balancing probabilities </w:t>
      </w:r>
      <w:r w:rsidR="001F1952">
        <w:rPr>
          <w:rFonts w:ascii="Times New Roman" w:hAnsi="Times New Roman" w:cs="Times New Roman"/>
          <w:sz w:val="24"/>
          <w:szCs w:val="24"/>
        </w:rPr>
        <w:t xml:space="preserve">was </w:t>
      </w:r>
      <w:r w:rsidR="001F1952" w:rsidRPr="00AB3584">
        <w:rPr>
          <w:rFonts w:ascii="Times New Roman" w:hAnsi="Times New Roman" w:cs="Times New Roman"/>
          <w:sz w:val="24"/>
          <w:szCs w:val="24"/>
        </w:rPr>
        <w:t>explained</w:t>
      </w:r>
      <w:r w:rsidR="001F1952">
        <w:rPr>
          <w:rFonts w:ascii="Times New Roman" w:hAnsi="Times New Roman" w:cs="Times New Roman"/>
          <w:sz w:val="24"/>
          <w:szCs w:val="24"/>
        </w:rPr>
        <w:t xml:space="preserve"> </w:t>
      </w:r>
      <w:r w:rsidRPr="00AB3584">
        <w:rPr>
          <w:rFonts w:ascii="Times New Roman" w:hAnsi="Times New Roman" w:cs="Times New Roman"/>
          <w:sz w:val="24"/>
          <w:szCs w:val="24"/>
        </w:rPr>
        <w:t>as follows:</w:t>
      </w:r>
    </w:p>
    <w:p w14:paraId="130C1A35" w14:textId="77777777" w:rsidR="006A79E5" w:rsidRPr="00F04397" w:rsidRDefault="006A79E5" w:rsidP="00F04397">
      <w:pPr>
        <w:spacing w:after="0" w:line="240" w:lineRule="auto"/>
        <w:ind w:left="567"/>
        <w:jc w:val="both"/>
        <w:rPr>
          <w:rFonts w:ascii="Times New Roman" w:hAnsi="Times New Roman" w:cs="Times New Roman"/>
        </w:rPr>
      </w:pPr>
      <w:r w:rsidRPr="00F04397">
        <w:rPr>
          <w:rFonts w:ascii="Times New Roman" w:hAnsi="Times New Roman" w:cs="Times New Roman"/>
        </w:rPr>
        <w:t>“It must carry a reasonable degree of probability but not so high as is required in a criminal case. If the evidence is such that the tribunal can say ‘we think it more probable than not’, the burden is discharged, but if the probabilities are equal it is not.”</w:t>
      </w:r>
    </w:p>
    <w:p w14:paraId="52562CE8" w14:textId="77777777" w:rsidR="006A79E5" w:rsidRPr="00AB3584" w:rsidRDefault="006A79E5" w:rsidP="00055DC6">
      <w:pPr>
        <w:spacing w:after="0" w:line="360" w:lineRule="auto"/>
        <w:ind w:left="567"/>
        <w:jc w:val="both"/>
        <w:rPr>
          <w:rFonts w:ascii="Times New Roman" w:hAnsi="Times New Roman" w:cs="Times New Roman"/>
          <w:sz w:val="24"/>
          <w:szCs w:val="24"/>
        </w:rPr>
      </w:pPr>
    </w:p>
    <w:p w14:paraId="2823E456" w14:textId="371D7170" w:rsidR="006A79E5" w:rsidRPr="00AB3584" w:rsidRDefault="002D4C75" w:rsidP="00F0439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This i</w:t>
      </w:r>
      <w:r w:rsidR="006A79E5" w:rsidRPr="00AB3584">
        <w:rPr>
          <w:rFonts w:ascii="Times New Roman" w:hAnsi="Times New Roman" w:cs="Times New Roman"/>
          <w:sz w:val="24"/>
          <w:szCs w:val="24"/>
        </w:rPr>
        <w:t xml:space="preserve">s further emphasized in the book, </w:t>
      </w:r>
      <w:r w:rsidR="006A79E5" w:rsidRPr="00AB3584">
        <w:rPr>
          <w:rFonts w:ascii="Times New Roman" w:hAnsi="Times New Roman" w:cs="Times New Roman"/>
          <w:i/>
          <w:sz w:val="24"/>
          <w:szCs w:val="24"/>
        </w:rPr>
        <w:t>Principles of Evidence</w:t>
      </w:r>
      <w:r>
        <w:rPr>
          <w:rFonts w:ascii="Times New Roman" w:hAnsi="Times New Roman" w:cs="Times New Roman"/>
          <w:sz w:val="24"/>
          <w:szCs w:val="24"/>
        </w:rPr>
        <w:t>, 4th ed (2016) J</w:t>
      </w:r>
      <w:r w:rsidR="006A79E5" w:rsidRPr="00AB3584">
        <w:rPr>
          <w:rFonts w:ascii="Times New Roman" w:hAnsi="Times New Roman" w:cs="Times New Roman"/>
          <w:sz w:val="24"/>
          <w:szCs w:val="24"/>
        </w:rPr>
        <w:t>uta</w:t>
      </w:r>
      <w:r>
        <w:rPr>
          <w:rFonts w:ascii="Times New Roman" w:hAnsi="Times New Roman" w:cs="Times New Roman"/>
          <w:sz w:val="24"/>
          <w:szCs w:val="24"/>
        </w:rPr>
        <w:t>: Cape T</w:t>
      </w:r>
      <w:r w:rsidR="006A79E5" w:rsidRPr="00AB3584">
        <w:rPr>
          <w:rFonts w:ascii="Times New Roman" w:hAnsi="Times New Roman" w:cs="Times New Roman"/>
          <w:sz w:val="24"/>
          <w:szCs w:val="24"/>
        </w:rPr>
        <w:t xml:space="preserve">own, wherein the authors Schwikard </w:t>
      </w:r>
      <w:r>
        <w:rPr>
          <w:rFonts w:ascii="Times New Roman" w:hAnsi="Times New Roman" w:cs="Times New Roman"/>
          <w:sz w:val="24"/>
          <w:szCs w:val="24"/>
        </w:rPr>
        <w:t>P.J and van der Merwe S.E state</w:t>
      </w:r>
      <w:r w:rsidR="006A79E5" w:rsidRPr="00AB3584">
        <w:rPr>
          <w:rFonts w:ascii="Times New Roman" w:hAnsi="Times New Roman" w:cs="Times New Roman"/>
          <w:sz w:val="24"/>
          <w:szCs w:val="24"/>
        </w:rPr>
        <w:t xml:space="preserve"> that:</w:t>
      </w:r>
    </w:p>
    <w:p w14:paraId="03FB8146" w14:textId="1C3B7A86" w:rsidR="006A79E5" w:rsidRDefault="006A79E5" w:rsidP="001F1952">
      <w:pPr>
        <w:spacing w:after="0" w:line="240" w:lineRule="auto"/>
        <w:ind w:left="1134"/>
        <w:jc w:val="both"/>
        <w:rPr>
          <w:rFonts w:ascii="Times New Roman" w:hAnsi="Times New Roman" w:cs="Times New Roman"/>
        </w:rPr>
      </w:pPr>
      <w:r w:rsidRPr="00F04397">
        <w:rPr>
          <w:rFonts w:ascii="Times New Roman" w:hAnsi="Times New Roman" w:cs="Times New Roman"/>
        </w:rPr>
        <w:t>“In civil proceedings the inference sought to be drawn must also be consistent with all the proved facts, but it need not be the only reasonable inference: it is sufficient if it is the most probable inference.”</w:t>
      </w:r>
    </w:p>
    <w:p w14:paraId="0B6E5427" w14:textId="77777777" w:rsidR="00F04397" w:rsidRPr="00F04397" w:rsidRDefault="00F04397" w:rsidP="001F1952">
      <w:pPr>
        <w:spacing w:after="0" w:line="240" w:lineRule="auto"/>
        <w:ind w:left="1134"/>
        <w:jc w:val="both"/>
        <w:rPr>
          <w:rFonts w:ascii="Times New Roman" w:hAnsi="Times New Roman" w:cs="Times New Roman"/>
        </w:rPr>
      </w:pPr>
    </w:p>
    <w:p w14:paraId="0E8268C1" w14:textId="3A20D69A" w:rsidR="0065063E" w:rsidRDefault="00E11515" w:rsidP="00F043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w:t>
      </w:r>
      <w:r w:rsidR="0065063E" w:rsidRPr="00AB3584">
        <w:rPr>
          <w:rFonts w:ascii="Times New Roman" w:hAnsi="Times New Roman" w:cs="Times New Roman"/>
          <w:sz w:val="24"/>
          <w:szCs w:val="24"/>
        </w:rPr>
        <w:t xml:space="preserve"> find</w:t>
      </w:r>
      <w:r>
        <w:rPr>
          <w:rFonts w:ascii="Times New Roman" w:hAnsi="Times New Roman" w:cs="Times New Roman"/>
          <w:sz w:val="24"/>
          <w:szCs w:val="24"/>
        </w:rPr>
        <w:t>s</w:t>
      </w:r>
      <w:r w:rsidR="0065063E" w:rsidRPr="00AB3584">
        <w:rPr>
          <w:rFonts w:ascii="Times New Roman" w:hAnsi="Times New Roman" w:cs="Times New Roman"/>
          <w:sz w:val="24"/>
          <w:szCs w:val="24"/>
        </w:rPr>
        <w:t xml:space="preserve"> no misdirection in the court </w:t>
      </w:r>
      <w:r w:rsidR="0065063E" w:rsidRPr="00E11515">
        <w:rPr>
          <w:rFonts w:ascii="Times New Roman" w:hAnsi="Times New Roman" w:cs="Times New Roman"/>
          <w:i/>
          <w:iCs/>
          <w:sz w:val="24"/>
          <w:szCs w:val="24"/>
        </w:rPr>
        <w:t>a quo’s</w:t>
      </w:r>
      <w:r w:rsidR="0065063E" w:rsidRPr="00AB3584">
        <w:rPr>
          <w:rFonts w:ascii="Times New Roman" w:hAnsi="Times New Roman" w:cs="Times New Roman"/>
          <w:sz w:val="24"/>
          <w:szCs w:val="24"/>
        </w:rPr>
        <w:t xml:space="preserve"> finding</w:t>
      </w:r>
      <w:r>
        <w:rPr>
          <w:rFonts w:ascii="Times New Roman" w:hAnsi="Times New Roman" w:cs="Times New Roman"/>
          <w:sz w:val="24"/>
          <w:szCs w:val="24"/>
        </w:rPr>
        <w:t>s</w:t>
      </w:r>
      <w:r w:rsidR="0065063E" w:rsidRPr="00AB3584">
        <w:rPr>
          <w:rFonts w:ascii="Times New Roman" w:hAnsi="Times New Roman" w:cs="Times New Roman"/>
          <w:sz w:val="24"/>
          <w:szCs w:val="24"/>
        </w:rPr>
        <w:t xml:space="preserve"> that the </w:t>
      </w:r>
      <w:r w:rsidR="008E185E" w:rsidRPr="00AB3584">
        <w:rPr>
          <w:rFonts w:ascii="Times New Roman" w:hAnsi="Times New Roman" w:cs="Times New Roman"/>
          <w:sz w:val="24"/>
          <w:szCs w:val="24"/>
        </w:rPr>
        <w:t>Respondent performed its obligation in terms of the mandate</w:t>
      </w:r>
      <w:r w:rsidR="00027421">
        <w:rPr>
          <w:rFonts w:ascii="Times New Roman" w:hAnsi="Times New Roman" w:cs="Times New Roman"/>
          <w:sz w:val="24"/>
          <w:szCs w:val="24"/>
        </w:rPr>
        <w:t xml:space="preserve"> and</w:t>
      </w:r>
      <w:r>
        <w:rPr>
          <w:rFonts w:ascii="Times New Roman" w:hAnsi="Times New Roman" w:cs="Times New Roman"/>
          <w:sz w:val="24"/>
          <w:szCs w:val="24"/>
        </w:rPr>
        <w:t xml:space="preserve"> that the communication made to Mr Chirunga </w:t>
      </w:r>
      <w:r>
        <w:rPr>
          <w:rFonts w:ascii="Times New Roman" w:hAnsi="Times New Roman" w:cs="Times New Roman"/>
          <w:sz w:val="24"/>
          <w:szCs w:val="24"/>
        </w:rPr>
        <w:lastRenderedPageBreak/>
        <w:t>was sufficient in fulfillment of the mandate</w:t>
      </w:r>
      <w:r w:rsidR="00027421">
        <w:rPr>
          <w:rFonts w:ascii="Times New Roman" w:hAnsi="Times New Roman" w:cs="Times New Roman"/>
          <w:sz w:val="24"/>
          <w:szCs w:val="24"/>
        </w:rPr>
        <w:t>.</w:t>
      </w:r>
      <w:r w:rsidR="0060700C">
        <w:rPr>
          <w:rFonts w:ascii="Times New Roman" w:hAnsi="Times New Roman" w:cs="Times New Roman"/>
          <w:sz w:val="24"/>
          <w:szCs w:val="24"/>
        </w:rPr>
        <w:t xml:space="preserve"> Accordingly, there is no merit in the appeal. The following order is appropriate</w:t>
      </w:r>
      <w:r w:rsidR="00E70031">
        <w:rPr>
          <w:rFonts w:ascii="Times New Roman" w:hAnsi="Times New Roman" w:cs="Times New Roman"/>
          <w:sz w:val="24"/>
          <w:szCs w:val="24"/>
        </w:rPr>
        <w:t>.</w:t>
      </w:r>
    </w:p>
    <w:p w14:paraId="18D5B36E" w14:textId="699AA56A" w:rsidR="00E70031" w:rsidRDefault="00E70031" w:rsidP="00650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14:paraId="6CC8BF2D" w14:textId="6C5B2239" w:rsidR="00E70031" w:rsidRDefault="00E70031" w:rsidP="0065063E">
      <w:pPr>
        <w:spacing w:after="0" w:line="360" w:lineRule="auto"/>
        <w:jc w:val="both"/>
        <w:rPr>
          <w:rFonts w:ascii="Times New Roman" w:hAnsi="Times New Roman" w:cs="Times New Roman"/>
          <w:sz w:val="24"/>
          <w:szCs w:val="24"/>
        </w:rPr>
      </w:pPr>
    </w:p>
    <w:p w14:paraId="229F127F" w14:textId="77777777" w:rsidR="00F04397" w:rsidRDefault="00F04397" w:rsidP="0065063E">
      <w:pPr>
        <w:spacing w:after="0" w:line="360" w:lineRule="auto"/>
        <w:jc w:val="both"/>
        <w:rPr>
          <w:rFonts w:ascii="Times New Roman" w:hAnsi="Times New Roman" w:cs="Times New Roman"/>
          <w:sz w:val="24"/>
          <w:szCs w:val="24"/>
        </w:rPr>
      </w:pPr>
    </w:p>
    <w:p w14:paraId="3102E34A" w14:textId="77777777" w:rsidR="00F04397" w:rsidRDefault="00F04397" w:rsidP="0065063E">
      <w:pPr>
        <w:spacing w:after="0" w:line="360" w:lineRule="auto"/>
        <w:jc w:val="both"/>
        <w:rPr>
          <w:rFonts w:ascii="Times New Roman" w:hAnsi="Times New Roman" w:cs="Times New Roman"/>
          <w:sz w:val="24"/>
          <w:szCs w:val="24"/>
        </w:rPr>
      </w:pPr>
    </w:p>
    <w:p w14:paraId="4B954533" w14:textId="77777777" w:rsidR="00F04397" w:rsidRDefault="00F04397" w:rsidP="0065063E">
      <w:pPr>
        <w:spacing w:after="0" w:line="360" w:lineRule="auto"/>
        <w:jc w:val="both"/>
        <w:rPr>
          <w:rFonts w:ascii="Times New Roman" w:hAnsi="Times New Roman" w:cs="Times New Roman"/>
          <w:sz w:val="24"/>
          <w:szCs w:val="24"/>
        </w:rPr>
      </w:pPr>
    </w:p>
    <w:p w14:paraId="388C9A6B" w14:textId="77777777" w:rsidR="00F04397" w:rsidRDefault="00F04397" w:rsidP="0065063E">
      <w:pPr>
        <w:spacing w:after="0" w:line="360" w:lineRule="auto"/>
        <w:jc w:val="both"/>
        <w:rPr>
          <w:rFonts w:ascii="Times New Roman" w:hAnsi="Times New Roman" w:cs="Times New Roman"/>
          <w:sz w:val="24"/>
          <w:szCs w:val="24"/>
        </w:rPr>
      </w:pPr>
    </w:p>
    <w:p w14:paraId="7F3CCEBA" w14:textId="5CFA308C" w:rsidR="00E70031" w:rsidRDefault="00E70031" w:rsidP="0065063E">
      <w:pPr>
        <w:spacing w:after="0" w:line="360" w:lineRule="auto"/>
        <w:jc w:val="both"/>
        <w:rPr>
          <w:rFonts w:ascii="Times New Roman" w:hAnsi="Times New Roman" w:cs="Times New Roman"/>
          <w:sz w:val="24"/>
          <w:szCs w:val="24"/>
        </w:rPr>
      </w:pPr>
      <w:r w:rsidRPr="00C74026">
        <w:rPr>
          <w:rFonts w:ascii="Times New Roman" w:hAnsi="Times New Roman" w:cs="Times New Roman"/>
          <w:smallCaps/>
          <w:sz w:val="24"/>
          <w:szCs w:val="24"/>
        </w:rPr>
        <w:t>Tsanga J</w:t>
      </w:r>
      <w:r>
        <w:rPr>
          <w:rFonts w:ascii="Times New Roman" w:hAnsi="Times New Roman" w:cs="Times New Roman"/>
          <w:sz w:val="24"/>
          <w:szCs w:val="24"/>
        </w:rPr>
        <w:t>, I agree………………</w:t>
      </w:r>
      <w:r w:rsidR="00C74026">
        <w:rPr>
          <w:rFonts w:ascii="Times New Roman" w:hAnsi="Times New Roman" w:cs="Times New Roman"/>
          <w:sz w:val="24"/>
          <w:szCs w:val="24"/>
        </w:rPr>
        <w:t>………………..</w:t>
      </w:r>
      <w:r>
        <w:rPr>
          <w:rFonts w:ascii="Times New Roman" w:hAnsi="Times New Roman" w:cs="Times New Roman"/>
          <w:sz w:val="24"/>
          <w:szCs w:val="24"/>
        </w:rPr>
        <w:t xml:space="preserve"> </w:t>
      </w:r>
    </w:p>
    <w:p w14:paraId="56D66B78" w14:textId="77777777" w:rsidR="00F04397" w:rsidRDefault="00F04397" w:rsidP="0065063E">
      <w:pPr>
        <w:spacing w:after="0" w:line="360" w:lineRule="auto"/>
        <w:jc w:val="both"/>
        <w:rPr>
          <w:rFonts w:ascii="Times New Roman" w:hAnsi="Times New Roman" w:cs="Times New Roman"/>
          <w:sz w:val="24"/>
          <w:szCs w:val="24"/>
        </w:rPr>
      </w:pPr>
    </w:p>
    <w:p w14:paraId="0F4FAA8C" w14:textId="7E4E6518" w:rsidR="00E70031" w:rsidRDefault="00E70031" w:rsidP="0065063E">
      <w:pPr>
        <w:spacing w:after="0" w:line="360" w:lineRule="auto"/>
        <w:jc w:val="both"/>
        <w:rPr>
          <w:rFonts w:ascii="Times New Roman" w:hAnsi="Times New Roman" w:cs="Times New Roman"/>
          <w:sz w:val="24"/>
          <w:szCs w:val="24"/>
        </w:rPr>
      </w:pPr>
    </w:p>
    <w:p w14:paraId="23BDFF0B" w14:textId="77777777" w:rsidR="003B7083" w:rsidRDefault="003B7083" w:rsidP="0065063E">
      <w:pPr>
        <w:spacing w:after="0" w:line="360" w:lineRule="auto"/>
        <w:jc w:val="both"/>
        <w:rPr>
          <w:rFonts w:ascii="Times New Roman" w:hAnsi="Times New Roman" w:cs="Times New Roman"/>
          <w:sz w:val="24"/>
          <w:szCs w:val="24"/>
        </w:rPr>
      </w:pPr>
    </w:p>
    <w:p w14:paraId="4AEE1ABE" w14:textId="77777777" w:rsidR="003B7083" w:rsidRDefault="003B7083" w:rsidP="0065063E">
      <w:pPr>
        <w:spacing w:after="0" w:line="360" w:lineRule="auto"/>
        <w:jc w:val="both"/>
        <w:rPr>
          <w:rFonts w:ascii="Times New Roman" w:hAnsi="Times New Roman" w:cs="Times New Roman"/>
          <w:sz w:val="24"/>
          <w:szCs w:val="24"/>
        </w:rPr>
      </w:pPr>
    </w:p>
    <w:p w14:paraId="20893851" w14:textId="1CBE6E12" w:rsidR="00E70031" w:rsidRDefault="00E70031" w:rsidP="00F0439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C.Nhemwa &amp; Associates, </w:t>
      </w:r>
      <w:r>
        <w:rPr>
          <w:rFonts w:ascii="Times New Roman" w:hAnsi="Times New Roman" w:cs="Times New Roman"/>
          <w:sz w:val="24"/>
          <w:szCs w:val="24"/>
        </w:rPr>
        <w:t>Appellant’s Legal Practitioners.</w:t>
      </w:r>
    </w:p>
    <w:p w14:paraId="00950479" w14:textId="4103527D" w:rsidR="00FD7F89" w:rsidRPr="00C74026" w:rsidRDefault="00E70031" w:rsidP="00C74026">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Mlotshwa &amp; Maguwudze, </w:t>
      </w:r>
      <w:r>
        <w:rPr>
          <w:rFonts w:ascii="Times New Roman" w:hAnsi="Times New Roman" w:cs="Times New Roman"/>
          <w:sz w:val="24"/>
          <w:szCs w:val="24"/>
        </w:rPr>
        <w:t>Respondent’s Legal Practitioners.</w:t>
      </w:r>
    </w:p>
    <w:sectPr w:rsidR="00FD7F89" w:rsidRPr="00C7402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2B5B" w14:textId="77777777" w:rsidR="002E74B2" w:rsidRDefault="002E74B2" w:rsidP="00C74026">
      <w:pPr>
        <w:spacing w:after="0" w:line="240" w:lineRule="auto"/>
      </w:pPr>
      <w:r>
        <w:separator/>
      </w:r>
    </w:p>
  </w:endnote>
  <w:endnote w:type="continuationSeparator" w:id="0">
    <w:p w14:paraId="694D8A33" w14:textId="77777777" w:rsidR="002E74B2" w:rsidRDefault="002E74B2" w:rsidP="00C7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D8F91" w14:textId="77777777" w:rsidR="002E74B2" w:rsidRDefault="002E74B2" w:rsidP="00C74026">
      <w:pPr>
        <w:spacing w:after="0" w:line="240" w:lineRule="auto"/>
      </w:pPr>
      <w:r>
        <w:separator/>
      </w:r>
    </w:p>
  </w:footnote>
  <w:footnote w:type="continuationSeparator" w:id="0">
    <w:p w14:paraId="6C2A3297" w14:textId="77777777" w:rsidR="002E74B2" w:rsidRDefault="002E74B2" w:rsidP="00C74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725524"/>
      <w:docPartObj>
        <w:docPartGallery w:val="Page Numbers (Top of Page)"/>
        <w:docPartUnique/>
      </w:docPartObj>
    </w:sdtPr>
    <w:sdtEndPr>
      <w:rPr>
        <w:noProof/>
      </w:rPr>
    </w:sdtEndPr>
    <w:sdtContent>
      <w:p w14:paraId="558C5B66" w14:textId="5F4369EE" w:rsidR="00C74026" w:rsidRDefault="00C74026" w:rsidP="00C74026">
        <w:pPr>
          <w:pStyle w:val="Header"/>
          <w:jc w:val="right"/>
          <w:rPr>
            <w:noProof/>
          </w:rPr>
        </w:pPr>
        <w:r>
          <w:fldChar w:fldCharType="begin"/>
        </w:r>
        <w:r>
          <w:instrText xml:space="preserve"> PAGE   \* MERGEFORMAT </w:instrText>
        </w:r>
        <w:r>
          <w:fldChar w:fldCharType="separate"/>
        </w:r>
        <w:r w:rsidR="00D57056">
          <w:rPr>
            <w:noProof/>
          </w:rPr>
          <w:t>1</w:t>
        </w:r>
        <w:r>
          <w:rPr>
            <w:noProof/>
          </w:rPr>
          <w:fldChar w:fldCharType="end"/>
        </w:r>
      </w:p>
    </w:sdtContent>
  </w:sdt>
  <w:p w14:paraId="2F6B77E5" w14:textId="0ABA7C95" w:rsidR="00C74026" w:rsidRPr="00B53B15" w:rsidRDefault="00C74026" w:rsidP="00C74026">
    <w:pPr>
      <w:spacing w:after="0" w:line="240" w:lineRule="auto"/>
      <w:jc w:val="both"/>
      <w:rPr>
        <w:rFonts w:cstheme="minorHAnsi"/>
      </w:rPr>
    </w:pPr>
    <w:r>
      <w:rPr>
        <w:rFonts w:ascii="Times New Roman" w:hAnsi="Times New Roman" w:cs="Times New Roman"/>
        <w:sz w:val="24"/>
        <w:szCs w:val="24"/>
      </w:rPr>
      <w:t xml:space="preserve">                                                                                                                          </w:t>
    </w:r>
    <w:r>
      <w:rPr>
        <w:rFonts w:ascii="Times New Roman" w:hAnsi="Times New Roman" w:cs="Times New Roman"/>
        <w:sz w:val="24"/>
        <w:szCs w:val="24"/>
      </w:rPr>
      <w:tab/>
    </w:r>
    <w:r w:rsidR="00B53B15">
      <w:rPr>
        <w:rFonts w:ascii="Times New Roman" w:hAnsi="Times New Roman" w:cs="Times New Roman"/>
        <w:sz w:val="24"/>
        <w:szCs w:val="24"/>
      </w:rPr>
      <w:t xml:space="preserve">          </w:t>
    </w:r>
    <w:r w:rsidRPr="00B53B15">
      <w:rPr>
        <w:rFonts w:cstheme="minorHAnsi"/>
      </w:rPr>
      <w:t>HH</w:t>
    </w:r>
    <w:r w:rsidR="00B53B15" w:rsidRPr="00B53B15">
      <w:rPr>
        <w:rFonts w:cstheme="minorHAnsi"/>
      </w:rPr>
      <w:t xml:space="preserve"> 62-22</w:t>
    </w:r>
  </w:p>
  <w:p w14:paraId="48E354DF" w14:textId="433693C3" w:rsidR="00C74026" w:rsidRPr="00B53B15" w:rsidRDefault="00C74026" w:rsidP="00C74026">
    <w:pPr>
      <w:spacing w:after="0" w:line="240" w:lineRule="auto"/>
      <w:jc w:val="both"/>
      <w:rPr>
        <w:rFonts w:cstheme="minorHAnsi"/>
      </w:rPr>
    </w:pPr>
    <w:r w:rsidRPr="00B53B15">
      <w:rPr>
        <w:rFonts w:cstheme="minorHAnsi"/>
      </w:rPr>
      <w:t xml:space="preserve">                                                                                                                                   </w:t>
    </w:r>
    <w:r w:rsidR="00B53B15">
      <w:rPr>
        <w:rFonts w:cstheme="minorHAnsi"/>
      </w:rPr>
      <w:tab/>
    </w:r>
    <w:r w:rsidR="00B53B15">
      <w:rPr>
        <w:rFonts w:cstheme="minorHAnsi"/>
      </w:rPr>
      <w:tab/>
      <w:t xml:space="preserve">    </w:t>
    </w:r>
    <w:r w:rsidRPr="00B53B15">
      <w:rPr>
        <w:rFonts w:cstheme="minorHAnsi"/>
      </w:rPr>
      <w:t>CIV “A” 71-21</w:t>
    </w:r>
  </w:p>
  <w:p w14:paraId="543BD031" w14:textId="2B436F63" w:rsidR="00C74026" w:rsidRPr="00B53B15" w:rsidRDefault="00C74026" w:rsidP="00C74026">
    <w:pPr>
      <w:spacing w:after="0" w:line="240" w:lineRule="auto"/>
      <w:jc w:val="both"/>
      <w:rPr>
        <w:rFonts w:cstheme="minorHAnsi"/>
      </w:rPr>
    </w:pPr>
    <w:r w:rsidRPr="00B53B15">
      <w:rPr>
        <w:rFonts w:cstheme="minorHAnsi"/>
      </w:rPr>
      <w:t xml:space="preserve">                                                                                                                           </w:t>
    </w:r>
    <w:r w:rsidRPr="00B53B15">
      <w:rPr>
        <w:rFonts w:cstheme="minorHAnsi"/>
      </w:rPr>
      <w:tab/>
      <w:t xml:space="preserve">       </w:t>
    </w:r>
    <w:r w:rsidR="00B53B15">
      <w:rPr>
        <w:rFonts w:cstheme="minorHAnsi"/>
      </w:rPr>
      <w:tab/>
    </w:r>
    <w:r w:rsidR="00B53B15">
      <w:rPr>
        <w:rFonts w:cstheme="minorHAnsi"/>
      </w:rPr>
      <w:tab/>
      <w:t xml:space="preserve">          </w:t>
    </w:r>
    <w:r w:rsidRPr="00B53B15">
      <w:rPr>
        <w:rFonts w:cstheme="minorHAnsi"/>
      </w:rPr>
      <w:t>App 40/21</w:t>
    </w:r>
  </w:p>
  <w:p w14:paraId="15AED832" w14:textId="329E883C" w:rsidR="00C74026" w:rsidRPr="00B53B15" w:rsidRDefault="00C74026" w:rsidP="00C74026">
    <w:pPr>
      <w:spacing w:after="0" w:line="240" w:lineRule="auto"/>
      <w:jc w:val="both"/>
      <w:rPr>
        <w:rFonts w:cstheme="minorHAnsi"/>
      </w:rPr>
    </w:pPr>
    <w:r w:rsidRPr="00B53B15">
      <w:rPr>
        <w:rFonts w:cstheme="minorHAnsi"/>
      </w:rPr>
      <w:t xml:space="preserve">                                                                                                                           </w:t>
    </w:r>
    <w:r w:rsidR="00B53B15">
      <w:rPr>
        <w:rFonts w:cstheme="minorHAnsi"/>
      </w:rPr>
      <w:tab/>
    </w:r>
    <w:r w:rsidR="00B53B15">
      <w:rPr>
        <w:rFonts w:cstheme="minorHAnsi"/>
      </w:rPr>
      <w:tab/>
      <w:t xml:space="preserve">       </w:t>
    </w:r>
    <w:r w:rsidRPr="00B53B15">
      <w:rPr>
        <w:rFonts w:cstheme="minorHAnsi"/>
      </w:rPr>
      <w:t>Ref case MC 428/19</w:t>
    </w:r>
  </w:p>
  <w:p w14:paraId="3E6FC372" w14:textId="1560A256" w:rsidR="00C74026" w:rsidRDefault="00C74026">
    <w:pPr>
      <w:pStyle w:val="Header"/>
      <w:jc w:val="right"/>
    </w:pPr>
  </w:p>
  <w:p w14:paraId="65D991BB" w14:textId="77777777" w:rsidR="00C74026" w:rsidRDefault="00C740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1757D"/>
    <w:multiLevelType w:val="hybridMultilevel"/>
    <w:tmpl w:val="233E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E8"/>
    <w:rsid w:val="00027421"/>
    <w:rsid w:val="00055DC6"/>
    <w:rsid w:val="00121561"/>
    <w:rsid w:val="00153184"/>
    <w:rsid w:val="001C7661"/>
    <w:rsid w:val="001D1EF1"/>
    <w:rsid w:val="001F1952"/>
    <w:rsid w:val="00202347"/>
    <w:rsid w:val="0026006E"/>
    <w:rsid w:val="002B3EED"/>
    <w:rsid w:val="002D4C75"/>
    <w:rsid w:val="002E48E8"/>
    <w:rsid w:val="002E74B2"/>
    <w:rsid w:val="00313BB3"/>
    <w:rsid w:val="003A26A7"/>
    <w:rsid w:val="003B7083"/>
    <w:rsid w:val="00401625"/>
    <w:rsid w:val="00425A2B"/>
    <w:rsid w:val="00490C9A"/>
    <w:rsid w:val="00517BD2"/>
    <w:rsid w:val="00561716"/>
    <w:rsid w:val="00570C15"/>
    <w:rsid w:val="00583D35"/>
    <w:rsid w:val="00592465"/>
    <w:rsid w:val="005A4EC9"/>
    <w:rsid w:val="005E31A7"/>
    <w:rsid w:val="005E64EC"/>
    <w:rsid w:val="0060700C"/>
    <w:rsid w:val="006210FE"/>
    <w:rsid w:val="0065063E"/>
    <w:rsid w:val="006720A1"/>
    <w:rsid w:val="006A79E5"/>
    <w:rsid w:val="006B0E35"/>
    <w:rsid w:val="006D6C9E"/>
    <w:rsid w:val="007E2026"/>
    <w:rsid w:val="008119E9"/>
    <w:rsid w:val="0083429C"/>
    <w:rsid w:val="008E185E"/>
    <w:rsid w:val="00916A55"/>
    <w:rsid w:val="009470C7"/>
    <w:rsid w:val="00952B46"/>
    <w:rsid w:val="0096151E"/>
    <w:rsid w:val="009917F3"/>
    <w:rsid w:val="009A76DC"/>
    <w:rsid w:val="009B7555"/>
    <w:rsid w:val="00A456F2"/>
    <w:rsid w:val="00A82447"/>
    <w:rsid w:val="00AB3584"/>
    <w:rsid w:val="00B43E68"/>
    <w:rsid w:val="00B53B15"/>
    <w:rsid w:val="00BA2A6C"/>
    <w:rsid w:val="00BD5CA7"/>
    <w:rsid w:val="00C74026"/>
    <w:rsid w:val="00CD7E39"/>
    <w:rsid w:val="00D4202C"/>
    <w:rsid w:val="00D4692A"/>
    <w:rsid w:val="00D52119"/>
    <w:rsid w:val="00D57056"/>
    <w:rsid w:val="00DE0BB1"/>
    <w:rsid w:val="00DE76B7"/>
    <w:rsid w:val="00E11515"/>
    <w:rsid w:val="00E32915"/>
    <w:rsid w:val="00E36035"/>
    <w:rsid w:val="00E5560C"/>
    <w:rsid w:val="00E628CE"/>
    <w:rsid w:val="00E70031"/>
    <w:rsid w:val="00ED3143"/>
    <w:rsid w:val="00ED4DAE"/>
    <w:rsid w:val="00EE6E20"/>
    <w:rsid w:val="00F02DA7"/>
    <w:rsid w:val="00F04397"/>
    <w:rsid w:val="00F30E8B"/>
    <w:rsid w:val="00FA3A61"/>
    <w:rsid w:val="00FC7491"/>
    <w:rsid w:val="00FD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CA5F"/>
  <w15:chartTrackingRefBased/>
  <w15:docId w15:val="{D420D39A-E839-4470-B652-658FB5B4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8E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C9E"/>
    <w:pPr>
      <w:ind w:left="720"/>
      <w:contextualSpacing/>
    </w:pPr>
  </w:style>
  <w:style w:type="paragraph" w:styleId="BalloonText">
    <w:name w:val="Balloon Text"/>
    <w:basedOn w:val="Normal"/>
    <w:link w:val="BalloonTextChar"/>
    <w:uiPriority w:val="99"/>
    <w:semiHidden/>
    <w:unhideWhenUsed/>
    <w:rsid w:val="002D4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C75"/>
    <w:rPr>
      <w:rFonts w:ascii="Segoe UI" w:hAnsi="Segoe UI" w:cs="Segoe UI"/>
      <w:sz w:val="18"/>
      <w:szCs w:val="18"/>
    </w:rPr>
  </w:style>
  <w:style w:type="paragraph" w:styleId="Header">
    <w:name w:val="header"/>
    <w:basedOn w:val="Normal"/>
    <w:link w:val="HeaderChar"/>
    <w:uiPriority w:val="99"/>
    <w:unhideWhenUsed/>
    <w:rsid w:val="00C74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026"/>
  </w:style>
  <w:style w:type="paragraph" w:styleId="Footer">
    <w:name w:val="footer"/>
    <w:basedOn w:val="Normal"/>
    <w:link w:val="FooterChar"/>
    <w:uiPriority w:val="99"/>
    <w:unhideWhenUsed/>
    <w:rsid w:val="00C74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9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JSC</cp:lastModifiedBy>
  <cp:revision>2</cp:revision>
  <cp:lastPrinted>2022-01-28T12:13:00Z</cp:lastPrinted>
  <dcterms:created xsi:type="dcterms:W3CDTF">2022-03-11T09:44:00Z</dcterms:created>
  <dcterms:modified xsi:type="dcterms:W3CDTF">2022-03-11T09:44:00Z</dcterms:modified>
</cp:coreProperties>
</file>