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84" w:rsidRDefault="00E64E95">
      <w:pPr>
        <w:rPr>
          <w:b/>
          <w:sz w:val="28"/>
          <w:szCs w:val="28"/>
        </w:rPr>
      </w:pPr>
      <w:r>
        <w:rPr>
          <w:b/>
          <w:sz w:val="28"/>
          <w:szCs w:val="28"/>
        </w:rPr>
        <w:t>IN THE LABOUR COURT OF ZIMBABWE</w:t>
      </w:r>
      <w:r>
        <w:rPr>
          <w:b/>
          <w:sz w:val="28"/>
          <w:szCs w:val="28"/>
        </w:rPr>
        <w:tab/>
      </w:r>
      <w:r>
        <w:rPr>
          <w:b/>
          <w:sz w:val="28"/>
          <w:szCs w:val="28"/>
        </w:rPr>
        <w:tab/>
        <w:t>JUDGMENT LC/H/</w:t>
      </w:r>
      <w:r w:rsidR="008F3B17">
        <w:rPr>
          <w:b/>
          <w:sz w:val="28"/>
          <w:szCs w:val="28"/>
        </w:rPr>
        <w:t>524</w:t>
      </w:r>
      <w:r>
        <w:rPr>
          <w:b/>
          <w:sz w:val="28"/>
          <w:szCs w:val="28"/>
        </w:rPr>
        <w:t>/14</w:t>
      </w:r>
    </w:p>
    <w:p w:rsidR="00E64E95" w:rsidRDefault="00E64E95">
      <w:pPr>
        <w:rPr>
          <w:b/>
          <w:sz w:val="28"/>
          <w:szCs w:val="28"/>
        </w:rPr>
      </w:pPr>
      <w:r>
        <w:rPr>
          <w:b/>
          <w:sz w:val="28"/>
          <w:szCs w:val="28"/>
        </w:rPr>
        <w:t>HARARE 24</w:t>
      </w:r>
      <w:r w:rsidRPr="00E64E95">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r>
      <w:r>
        <w:rPr>
          <w:b/>
          <w:sz w:val="28"/>
          <w:szCs w:val="28"/>
        </w:rPr>
        <w:tab/>
      </w:r>
      <w:r>
        <w:rPr>
          <w:b/>
          <w:sz w:val="28"/>
          <w:szCs w:val="28"/>
        </w:rPr>
        <w:tab/>
        <w:t>CASE NO LC/H/295/14</w:t>
      </w:r>
    </w:p>
    <w:p w:rsidR="00EC7F66" w:rsidRDefault="00EC7F66">
      <w:pPr>
        <w:rPr>
          <w:b/>
          <w:sz w:val="28"/>
          <w:szCs w:val="28"/>
        </w:rPr>
      </w:pPr>
      <w:r>
        <w:rPr>
          <w:b/>
          <w:sz w:val="28"/>
          <w:szCs w:val="28"/>
        </w:rPr>
        <w:t>&amp; 15</w:t>
      </w:r>
      <w:r w:rsidRPr="00EC7F66">
        <w:rPr>
          <w:b/>
          <w:sz w:val="28"/>
          <w:szCs w:val="28"/>
          <w:vertAlign w:val="superscript"/>
        </w:rPr>
        <w:t>th</w:t>
      </w:r>
      <w:r>
        <w:rPr>
          <w:b/>
          <w:sz w:val="28"/>
          <w:szCs w:val="28"/>
        </w:rPr>
        <w:t xml:space="preserve"> AUGUST 2014</w:t>
      </w:r>
    </w:p>
    <w:p w:rsidR="00E64E95" w:rsidRDefault="00E64E95">
      <w:pPr>
        <w:rPr>
          <w:sz w:val="28"/>
          <w:szCs w:val="28"/>
        </w:rPr>
      </w:pPr>
      <w:r>
        <w:rPr>
          <w:sz w:val="28"/>
          <w:szCs w:val="28"/>
        </w:rPr>
        <w:t>In the matter between:-</w:t>
      </w:r>
    </w:p>
    <w:p w:rsidR="00E64E95" w:rsidRDefault="00E64E95">
      <w:pPr>
        <w:rPr>
          <w:b/>
          <w:sz w:val="28"/>
          <w:szCs w:val="28"/>
        </w:rPr>
      </w:pPr>
      <w:r>
        <w:rPr>
          <w:b/>
          <w:sz w:val="28"/>
          <w:szCs w:val="28"/>
        </w:rPr>
        <w:t>BARZEM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E64E95" w:rsidRDefault="00E64E95">
      <w:pPr>
        <w:rPr>
          <w:b/>
          <w:sz w:val="28"/>
          <w:szCs w:val="28"/>
        </w:rPr>
      </w:pPr>
      <w:r>
        <w:rPr>
          <w:b/>
          <w:sz w:val="28"/>
          <w:szCs w:val="28"/>
        </w:rPr>
        <w:t>And</w:t>
      </w:r>
    </w:p>
    <w:p w:rsidR="00E64E95" w:rsidRDefault="00E64E95">
      <w:pPr>
        <w:rPr>
          <w:b/>
          <w:sz w:val="28"/>
          <w:szCs w:val="28"/>
        </w:rPr>
      </w:pPr>
      <w:r>
        <w:rPr>
          <w:b/>
          <w:sz w:val="28"/>
          <w:szCs w:val="28"/>
        </w:rPr>
        <w:t>CANAAN CHIKWATURE</w:t>
      </w:r>
      <w:r>
        <w:rPr>
          <w:b/>
          <w:sz w:val="28"/>
          <w:szCs w:val="28"/>
        </w:rPr>
        <w:tab/>
      </w:r>
      <w:r>
        <w:rPr>
          <w:b/>
          <w:sz w:val="28"/>
          <w:szCs w:val="28"/>
        </w:rPr>
        <w:tab/>
      </w:r>
      <w:r>
        <w:rPr>
          <w:b/>
          <w:sz w:val="28"/>
          <w:szCs w:val="28"/>
        </w:rPr>
        <w:tab/>
      </w:r>
      <w:r>
        <w:rPr>
          <w:b/>
          <w:sz w:val="28"/>
          <w:szCs w:val="28"/>
        </w:rPr>
        <w:tab/>
        <w:t>Respondent</w:t>
      </w:r>
    </w:p>
    <w:p w:rsidR="00E64E95" w:rsidRDefault="00E64E95">
      <w:pPr>
        <w:rPr>
          <w:sz w:val="28"/>
          <w:szCs w:val="28"/>
        </w:rPr>
      </w:pPr>
      <w:r>
        <w:rPr>
          <w:sz w:val="28"/>
          <w:szCs w:val="28"/>
        </w:rPr>
        <w:t xml:space="preserve">Before The Honourable B.S. </w:t>
      </w:r>
      <w:proofErr w:type="spellStart"/>
      <w:r>
        <w:rPr>
          <w:sz w:val="28"/>
          <w:szCs w:val="28"/>
        </w:rPr>
        <w:t>Chidziva</w:t>
      </w:r>
      <w:proofErr w:type="spellEnd"/>
      <w:r>
        <w:rPr>
          <w:sz w:val="28"/>
          <w:szCs w:val="28"/>
        </w:rPr>
        <w:t>, Judge</w:t>
      </w:r>
    </w:p>
    <w:p w:rsidR="00E64E95" w:rsidRDefault="00E64E95">
      <w:pPr>
        <w:rPr>
          <w:b/>
          <w:sz w:val="28"/>
          <w:szCs w:val="28"/>
        </w:rPr>
      </w:pPr>
      <w:r>
        <w:rPr>
          <w:b/>
          <w:sz w:val="28"/>
          <w:szCs w:val="28"/>
        </w:rPr>
        <w:t>For Appellant</w:t>
      </w:r>
      <w:r>
        <w:rPr>
          <w:b/>
          <w:sz w:val="28"/>
          <w:szCs w:val="28"/>
        </w:rPr>
        <w:tab/>
      </w:r>
      <w:r>
        <w:rPr>
          <w:b/>
          <w:sz w:val="28"/>
          <w:szCs w:val="28"/>
        </w:rPr>
        <w:tab/>
        <w:t xml:space="preserve">Miss S </w:t>
      </w:r>
      <w:proofErr w:type="spellStart"/>
      <w:r>
        <w:rPr>
          <w:b/>
          <w:sz w:val="28"/>
          <w:szCs w:val="28"/>
        </w:rPr>
        <w:t>Nyagura</w:t>
      </w:r>
      <w:proofErr w:type="spellEnd"/>
      <w:r>
        <w:rPr>
          <w:b/>
          <w:sz w:val="28"/>
          <w:szCs w:val="28"/>
        </w:rPr>
        <w:t xml:space="preserve"> (Legal Practitioner)</w:t>
      </w:r>
    </w:p>
    <w:p w:rsidR="00E64E95" w:rsidRDefault="00E64E95">
      <w:pPr>
        <w:rPr>
          <w:b/>
          <w:sz w:val="28"/>
          <w:szCs w:val="28"/>
        </w:rPr>
      </w:pPr>
      <w:r>
        <w:rPr>
          <w:b/>
          <w:sz w:val="28"/>
          <w:szCs w:val="28"/>
        </w:rPr>
        <w:t>For Respondent</w:t>
      </w:r>
      <w:r w:rsidR="00BA43D6">
        <w:rPr>
          <w:b/>
          <w:sz w:val="28"/>
          <w:szCs w:val="28"/>
        </w:rPr>
        <w:tab/>
      </w:r>
      <w:r w:rsidR="00BA43D6">
        <w:rPr>
          <w:b/>
          <w:sz w:val="28"/>
          <w:szCs w:val="28"/>
        </w:rPr>
        <w:tab/>
        <w:t xml:space="preserve">Mr B </w:t>
      </w:r>
      <w:proofErr w:type="spellStart"/>
      <w:r w:rsidR="00BA43D6">
        <w:rPr>
          <w:b/>
          <w:sz w:val="28"/>
          <w:szCs w:val="28"/>
        </w:rPr>
        <w:t>Makururu</w:t>
      </w:r>
      <w:proofErr w:type="spellEnd"/>
      <w:r w:rsidR="00BA43D6">
        <w:rPr>
          <w:b/>
          <w:sz w:val="28"/>
          <w:szCs w:val="28"/>
        </w:rPr>
        <w:t xml:space="preserve"> (Legal Practitioner)</w:t>
      </w:r>
    </w:p>
    <w:p w:rsidR="00BA43D6" w:rsidRDefault="00BA43D6">
      <w:pPr>
        <w:rPr>
          <w:b/>
          <w:sz w:val="28"/>
          <w:szCs w:val="28"/>
        </w:rPr>
      </w:pPr>
    </w:p>
    <w:p w:rsidR="00BA43D6" w:rsidRDefault="00BA43D6">
      <w:pPr>
        <w:rPr>
          <w:b/>
          <w:sz w:val="28"/>
          <w:szCs w:val="28"/>
        </w:rPr>
      </w:pPr>
      <w:r>
        <w:rPr>
          <w:b/>
          <w:sz w:val="28"/>
          <w:szCs w:val="28"/>
        </w:rPr>
        <w:t>CHIDZIVA, J:</w:t>
      </w:r>
    </w:p>
    <w:p w:rsidR="00BA43D6" w:rsidRDefault="00BA43D6">
      <w:pPr>
        <w:rPr>
          <w:b/>
          <w:sz w:val="28"/>
          <w:szCs w:val="28"/>
        </w:rPr>
      </w:pPr>
    </w:p>
    <w:p w:rsidR="00BA43D6" w:rsidRDefault="00BA43D6" w:rsidP="00BA43D6">
      <w:pPr>
        <w:spacing w:line="360" w:lineRule="auto"/>
        <w:rPr>
          <w:sz w:val="28"/>
          <w:szCs w:val="28"/>
        </w:rPr>
      </w:pPr>
      <w:r>
        <w:rPr>
          <w:b/>
          <w:sz w:val="28"/>
          <w:szCs w:val="28"/>
        </w:rPr>
        <w:tab/>
      </w:r>
      <w:r>
        <w:rPr>
          <w:sz w:val="28"/>
          <w:szCs w:val="28"/>
        </w:rPr>
        <w:t>This is an appeal against the decision of the National Employment Council for the Engineering and Iron and Steel Industry which was issued on the 26 August 2013.  The Committee upheld the decisions of</w:t>
      </w:r>
      <w:r w:rsidR="0040107E">
        <w:rPr>
          <w:sz w:val="28"/>
          <w:szCs w:val="28"/>
        </w:rPr>
        <w:t xml:space="preserve"> the</w:t>
      </w:r>
      <w:r>
        <w:rPr>
          <w:sz w:val="28"/>
          <w:szCs w:val="28"/>
        </w:rPr>
        <w:t xml:space="preserve"> Local Joint Committee.  The Local Joint Committee found the respondent guilty of contravening</w:t>
      </w:r>
    </w:p>
    <w:p w:rsidR="00BA43D6" w:rsidRDefault="00BA43D6" w:rsidP="00BA43D6">
      <w:pPr>
        <w:pStyle w:val="ListParagraph"/>
        <w:numPr>
          <w:ilvl w:val="0"/>
          <w:numId w:val="1"/>
        </w:numPr>
        <w:spacing w:line="360" w:lineRule="auto"/>
        <w:rPr>
          <w:sz w:val="28"/>
          <w:szCs w:val="28"/>
        </w:rPr>
      </w:pPr>
      <w:r>
        <w:rPr>
          <w:sz w:val="28"/>
          <w:szCs w:val="28"/>
        </w:rPr>
        <w:t>Clause 11 (A) (d) unauthorised absence from work premises for more than five (5) days without a valid excuse.</w:t>
      </w:r>
    </w:p>
    <w:p w:rsidR="00BA43D6" w:rsidRPr="00887044" w:rsidRDefault="00BA43D6" w:rsidP="00887044">
      <w:pPr>
        <w:pStyle w:val="ListParagraph"/>
        <w:numPr>
          <w:ilvl w:val="0"/>
          <w:numId w:val="1"/>
        </w:numPr>
        <w:spacing w:line="360" w:lineRule="auto"/>
        <w:rPr>
          <w:sz w:val="28"/>
          <w:szCs w:val="28"/>
        </w:rPr>
      </w:pPr>
      <w:r>
        <w:rPr>
          <w:sz w:val="28"/>
          <w:szCs w:val="28"/>
        </w:rPr>
        <w:t>Clause 11 (B) (a) – reporting late for work without a valid excuse</w:t>
      </w:r>
    </w:p>
    <w:p w:rsidR="00BA43D6" w:rsidRDefault="00BA43D6" w:rsidP="00BA43D6">
      <w:pPr>
        <w:spacing w:line="360" w:lineRule="auto"/>
        <w:ind w:firstLine="720"/>
        <w:rPr>
          <w:sz w:val="28"/>
          <w:szCs w:val="28"/>
        </w:rPr>
      </w:pPr>
      <w:r>
        <w:rPr>
          <w:sz w:val="28"/>
          <w:szCs w:val="28"/>
        </w:rPr>
        <w:t>They then considered alternative penalties as provided for by S.I. 301 of 1996 Section (6) (c) and imposed the following sentence</w:t>
      </w:r>
      <w:bookmarkStart w:id="0" w:name="_GoBack"/>
      <w:bookmarkEnd w:id="0"/>
    </w:p>
    <w:p w:rsidR="00BA43D6" w:rsidRDefault="00BA43D6" w:rsidP="00875C00">
      <w:pPr>
        <w:spacing w:line="240" w:lineRule="auto"/>
        <w:ind w:left="720"/>
        <w:rPr>
          <w:i/>
          <w:sz w:val="24"/>
          <w:szCs w:val="24"/>
        </w:rPr>
      </w:pPr>
      <w:r>
        <w:rPr>
          <w:i/>
          <w:sz w:val="24"/>
          <w:szCs w:val="24"/>
        </w:rPr>
        <w:lastRenderedPageBreak/>
        <w:t>“</w:t>
      </w:r>
      <w:proofErr w:type="gramStart"/>
      <w:r>
        <w:rPr>
          <w:i/>
          <w:sz w:val="24"/>
          <w:szCs w:val="24"/>
        </w:rPr>
        <w:t>reduction</w:t>
      </w:r>
      <w:proofErr w:type="gramEnd"/>
      <w:r>
        <w:rPr>
          <w:i/>
          <w:sz w:val="24"/>
          <w:szCs w:val="24"/>
        </w:rPr>
        <w:t xml:space="preserve"> in pay to a maximum of 5 per cent for a maximum</w:t>
      </w:r>
      <w:r w:rsidR="00561A71">
        <w:rPr>
          <w:i/>
          <w:sz w:val="24"/>
          <w:szCs w:val="24"/>
        </w:rPr>
        <w:t xml:space="preserve"> </w:t>
      </w:r>
      <w:r>
        <w:rPr>
          <w:i/>
          <w:sz w:val="24"/>
          <w:szCs w:val="24"/>
        </w:rPr>
        <w:t>of three months in respect of an act of misconduct</w:t>
      </w:r>
      <w:r w:rsidR="00875C00">
        <w:rPr>
          <w:i/>
          <w:sz w:val="24"/>
          <w:szCs w:val="24"/>
        </w:rPr>
        <w:t xml:space="preserve"> which the appropriate penalty is dismissal.”</w:t>
      </w:r>
    </w:p>
    <w:p w:rsidR="00875C00" w:rsidRDefault="00875C00" w:rsidP="00875C00">
      <w:pPr>
        <w:spacing w:line="240" w:lineRule="auto"/>
        <w:ind w:left="720"/>
        <w:rPr>
          <w:i/>
          <w:sz w:val="24"/>
          <w:szCs w:val="24"/>
        </w:rPr>
      </w:pPr>
    </w:p>
    <w:p w:rsidR="00875C00" w:rsidRDefault="00875C00" w:rsidP="00875C00">
      <w:pPr>
        <w:spacing w:line="240" w:lineRule="auto"/>
        <w:ind w:left="720"/>
        <w:rPr>
          <w:sz w:val="28"/>
          <w:szCs w:val="28"/>
        </w:rPr>
      </w:pPr>
      <w:r>
        <w:rPr>
          <w:sz w:val="28"/>
          <w:szCs w:val="28"/>
        </w:rPr>
        <w:t>The reasons that were given for this decision were that</w:t>
      </w:r>
    </w:p>
    <w:p w:rsidR="00875C00" w:rsidRDefault="00875C00" w:rsidP="009E1EA6">
      <w:pPr>
        <w:spacing w:after="0" w:line="360" w:lineRule="auto"/>
        <w:ind w:left="720"/>
        <w:rPr>
          <w:sz w:val="28"/>
          <w:szCs w:val="28"/>
        </w:rPr>
      </w:pPr>
      <w:r>
        <w:rPr>
          <w:sz w:val="28"/>
          <w:szCs w:val="28"/>
        </w:rPr>
        <w:t>“(</w:t>
      </w:r>
      <w:proofErr w:type="gramStart"/>
      <w:r>
        <w:rPr>
          <w:sz w:val="28"/>
          <w:szCs w:val="28"/>
        </w:rPr>
        <w:t>a</w:t>
      </w:r>
      <w:proofErr w:type="gramEnd"/>
      <w:r>
        <w:rPr>
          <w:sz w:val="28"/>
          <w:szCs w:val="28"/>
        </w:rPr>
        <w:t xml:space="preserve">) </w:t>
      </w:r>
      <w:r w:rsidR="009E1EA6">
        <w:rPr>
          <w:sz w:val="28"/>
          <w:szCs w:val="28"/>
        </w:rPr>
        <w:tab/>
        <w:t xml:space="preserve"> T</w:t>
      </w:r>
      <w:r>
        <w:rPr>
          <w:sz w:val="28"/>
          <w:szCs w:val="28"/>
        </w:rPr>
        <w:t>here is no evide</w:t>
      </w:r>
      <w:r w:rsidR="009E1EA6">
        <w:rPr>
          <w:sz w:val="28"/>
          <w:szCs w:val="28"/>
        </w:rPr>
        <w:t xml:space="preserve">nce that the employee was counselled or any </w:t>
      </w:r>
    </w:p>
    <w:p w:rsidR="009E1EA6" w:rsidRDefault="009E1EA6" w:rsidP="009E1EA6">
      <w:pPr>
        <w:spacing w:after="0" w:line="360" w:lineRule="auto"/>
        <w:ind w:left="720"/>
        <w:rPr>
          <w:sz w:val="28"/>
          <w:szCs w:val="28"/>
        </w:rPr>
      </w:pPr>
      <w:r>
        <w:rPr>
          <w:sz w:val="28"/>
          <w:szCs w:val="28"/>
        </w:rPr>
        <w:tab/>
      </w:r>
      <w:proofErr w:type="gramStart"/>
      <w:r>
        <w:rPr>
          <w:sz w:val="28"/>
          <w:szCs w:val="28"/>
        </w:rPr>
        <w:t>discussion</w:t>
      </w:r>
      <w:proofErr w:type="gramEnd"/>
      <w:r>
        <w:rPr>
          <w:sz w:val="28"/>
          <w:szCs w:val="28"/>
        </w:rPr>
        <w:t xml:space="preserve"> </w:t>
      </w:r>
      <w:r w:rsidR="0040107E">
        <w:rPr>
          <w:sz w:val="28"/>
          <w:szCs w:val="28"/>
        </w:rPr>
        <w:t xml:space="preserve">was </w:t>
      </w:r>
      <w:r>
        <w:rPr>
          <w:sz w:val="28"/>
          <w:szCs w:val="28"/>
        </w:rPr>
        <w:t>done by the employer.</w:t>
      </w:r>
    </w:p>
    <w:p w:rsidR="009E1EA6" w:rsidRDefault="009E1EA6" w:rsidP="009E1EA6">
      <w:pPr>
        <w:spacing w:after="0" w:line="360" w:lineRule="auto"/>
        <w:ind w:left="1440" w:hanging="525"/>
        <w:rPr>
          <w:sz w:val="28"/>
          <w:szCs w:val="28"/>
        </w:rPr>
      </w:pPr>
      <w:r>
        <w:rPr>
          <w:sz w:val="28"/>
          <w:szCs w:val="28"/>
        </w:rPr>
        <w:t>b)</w:t>
      </w:r>
      <w:r>
        <w:rPr>
          <w:sz w:val="28"/>
          <w:szCs w:val="28"/>
        </w:rPr>
        <w:tab/>
        <w:t>The 9 days were not consecutive and action could have been taken within the inter</w:t>
      </w:r>
      <w:r w:rsidR="0040107E">
        <w:rPr>
          <w:sz w:val="28"/>
          <w:szCs w:val="28"/>
        </w:rPr>
        <w:t>vals</w:t>
      </w:r>
      <w:r w:rsidR="00C92442">
        <w:rPr>
          <w:sz w:val="28"/>
          <w:szCs w:val="28"/>
        </w:rPr>
        <w:t xml:space="preserve"> </w:t>
      </w:r>
      <w:r>
        <w:rPr>
          <w:sz w:val="28"/>
          <w:szCs w:val="28"/>
        </w:rPr>
        <w:t>of the offences.”</w:t>
      </w:r>
    </w:p>
    <w:p w:rsidR="009E1EA6" w:rsidRDefault="009E1EA6" w:rsidP="009E1EA6">
      <w:pPr>
        <w:spacing w:after="0" w:line="360" w:lineRule="auto"/>
        <w:ind w:firstLine="720"/>
        <w:rPr>
          <w:sz w:val="28"/>
          <w:szCs w:val="28"/>
        </w:rPr>
      </w:pPr>
      <w:r>
        <w:rPr>
          <w:sz w:val="28"/>
          <w:szCs w:val="28"/>
        </w:rPr>
        <w:t xml:space="preserve">The brief background of the matter is that the respondent was </w:t>
      </w:r>
    </w:p>
    <w:p w:rsidR="009E1EA6" w:rsidRDefault="009E1EA6" w:rsidP="009E1EA6">
      <w:pPr>
        <w:spacing w:after="0" w:line="360" w:lineRule="auto"/>
        <w:rPr>
          <w:sz w:val="28"/>
          <w:szCs w:val="28"/>
        </w:rPr>
      </w:pPr>
      <w:proofErr w:type="gramStart"/>
      <w:r>
        <w:rPr>
          <w:sz w:val="28"/>
          <w:szCs w:val="28"/>
        </w:rPr>
        <w:t>employed</w:t>
      </w:r>
      <w:proofErr w:type="gramEnd"/>
      <w:r>
        <w:rPr>
          <w:sz w:val="28"/>
          <w:szCs w:val="28"/>
        </w:rPr>
        <w:t xml:space="preserve"> by the appellant as a mechanic.  He was the only mechanic in the organisation responsible for vehicle repair work.  This issue of absenteeism and reporting late for work</w:t>
      </w:r>
      <w:r w:rsidR="0040107E">
        <w:rPr>
          <w:sz w:val="28"/>
          <w:szCs w:val="28"/>
        </w:rPr>
        <w:t xml:space="preserve"> had gone for two (2)</w:t>
      </w:r>
      <w:r>
        <w:rPr>
          <w:sz w:val="28"/>
          <w:szCs w:val="28"/>
        </w:rPr>
        <w:t xml:space="preserve"> years that is July 2011 to April 2012.</w:t>
      </w:r>
    </w:p>
    <w:p w:rsidR="009E1EA6" w:rsidRPr="00875C00" w:rsidRDefault="009E1EA6" w:rsidP="009E1EA6">
      <w:pPr>
        <w:spacing w:after="0" w:line="360" w:lineRule="auto"/>
        <w:rPr>
          <w:sz w:val="28"/>
          <w:szCs w:val="28"/>
        </w:rPr>
      </w:pPr>
      <w:r>
        <w:rPr>
          <w:sz w:val="28"/>
          <w:szCs w:val="28"/>
        </w:rPr>
        <w:tab/>
      </w:r>
    </w:p>
    <w:p w:rsidR="009E1EA6" w:rsidRDefault="009E1EA6" w:rsidP="009E1EA6">
      <w:pPr>
        <w:spacing w:line="360" w:lineRule="auto"/>
        <w:ind w:left="720"/>
        <w:rPr>
          <w:sz w:val="28"/>
          <w:szCs w:val="28"/>
        </w:rPr>
      </w:pPr>
      <w:r>
        <w:rPr>
          <w:sz w:val="28"/>
          <w:szCs w:val="28"/>
        </w:rPr>
        <w:t>The grounds of appeal are that</w:t>
      </w:r>
    </w:p>
    <w:p w:rsidR="009E1EA6" w:rsidRDefault="009E1EA6" w:rsidP="009E1EA6">
      <w:pPr>
        <w:pStyle w:val="ListParagraph"/>
        <w:numPr>
          <w:ilvl w:val="0"/>
          <w:numId w:val="2"/>
        </w:numPr>
        <w:spacing w:line="360" w:lineRule="auto"/>
        <w:rPr>
          <w:sz w:val="28"/>
          <w:szCs w:val="28"/>
        </w:rPr>
      </w:pPr>
      <w:r>
        <w:rPr>
          <w:sz w:val="28"/>
          <w:szCs w:val="28"/>
        </w:rPr>
        <w:t xml:space="preserve">The Appeal Committee erred at law in interfering with the penalty of dismissal imposed by the employer for the misconduct of habitual absenteeism or late attendance to work a </w:t>
      </w:r>
      <w:r w:rsidR="0040107E">
        <w:rPr>
          <w:sz w:val="28"/>
          <w:szCs w:val="28"/>
        </w:rPr>
        <w:t>misconduct that goes to the root</w:t>
      </w:r>
      <w:r>
        <w:rPr>
          <w:sz w:val="28"/>
          <w:szCs w:val="28"/>
        </w:rPr>
        <w:t xml:space="preserve"> of the contract and warrants dismissal.</w:t>
      </w:r>
    </w:p>
    <w:p w:rsidR="009E1EA6" w:rsidRDefault="009E1EA6" w:rsidP="009E1EA6">
      <w:pPr>
        <w:pStyle w:val="ListParagraph"/>
        <w:numPr>
          <w:ilvl w:val="0"/>
          <w:numId w:val="2"/>
        </w:numPr>
        <w:spacing w:line="360" w:lineRule="auto"/>
        <w:rPr>
          <w:sz w:val="28"/>
          <w:szCs w:val="28"/>
        </w:rPr>
      </w:pPr>
      <w:r>
        <w:rPr>
          <w:sz w:val="28"/>
          <w:szCs w:val="28"/>
        </w:rPr>
        <w:t xml:space="preserve">The Appeal </w:t>
      </w:r>
      <w:r w:rsidR="0040107E">
        <w:rPr>
          <w:sz w:val="28"/>
          <w:szCs w:val="28"/>
        </w:rPr>
        <w:t>Committee erred at law in not fi</w:t>
      </w:r>
      <w:r>
        <w:rPr>
          <w:sz w:val="28"/>
          <w:szCs w:val="28"/>
        </w:rPr>
        <w:t>nding that the respondent was convicted of separate offence</w:t>
      </w:r>
      <w:r w:rsidR="00F51110">
        <w:rPr>
          <w:sz w:val="28"/>
          <w:szCs w:val="28"/>
        </w:rPr>
        <w:t>s</w:t>
      </w:r>
      <w:r>
        <w:rPr>
          <w:sz w:val="28"/>
          <w:szCs w:val="28"/>
        </w:rPr>
        <w:t xml:space="preserve"> </w:t>
      </w:r>
      <w:r w:rsidR="00F51110">
        <w:rPr>
          <w:sz w:val="28"/>
          <w:szCs w:val="28"/>
        </w:rPr>
        <w:t xml:space="preserve">all of them </w:t>
      </w:r>
      <w:r w:rsidR="0040107E">
        <w:rPr>
          <w:sz w:val="28"/>
          <w:szCs w:val="28"/>
        </w:rPr>
        <w:t xml:space="preserve">which </w:t>
      </w:r>
      <w:r w:rsidR="00F51110">
        <w:rPr>
          <w:sz w:val="28"/>
          <w:szCs w:val="28"/>
        </w:rPr>
        <w:t>called for a penalty of dismissal.</w:t>
      </w:r>
    </w:p>
    <w:p w:rsidR="00F51110" w:rsidRDefault="00F51110" w:rsidP="009E1EA6">
      <w:pPr>
        <w:pStyle w:val="ListParagraph"/>
        <w:numPr>
          <w:ilvl w:val="0"/>
          <w:numId w:val="2"/>
        </w:numPr>
        <w:spacing w:line="360" w:lineRule="auto"/>
        <w:rPr>
          <w:sz w:val="28"/>
          <w:szCs w:val="28"/>
        </w:rPr>
      </w:pPr>
      <w:r>
        <w:rPr>
          <w:sz w:val="28"/>
          <w:szCs w:val="28"/>
        </w:rPr>
        <w:t>The Appeals Committee misdirected itself at law in making a finding that the 9 days of absenteeism</w:t>
      </w:r>
      <w:r w:rsidR="0040107E">
        <w:rPr>
          <w:sz w:val="28"/>
          <w:szCs w:val="28"/>
        </w:rPr>
        <w:t xml:space="preserve"> were not consecutive</w:t>
      </w:r>
      <w:r>
        <w:rPr>
          <w:sz w:val="28"/>
          <w:szCs w:val="28"/>
        </w:rPr>
        <w:t xml:space="preserve"> and therefore did not warrant dismissal.</w:t>
      </w:r>
    </w:p>
    <w:p w:rsidR="00F51110" w:rsidRDefault="00F51110" w:rsidP="009E1EA6">
      <w:pPr>
        <w:pStyle w:val="ListParagraph"/>
        <w:numPr>
          <w:ilvl w:val="0"/>
          <w:numId w:val="2"/>
        </w:numPr>
        <w:spacing w:line="360" w:lineRule="auto"/>
        <w:rPr>
          <w:sz w:val="28"/>
          <w:szCs w:val="28"/>
        </w:rPr>
      </w:pPr>
      <w:r>
        <w:rPr>
          <w:sz w:val="28"/>
          <w:szCs w:val="28"/>
        </w:rPr>
        <w:t>The Appeals Committee erred by making a factual finding that there was no counselling which was conducted.</w:t>
      </w:r>
    </w:p>
    <w:p w:rsidR="00F51110" w:rsidRDefault="00F51110" w:rsidP="00F51110">
      <w:pPr>
        <w:spacing w:line="360" w:lineRule="auto"/>
        <w:ind w:left="720"/>
        <w:rPr>
          <w:sz w:val="28"/>
          <w:szCs w:val="28"/>
        </w:rPr>
      </w:pPr>
      <w:r>
        <w:rPr>
          <w:sz w:val="28"/>
          <w:szCs w:val="28"/>
        </w:rPr>
        <w:lastRenderedPageBreak/>
        <w:t>The appellant therefore prayed that the appeal be allowed with costs.</w:t>
      </w:r>
    </w:p>
    <w:p w:rsidR="00F51110" w:rsidRDefault="00F51110" w:rsidP="00F51110">
      <w:pPr>
        <w:spacing w:line="360" w:lineRule="auto"/>
        <w:ind w:left="720"/>
        <w:rPr>
          <w:sz w:val="28"/>
          <w:szCs w:val="28"/>
        </w:rPr>
      </w:pPr>
      <w:r>
        <w:rPr>
          <w:sz w:val="28"/>
          <w:szCs w:val="28"/>
        </w:rPr>
        <w:t>The appellant in response told the court that</w:t>
      </w:r>
    </w:p>
    <w:p w:rsidR="00F51110" w:rsidRDefault="00F51110" w:rsidP="00F51110">
      <w:pPr>
        <w:pStyle w:val="ListParagraph"/>
        <w:numPr>
          <w:ilvl w:val="0"/>
          <w:numId w:val="3"/>
        </w:numPr>
        <w:spacing w:line="360" w:lineRule="auto"/>
        <w:rPr>
          <w:sz w:val="28"/>
          <w:szCs w:val="28"/>
        </w:rPr>
      </w:pPr>
      <w:proofErr w:type="gramStart"/>
      <w:r>
        <w:rPr>
          <w:sz w:val="28"/>
          <w:szCs w:val="28"/>
        </w:rPr>
        <w:t xml:space="preserve">The </w:t>
      </w:r>
      <w:r w:rsidR="00AD7A83">
        <w:rPr>
          <w:sz w:val="28"/>
          <w:szCs w:val="28"/>
        </w:rPr>
        <w:t>has</w:t>
      </w:r>
      <w:proofErr w:type="gramEnd"/>
      <w:r w:rsidR="00AD7A83">
        <w:rPr>
          <w:sz w:val="28"/>
          <w:szCs w:val="28"/>
        </w:rPr>
        <w:t xml:space="preserve"> approached this court with dirty hands.</w:t>
      </w:r>
    </w:p>
    <w:p w:rsidR="00AD7A83" w:rsidRDefault="00AD7A83" w:rsidP="00F51110">
      <w:pPr>
        <w:pStyle w:val="ListParagraph"/>
        <w:numPr>
          <w:ilvl w:val="0"/>
          <w:numId w:val="3"/>
        </w:numPr>
        <w:spacing w:line="360" w:lineRule="auto"/>
        <w:rPr>
          <w:sz w:val="28"/>
          <w:szCs w:val="28"/>
        </w:rPr>
      </w:pPr>
      <w:r>
        <w:rPr>
          <w:sz w:val="28"/>
          <w:szCs w:val="28"/>
        </w:rPr>
        <w:t>No evidence was adduced to show respondent was counselled.</w:t>
      </w:r>
    </w:p>
    <w:p w:rsidR="00AD7A83" w:rsidRDefault="00AD7A83" w:rsidP="00F51110">
      <w:pPr>
        <w:pStyle w:val="ListParagraph"/>
        <w:numPr>
          <w:ilvl w:val="0"/>
          <w:numId w:val="3"/>
        </w:numPr>
        <w:spacing w:line="360" w:lineRule="auto"/>
        <w:rPr>
          <w:sz w:val="28"/>
          <w:szCs w:val="28"/>
        </w:rPr>
      </w:pPr>
      <w:r>
        <w:rPr>
          <w:sz w:val="28"/>
          <w:szCs w:val="28"/>
        </w:rPr>
        <w:t>The respondent never admitted that he was absent in respect of all the days</w:t>
      </w:r>
    </w:p>
    <w:p w:rsidR="00AD7A83" w:rsidRDefault="00AD7A83" w:rsidP="00F51110">
      <w:pPr>
        <w:pStyle w:val="ListParagraph"/>
        <w:numPr>
          <w:ilvl w:val="0"/>
          <w:numId w:val="3"/>
        </w:numPr>
        <w:spacing w:line="360" w:lineRule="auto"/>
        <w:rPr>
          <w:sz w:val="28"/>
          <w:szCs w:val="28"/>
        </w:rPr>
      </w:pPr>
      <w:r>
        <w:rPr>
          <w:sz w:val="28"/>
          <w:szCs w:val="28"/>
        </w:rPr>
        <w:t xml:space="preserve">The fact that an offence is a </w:t>
      </w:r>
      <w:proofErr w:type="spellStart"/>
      <w:r>
        <w:rPr>
          <w:sz w:val="28"/>
          <w:szCs w:val="28"/>
        </w:rPr>
        <w:t>dismissable</w:t>
      </w:r>
      <w:proofErr w:type="spellEnd"/>
      <w:r>
        <w:rPr>
          <w:sz w:val="28"/>
          <w:szCs w:val="28"/>
        </w:rPr>
        <w:t xml:space="preserve"> one does not mean that are has to be dismissed as a matter of fact.</w:t>
      </w:r>
    </w:p>
    <w:p w:rsidR="00AD7A83" w:rsidRDefault="00AD7A83" w:rsidP="00AD7A83">
      <w:pPr>
        <w:spacing w:line="360" w:lineRule="auto"/>
        <w:ind w:left="720"/>
        <w:rPr>
          <w:sz w:val="28"/>
          <w:szCs w:val="28"/>
        </w:rPr>
      </w:pPr>
      <w:r>
        <w:rPr>
          <w:sz w:val="28"/>
          <w:szCs w:val="28"/>
        </w:rPr>
        <w:t>The respondent therefore prayed for the dismissal of the appeal.</w:t>
      </w:r>
    </w:p>
    <w:p w:rsidR="00AD7A83" w:rsidRDefault="00AD7A83" w:rsidP="00AD7A83">
      <w:pPr>
        <w:spacing w:after="0" w:line="360" w:lineRule="auto"/>
        <w:ind w:left="720"/>
        <w:rPr>
          <w:sz w:val="28"/>
          <w:szCs w:val="28"/>
        </w:rPr>
      </w:pPr>
      <w:r>
        <w:rPr>
          <w:sz w:val="28"/>
          <w:szCs w:val="28"/>
        </w:rPr>
        <w:t xml:space="preserve">It is common </w:t>
      </w:r>
      <w:proofErr w:type="gramStart"/>
      <w:r>
        <w:rPr>
          <w:sz w:val="28"/>
          <w:szCs w:val="28"/>
        </w:rPr>
        <w:t>cause</w:t>
      </w:r>
      <w:proofErr w:type="gramEnd"/>
      <w:r>
        <w:rPr>
          <w:sz w:val="28"/>
          <w:szCs w:val="28"/>
        </w:rPr>
        <w:t xml:space="preserve"> that respondent was absent from work and reported </w:t>
      </w:r>
    </w:p>
    <w:p w:rsidR="00AD7A83" w:rsidRDefault="00AD7A83" w:rsidP="00AD7A83">
      <w:pPr>
        <w:spacing w:after="0" w:line="360" w:lineRule="auto"/>
        <w:rPr>
          <w:sz w:val="28"/>
          <w:szCs w:val="28"/>
        </w:rPr>
      </w:pPr>
      <w:proofErr w:type="gramStart"/>
      <w:r>
        <w:rPr>
          <w:sz w:val="28"/>
          <w:szCs w:val="28"/>
        </w:rPr>
        <w:t>for</w:t>
      </w:r>
      <w:proofErr w:type="gramEnd"/>
      <w:r>
        <w:rPr>
          <w:sz w:val="28"/>
          <w:szCs w:val="28"/>
        </w:rPr>
        <w:t xml:space="preserve"> work late on a number of occasions.  He was eventually charged for this misconduct and dismissed from employment.  The National Employment Council for Engineering </w:t>
      </w:r>
      <w:r w:rsidR="0040107E">
        <w:rPr>
          <w:sz w:val="28"/>
          <w:szCs w:val="28"/>
        </w:rPr>
        <w:t>on</w:t>
      </w:r>
      <w:r>
        <w:rPr>
          <w:sz w:val="28"/>
          <w:szCs w:val="28"/>
        </w:rPr>
        <w:t xml:space="preserve"> </w:t>
      </w:r>
      <w:proofErr w:type="gramStart"/>
      <w:r>
        <w:rPr>
          <w:sz w:val="28"/>
          <w:szCs w:val="28"/>
        </w:rPr>
        <w:t xml:space="preserve">appeal </w:t>
      </w:r>
      <w:r w:rsidR="0040107E">
        <w:rPr>
          <w:sz w:val="28"/>
          <w:szCs w:val="28"/>
        </w:rPr>
        <w:t xml:space="preserve"> overturned</w:t>
      </w:r>
      <w:proofErr w:type="gramEnd"/>
      <w:r w:rsidR="0040107E">
        <w:rPr>
          <w:sz w:val="28"/>
          <w:szCs w:val="28"/>
        </w:rPr>
        <w:t xml:space="preserve"> this decision </w:t>
      </w:r>
      <w:r>
        <w:rPr>
          <w:sz w:val="28"/>
          <w:szCs w:val="28"/>
        </w:rPr>
        <w:t xml:space="preserve">and </w:t>
      </w:r>
      <w:r w:rsidR="0040107E">
        <w:rPr>
          <w:sz w:val="28"/>
          <w:szCs w:val="28"/>
        </w:rPr>
        <w:t>imposed the penalty stated above</w:t>
      </w:r>
      <w:r>
        <w:rPr>
          <w:sz w:val="28"/>
          <w:szCs w:val="28"/>
        </w:rPr>
        <w:t>.</w:t>
      </w:r>
    </w:p>
    <w:p w:rsidR="00AD7A83" w:rsidRDefault="00AD7A83" w:rsidP="00AD7A83">
      <w:pPr>
        <w:spacing w:after="0" w:line="360" w:lineRule="auto"/>
        <w:rPr>
          <w:sz w:val="28"/>
          <w:szCs w:val="28"/>
        </w:rPr>
      </w:pPr>
    </w:p>
    <w:p w:rsidR="00AD7A83" w:rsidRDefault="00AD7A83" w:rsidP="00AD7A83">
      <w:pPr>
        <w:spacing w:after="0" w:line="360" w:lineRule="auto"/>
        <w:rPr>
          <w:sz w:val="28"/>
          <w:szCs w:val="28"/>
        </w:rPr>
      </w:pPr>
      <w:r>
        <w:rPr>
          <w:sz w:val="28"/>
          <w:szCs w:val="28"/>
        </w:rPr>
        <w:tab/>
        <w:t>What is to be decided is whether the council erred by imposing this penalty.</w:t>
      </w:r>
    </w:p>
    <w:p w:rsidR="00AD7A83" w:rsidRDefault="00AD7A83" w:rsidP="00AD7A83">
      <w:pPr>
        <w:spacing w:after="0" w:line="360" w:lineRule="auto"/>
        <w:rPr>
          <w:sz w:val="28"/>
          <w:szCs w:val="28"/>
        </w:rPr>
      </w:pPr>
    </w:p>
    <w:p w:rsidR="00AD7A83" w:rsidRDefault="00AD7A83" w:rsidP="00AD7A83">
      <w:pPr>
        <w:spacing w:after="0" w:line="360" w:lineRule="auto"/>
        <w:rPr>
          <w:sz w:val="28"/>
          <w:szCs w:val="28"/>
        </w:rPr>
      </w:pPr>
      <w:r>
        <w:rPr>
          <w:sz w:val="28"/>
          <w:szCs w:val="28"/>
        </w:rPr>
        <w:tab/>
        <w:t xml:space="preserve">This court will </w:t>
      </w:r>
      <w:r w:rsidR="0040107E">
        <w:rPr>
          <w:sz w:val="28"/>
          <w:szCs w:val="28"/>
        </w:rPr>
        <w:t>deal with the</w:t>
      </w:r>
      <w:r>
        <w:rPr>
          <w:sz w:val="28"/>
          <w:szCs w:val="28"/>
        </w:rPr>
        <w:t xml:space="preserve"> point in </w:t>
      </w:r>
      <w:proofErr w:type="spellStart"/>
      <w:r>
        <w:rPr>
          <w:sz w:val="28"/>
          <w:szCs w:val="28"/>
        </w:rPr>
        <w:t>limine</w:t>
      </w:r>
      <w:proofErr w:type="spellEnd"/>
      <w:r>
        <w:rPr>
          <w:sz w:val="28"/>
          <w:szCs w:val="28"/>
        </w:rPr>
        <w:t xml:space="preserve"> that has been raised which stated that the appellant had app</w:t>
      </w:r>
      <w:r w:rsidR="008A0A50">
        <w:rPr>
          <w:sz w:val="28"/>
          <w:szCs w:val="28"/>
        </w:rPr>
        <w:t>roached this court with dirty hands.  However section 85 (2) of the Constitution of Zimbabwe Amendment (No 20_ Act 2013 states that</w:t>
      </w:r>
    </w:p>
    <w:p w:rsidR="008A0A50" w:rsidRDefault="008A0A50" w:rsidP="008A0A50">
      <w:pPr>
        <w:spacing w:after="0" w:line="240" w:lineRule="auto"/>
        <w:ind w:left="720"/>
        <w:rPr>
          <w:sz w:val="24"/>
          <w:szCs w:val="24"/>
        </w:rPr>
      </w:pPr>
      <w:r>
        <w:rPr>
          <w:sz w:val="24"/>
          <w:szCs w:val="24"/>
        </w:rPr>
        <w:t xml:space="preserve">“The fact that a person has contravened a law does not </w:t>
      </w:r>
      <w:r w:rsidR="0040107E">
        <w:rPr>
          <w:sz w:val="24"/>
          <w:szCs w:val="24"/>
        </w:rPr>
        <w:t>debar them from approaching a court</w:t>
      </w:r>
      <w:r>
        <w:rPr>
          <w:sz w:val="24"/>
          <w:szCs w:val="24"/>
        </w:rPr>
        <w:t xml:space="preserve"> for relief under subsection (1)”</w:t>
      </w:r>
    </w:p>
    <w:p w:rsidR="008A0A50" w:rsidRDefault="008A0A50" w:rsidP="008A0A50">
      <w:pPr>
        <w:spacing w:after="0" w:line="240" w:lineRule="auto"/>
        <w:ind w:left="720"/>
        <w:rPr>
          <w:sz w:val="24"/>
          <w:szCs w:val="24"/>
        </w:rPr>
      </w:pPr>
    </w:p>
    <w:p w:rsidR="008A0A50" w:rsidRDefault="008A0A50" w:rsidP="008A0A50">
      <w:pPr>
        <w:spacing w:after="0" w:line="240" w:lineRule="auto"/>
        <w:ind w:left="720"/>
        <w:rPr>
          <w:sz w:val="24"/>
          <w:szCs w:val="24"/>
        </w:rPr>
      </w:pPr>
    </w:p>
    <w:p w:rsidR="008A0A50" w:rsidRDefault="008A0A50" w:rsidP="0040107E">
      <w:pPr>
        <w:spacing w:after="0" w:line="360" w:lineRule="auto"/>
        <w:ind w:left="720"/>
        <w:rPr>
          <w:sz w:val="28"/>
          <w:szCs w:val="28"/>
        </w:rPr>
      </w:pPr>
      <w:r>
        <w:rPr>
          <w:sz w:val="28"/>
          <w:szCs w:val="28"/>
        </w:rPr>
        <w:lastRenderedPageBreak/>
        <w:t xml:space="preserve">This therefore means that the fact that the appellant has </w:t>
      </w:r>
      <w:r w:rsidR="0040107E">
        <w:rPr>
          <w:sz w:val="28"/>
          <w:szCs w:val="28"/>
        </w:rPr>
        <w:t xml:space="preserve">not reinstated the respondent does not bar </w:t>
      </w:r>
      <w:r>
        <w:rPr>
          <w:sz w:val="28"/>
          <w:szCs w:val="28"/>
        </w:rPr>
        <w:t xml:space="preserve">the appellant from approaching the court for relief.  It is for this reason that the point in </w:t>
      </w:r>
      <w:proofErr w:type="spellStart"/>
      <w:r>
        <w:rPr>
          <w:sz w:val="28"/>
          <w:szCs w:val="28"/>
        </w:rPr>
        <w:t>limine</w:t>
      </w:r>
      <w:proofErr w:type="spellEnd"/>
      <w:r>
        <w:rPr>
          <w:sz w:val="28"/>
          <w:szCs w:val="28"/>
        </w:rPr>
        <w:t xml:space="preserve"> cannot stand.</w:t>
      </w:r>
    </w:p>
    <w:p w:rsidR="008A0A50" w:rsidRDefault="008A0A50" w:rsidP="008A0A50">
      <w:pPr>
        <w:spacing w:after="0" w:line="360" w:lineRule="auto"/>
        <w:rPr>
          <w:sz w:val="28"/>
          <w:szCs w:val="28"/>
        </w:rPr>
      </w:pPr>
      <w:r>
        <w:rPr>
          <w:sz w:val="28"/>
          <w:szCs w:val="28"/>
        </w:rPr>
        <w:tab/>
        <w:t xml:space="preserve">It has been a trite principle of law that </w:t>
      </w:r>
      <w:r w:rsidR="0040107E">
        <w:rPr>
          <w:sz w:val="28"/>
          <w:szCs w:val="28"/>
        </w:rPr>
        <w:t xml:space="preserve">when </w:t>
      </w:r>
      <w:r>
        <w:rPr>
          <w:sz w:val="28"/>
          <w:szCs w:val="28"/>
        </w:rPr>
        <w:t>an employer is of the view that an employee should be dismissed</w:t>
      </w:r>
      <w:r w:rsidR="0040107E">
        <w:rPr>
          <w:sz w:val="28"/>
          <w:szCs w:val="28"/>
        </w:rPr>
        <w:t xml:space="preserve"> the employer</w:t>
      </w:r>
      <w:r>
        <w:rPr>
          <w:sz w:val="28"/>
          <w:szCs w:val="28"/>
        </w:rPr>
        <w:t xml:space="preserve"> has a right to dismiss an employee after a hearing for a m</w:t>
      </w:r>
      <w:r w:rsidR="00887044">
        <w:rPr>
          <w:sz w:val="28"/>
          <w:szCs w:val="28"/>
        </w:rPr>
        <w:t>isconduct of a material nature.</w:t>
      </w:r>
    </w:p>
    <w:p w:rsidR="008A0A50" w:rsidRDefault="008A0A50" w:rsidP="008A0A50">
      <w:pPr>
        <w:spacing w:after="0" w:line="360" w:lineRule="auto"/>
        <w:rPr>
          <w:sz w:val="28"/>
          <w:szCs w:val="28"/>
        </w:rPr>
      </w:pPr>
      <w:r>
        <w:rPr>
          <w:sz w:val="28"/>
          <w:szCs w:val="28"/>
        </w:rPr>
        <w:tab/>
        <w:t xml:space="preserve">In the case of </w:t>
      </w:r>
      <w:r>
        <w:rPr>
          <w:b/>
          <w:sz w:val="28"/>
          <w:szCs w:val="28"/>
        </w:rPr>
        <w:t xml:space="preserve">Toyota Zimbabwe v </w:t>
      </w:r>
      <w:proofErr w:type="spellStart"/>
      <w:r>
        <w:rPr>
          <w:b/>
          <w:sz w:val="28"/>
          <w:szCs w:val="28"/>
        </w:rPr>
        <w:t>Posi</w:t>
      </w:r>
      <w:proofErr w:type="spellEnd"/>
      <w:r>
        <w:rPr>
          <w:b/>
          <w:sz w:val="28"/>
          <w:szCs w:val="28"/>
        </w:rPr>
        <w:t xml:space="preserve"> </w:t>
      </w:r>
      <w:r>
        <w:rPr>
          <w:sz w:val="28"/>
          <w:szCs w:val="28"/>
        </w:rPr>
        <w:t>SC 55/07 it was held that</w:t>
      </w:r>
    </w:p>
    <w:p w:rsidR="008A0A50" w:rsidRDefault="008A0A50" w:rsidP="008A0A50">
      <w:pPr>
        <w:spacing w:after="0" w:line="240" w:lineRule="auto"/>
        <w:ind w:left="720"/>
        <w:rPr>
          <w:sz w:val="24"/>
          <w:szCs w:val="24"/>
        </w:rPr>
      </w:pPr>
      <w:r>
        <w:rPr>
          <w:sz w:val="24"/>
          <w:szCs w:val="24"/>
        </w:rPr>
        <w:t>“We are bound by the rule of construction to the effect that we must presume that there is no intention to alter the common law.  As Mr Zhou put it the Labour Act contains no provisions which either expressly or by implication purports to alter the common law principle that an employer has a right to dismiss an employee following conviction for a misconduct of a material nature going to the root</w:t>
      </w:r>
      <w:r w:rsidR="00441409">
        <w:rPr>
          <w:sz w:val="24"/>
          <w:szCs w:val="24"/>
        </w:rPr>
        <w:t xml:space="preserve"> of the employer and employee relationship.  A code of conduct cannot alter or abrogate a principle of the common law.  It does not matter that the Code of Conduct is a product of an agreement.”</w:t>
      </w:r>
    </w:p>
    <w:p w:rsidR="00441409" w:rsidRDefault="00441409" w:rsidP="008A0A50">
      <w:pPr>
        <w:spacing w:after="0" w:line="240" w:lineRule="auto"/>
        <w:ind w:left="720"/>
        <w:rPr>
          <w:sz w:val="24"/>
          <w:szCs w:val="24"/>
        </w:rPr>
      </w:pPr>
    </w:p>
    <w:p w:rsidR="00441409" w:rsidRDefault="00441409" w:rsidP="008A0A50">
      <w:pPr>
        <w:spacing w:after="0" w:line="240" w:lineRule="auto"/>
        <w:ind w:left="720"/>
        <w:rPr>
          <w:sz w:val="28"/>
          <w:szCs w:val="28"/>
        </w:rPr>
      </w:pPr>
      <w:r>
        <w:rPr>
          <w:sz w:val="28"/>
          <w:szCs w:val="28"/>
        </w:rPr>
        <w:t xml:space="preserve">In the case of </w:t>
      </w:r>
      <w:proofErr w:type="spellStart"/>
      <w:r>
        <w:rPr>
          <w:b/>
          <w:sz w:val="28"/>
          <w:szCs w:val="28"/>
        </w:rPr>
        <w:t>Mvere</w:t>
      </w:r>
      <w:proofErr w:type="spellEnd"/>
      <w:r>
        <w:rPr>
          <w:b/>
          <w:sz w:val="28"/>
          <w:szCs w:val="28"/>
        </w:rPr>
        <w:t xml:space="preserve"> v </w:t>
      </w:r>
      <w:proofErr w:type="spellStart"/>
      <w:r>
        <w:rPr>
          <w:b/>
          <w:sz w:val="28"/>
          <w:szCs w:val="28"/>
        </w:rPr>
        <w:t>Tanganda</w:t>
      </w:r>
      <w:proofErr w:type="spellEnd"/>
      <w:r>
        <w:rPr>
          <w:b/>
          <w:sz w:val="28"/>
          <w:szCs w:val="28"/>
        </w:rPr>
        <w:t xml:space="preserve"> Tea Ltd </w:t>
      </w:r>
      <w:r>
        <w:rPr>
          <w:sz w:val="28"/>
          <w:szCs w:val="28"/>
        </w:rPr>
        <w:t>SC 130/14 it was stated that</w:t>
      </w:r>
    </w:p>
    <w:p w:rsidR="00441409" w:rsidRDefault="00441409" w:rsidP="008A0A50">
      <w:pPr>
        <w:spacing w:after="0" w:line="240" w:lineRule="auto"/>
        <w:ind w:left="720"/>
        <w:rPr>
          <w:sz w:val="28"/>
          <w:szCs w:val="28"/>
        </w:rPr>
      </w:pPr>
    </w:p>
    <w:p w:rsidR="00441409" w:rsidRDefault="00441409" w:rsidP="008A0A50">
      <w:pPr>
        <w:spacing w:after="0" w:line="240" w:lineRule="auto"/>
        <w:ind w:left="720"/>
        <w:rPr>
          <w:sz w:val="24"/>
          <w:szCs w:val="24"/>
        </w:rPr>
      </w:pPr>
      <w:r>
        <w:rPr>
          <w:sz w:val="24"/>
          <w:szCs w:val="24"/>
        </w:rPr>
        <w:t xml:space="preserve">“The question whether the dismissal of an employee is justified is a question of fact </w:t>
      </w:r>
      <w:proofErr w:type="spellStart"/>
      <w:r>
        <w:rPr>
          <w:sz w:val="24"/>
          <w:szCs w:val="24"/>
        </w:rPr>
        <w:t>dependant</w:t>
      </w:r>
      <w:proofErr w:type="spellEnd"/>
      <w:r>
        <w:rPr>
          <w:sz w:val="24"/>
          <w:szCs w:val="24"/>
        </w:rPr>
        <w:t xml:space="preserve"> upon the extent of the misconduct committed and determined by reference to all the circumstances of the case.”</w:t>
      </w:r>
    </w:p>
    <w:p w:rsidR="00441409" w:rsidRDefault="00441409" w:rsidP="008A0A50">
      <w:pPr>
        <w:spacing w:after="0" w:line="240" w:lineRule="auto"/>
        <w:ind w:left="720"/>
        <w:rPr>
          <w:sz w:val="24"/>
          <w:szCs w:val="24"/>
        </w:rPr>
      </w:pPr>
    </w:p>
    <w:p w:rsidR="00441409" w:rsidRDefault="00441409" w:rsidP="00441409">
      <w:pPr>
        <w:spacing w:after="0" w:line="360" w:lineRule="auto"/>
        <w:ind w:left="720"/>
        <w:rPr>
          <w:sz w:val="28"/>
          <w:szCs w:val="28"/>
        </w:rPr>
      </w:pPr>
      <w:r>
        <w:rPr>
          <w:sz w:val="28"/>
          <w:szCs w:val="28"/>
        </w:rPr>
        <w:t xml:space="preserve">In this case respondent was an engineer, an adult and </w:t>
      </w:r>
      <w:r w:rsidR="0040107E">
        <w:rPr>
          <w:sz w:val="28"/>
          <w:szCs w:val="28"/>
        </w:rPr>
        <w:t xml:space="preserve">a </w:t>
      </w:r>
      <w:r>
        <w:rPr>
          <w:sz w:val="28"/>
          <w:szCs w:val="28"/>
        </w:rPr>
        <w:t xml:space="preserve">literate person </w:t>
      </w:r>
    </w:p>
    <w:p w:rsidR="00441409" w:rsidRDefault="00441409" w:rsidP="00441409">
      <w:pPr>
        <w:spacing w:after="0" w:line="360" w:lineRule="auto"/>
        <w:rPr>
          <w:sz w:val="28"/>
          <w:szCs w:val="28"/>
        </w:rPr>
      </w:pPr>
      <w:proofErr w:type="gramStart"/>
      <w:r>
        <w:rPr>
          <w:sz w:val="28"/>
          <w:szCs w:val="28"/>
        </w:rPr>
        <w:t>who</w:t>
      </w:r>
      <w:proofErr w:type="gramEnd"/>
      <w:r>
        <w:rPr>
          <w:sz w:val="28"/>
          <w:szCs w:val="28"/>
        </w:rPr>
        <w:t xml:space="preserve"> very well appreciated the impact of his behaviour on the appellant.  Take it that he was not counselled he knew what the contract of employment required.  The appellant had a good reason to dismiss the respondent for he is </w:t>
      </w:r>
      <w:r w:rsidR="0040107E">
        <w:rPr>
          <w:sz w:val="28"/>
          <w:szCs w:val="28"/>
        </w:rPr>
        <w:t>not a</w:t>
      </w:r>
      <w:r>
        <w:rPr>
          <w:sz w:val="28"/>
          <w:szCs w:val="28"/>
        </w:rPr>
        <w:t xml:space="preserve"> person to rely on because of his conduct.  There was therefore no reason for the committe</w:t>
      </w:r>
      <w:r w:rsidR="0040107E">
        <w:rPr>
          <w:sz w:val="28"/>
          <w:szCs w:val="28"/>
        </w:rPr>
        <w:t>e to interfere with the employer</w:t>
      </w:r>
      <w:r>
        <w:rPr>
          <w:sz w:val="28"/>
          <w:szCs w:val="28"/>
        </w:rPr>
        <w:t>’s discretion.</w:t>
      </w:r>
    </w:p>
    <w:p w:rsidR="00441409" w:rsidRDefault="00441409" w:rsidP="00441409">
      <w:pPr>
        <w:spacing w:after="0" w:line="360" w:lineRule="auto"/>
        <w:rPr>
          <w:sz w:val="28"/>
          <w:szCs w:val="28"/>
        </w:rPr>
      </w:pPr>
    </w:p>
    <w:p w:rsidR="00441409" w:rsidRDefault="00441409" w:rsidP="00441409">
      <w:pPr>
        <w:spacing w:after="0" w:line="360" w:lineRule="auto"/>
        <w:rPr>
          <w:sz w:val="28"/>
          <w:szCs w:val="28"/>
        </w:rPr>
      </w:pPr>
      <w:r>
        <w:rPr>
          <w:sz w:val="28"/>
          <w:szCs w:val="28"/>
        </w:rPr>
        <w:tab/>
        <w:t>In view of this therefore the appeal is allowed and the decision of the committee be and is hereby substituted with the following order</w:t>
      </w:r>
    </w:p>
    <w:p w:rsidR="00441409" w:rsidRDefault="00441409" w:rsidP="00441409">
      <w:pPr>
        <w:spacing w:after="0" w:line="240" w:lineRule="auto"/>
        <w:ind w:left="720"/>
        <w:rPr>
          <w:sz w:val="24"/>
          <w:szCs w:val="24"/>
        </w:rPr>
      </w:pPr>
      <w:r>
        <w:rPr>
          <w:sz w:val="24"/>
          <w:szCs w:val="24"/>
        </w:rPr>
        <w:t>“The respondent be and is hereby dismissed with effect from the date of the verdict of the Disciplinary Committee</w:t>
      </w:r>
      <w:r w:rsidR="00462BE8">
        <w:rPr>
          <w:sz w:val="24"/>
          <w:szCs w:val="24"/>
        </w:rPr>
        <w:t>.”</w:t>
      </w:r>
    </w:p>
    <w:p w:rsidR="00462BE8" w:rsidRDefault="00462BE8" w:rsidP="00462BE8">
      <w:pPr>
        <w:spacing w:after="0" w:line="240" w:lineRule="auto"/>
        <w:rPr>
          <w:sz w:val="24"/>
          <w:szCs w:val="24"/>
        </w:rPr>
      </w:pPr>
    </w:p>
    <w:p w:rsidR="00462BE8" w:rsidRDefault="00462BE8" w:rsidP="00462BE8">
      <w:pPr>
        <w:spacing w:after="0" w:line="240" w:lineRule="auto"/>
        <w:rPr>
          <w:sz w:val="24"/>
          <w:szCs w:val="24"/>
        </w:rPr>
      </w:pPr>
    </w:p>
    <w:p w:rsidR="00462BE8" w:rsidRDefault="00462BE8" w:rsidP="00462BE8">
      <w:pPr>
        <w:spacing w:after="0" w:line="240" w:lineRule="auto"/>
        <w:rPr>
          <w:sz w:val="24"/>
          <w:szCs w:val="24"/>
        </w:rPr>
      </w:pPr>
    </w:p>
    <w:p w:rsidR="00462BE8" w:rsidRDefault="00462BE8" w:rsidP="00462BE8">
      <w:pPr>
        <w:spacing w:after="0" w:line="240" w:lineRule="auto"/>
        <w:rPr>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xml:space="preserve">, </w:t>
      </w:r>
      <w:r>
        <w:rPr>
          <w:sz w:val="24"/>
          <w:szCs w:val="24"/>
        </w:rPr>
        <w:t>appellant’s legal practitioners</w:t>
      </w:r>
    </w:p>
    <w:p w:rsidR="00462BE8" w:rsidRPr="00462BE8" w:rsidRDefault="00462BE8" w:rsidP="00462BE8">
      <w:pPr>
        <w:spacing w:after="0" w:line="240" w:lineRule="auto"/>
        <w:rPr>
          <w:sz w:val="24"/>
          <w:szCs w:val="24"/>
        </w:rPr>
      </w:pPr>
      <w:proofErr w:type="spellStart"/>
      <w:r>
        <w:rPr>
          <w:b/>
          <w:i/>
          <w:sz w:val="24"/>
          <w:szCs w:val="24"/>
        </w:rPr>
        <w:t>Musoni</w:t>
      </w:r>
      <w:proofErr w:type="spellEnd"/>
      <w:r>
        <w:rPr>
          <w:b/>
          <w:i/>
          <w:sz w:val="24"/>
          <w:szCs w:val="24"/>
        </w:rPr>
        <w:t xml:space="preserve"> Law Chambers, </w:t>
      </w:r>
      <w:r>
        <w:rPr>
          <w:sz w:val="24"/>
          <w:szCs w:val="24"/>
        </w:rPr>
        <w:t>respondent’s legal practitioners</w:t>
      </w:r>
    </w:p>
    <w:sectPr w:rsidR="00462BE8" w:rsidRPr="00462BE8" w:rsidSect="00F51110">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39" w:rsidRDefault="00AD4B39" w:rsidP="00F51110">
      <w:pPr>
        <w:spacing w:after="0" w:line="240" w:lineRule="auto"/>
      </w:pPr>
      <w:r>
        <w:separator/>
      </w:r>
    </w:p>
  </w:endnote>
  <w:endnote w:type="continuationSeparator" w:id="0">
    <w:p w:rsidR="00AD4B39" w:rsidRDefault="00AD4B39" w:rsidP="00F5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067491"/>
      <w:docPartObj>
        <w:docPartGallery w:val="Page Numbers (Bottom of Page)"/>
        <w:docPartUnique/>
      </w:docPartObj>
    </w:sdtPr>
    <w:sdtEndPr>
      <w:rPr>
        <w:noProof/>
      </w:rPr>
    </w:sdtEndPr>
    <w:sdtContent>
      <w:p w:rsidR="008F3B17" w:rsidRDefault="008F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1409" w:rsidRDefault="00441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39" w:rsidRDefault="00AD4B39" w:rsidP="00F51110">
      <w:pPr>
        <w:spacing w:after="0" w:line="240" w:lineRule="auto"/>
      </w:pPr>
      <w:r>
        <w:separator/>
      </w:r>
    </w:p>
  </w:footnote>
  <w:footnote w:type="continuationSeparator" w:id="0">
    <w:p w:rsidR="00AD4B39" w:rsidRDefault="00AD4B39" w:rsidP="00F51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09" w:rsidRDefault="00441409" w:rsidP="00F51110">
    <w:pPr>
      <w:ind w:left="5040" w:firstLine="720"/>
      <w:rPr>
        <w:b/>
        <w:sz w:val="28"/>
        <w:szCs w:val="28"/>
      </w:rPr>
    </w:pPr>
    <w:r>
      <w:rPr>
        <w:b/>
        <w:sz w:val="28"/>
        <w:szCs w:val="28"/>
      </w:rPr>
      <w:t>JUDGMENT LC/H/</w:t>
    </w:r>
    <w:r w:rsidR="008F3B17">
      <w:rPr>
        <w:b/>
        <w:sz w:val="28"/>
        <w:szCs w:val="28"/>
      </w:rPr>
      <w:t>524</w:t>
    </w:r>
    <w:r>
      <w:rPr>
        <w:b/>
        <w:sz w:val="28"/>
        <w:szCs w:val="28"/>
      </w:rPr>
      <w:t>/14</w:t>
    </w:r>
  </w:p>
  <w:p w:rsidR="00441409" w:rsidRDefault="00441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52999"/>
    <w:multiLevelType w:val="hybridMultilevel"/>
    <w:tmpl w:val="0188269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552C3A"/>
    <w:multiLevelType w:val="hybridMultilevel"/>
    <w:tmpl w:val="ACD87092"/>
    <w:lvl w:ilvl="0" w:tplc="4D74B0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0497EBF"/>
    <w:multiLevelType w:val="hybridMultilevel"/>
    <w:tmpl w:val="DEAE5664"/>
    <w:lvl w:ilvl="0" w:tplc="0C5202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95"/>
    <w:rsid w:val="0040107E"/>
    <w:rsid w:val="00441409"/>
    <w:rsid w:val="004615ED"/>
    <w:rsid w:val="00462BE8"/>
    <w:rsid w:val="00561A71"/>
    <w:rsid w:val="006F5FE1"/>
    <w:rsid w:val="00732364"/>
    <w:rsid w:val="00875C00"/>
    <w:rsid w:val="00887044"/>
    <w:rsid w:val="008A0A50"/>
    <w:rsid w:val="008F3B17"/>
    <w:rsid w:val="009E1EA6"/>
    <w:rsid w:val="00AD4B39"/>
    <w:rsid w:val="00AD7A83"/>
    <w:rsid w:val="00BA43D6"/>
    <w:rsid w:val="00C92442"/>
    <w:rsid w:val="00CF2B66"/>
    <w:rsid w:val="00D82284"/>
    <w:rsid w:val="00D97A1E"/>
    <w:rsid w:val="00E64E95"/>
    <w:rsid w:val="00EC7F66"/>
    <w:rsid w:val="00F511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D6"/>
    <w:pPr>
      <w:ind w:left="720"/>
      <w:contextualSpacing/>
    </w:pPr>
  </w:style>
  <w:style w:type="paragraph" w:styleId="Header">
    <w:name w:val="header"/>
    <w:basedOn w:val="Normal"/>
    <w:link w:val="HeaderChar"/>
    <w:uiPriority w:val="99"/>
    <w:unhideWhenUsed/>
    <w:rsid w:val="00F51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110"/>
  </w:style>
  <w:style w:type="paragraph" w:styleId="Footer">
    <w:name w:val="footer"/>
    <w:basedOn w:val="Normal"/>
    <w:link w:val="FooterChar"/>
    <w:uiPriority w:val="99"/>
    <w:unhideWhenUsed/>
    <w:rsid w:val="00F51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110"/>
  </w:style>
  <w:style w:type="paragraph" w:styleId="BalloonText">
    <w:name w:val="Balloon Text"/>
    <w:basedOn w:val="Normal"/>
    <w:link w:val="BalloonTextChar"/>
    <w:uiPriority w:val="99"/>
    <w:semiHidden/>
    <w:unhideWhenUsed/>
    <w:rsid w:val="008F3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D6"/>
    <w:pPr>
      <w:ind w:left="720"/>
      <w:contextualSpacing/>
    </w:pPr>
  </w:style>
  <w:style w:type="paragraph" w:styleId="Header">
    <w:name w:val="header"/>
    <w:basedOn w:val="Normal"/>
    <w:link w:val="HeaderChar"/>
    <w:uiPriority w:val="99"/>
    <w:unhideWhenUsed/>
    <w:rsid w:val="00F51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110"/>
  </w:style>
  <w:style w:type="paragraph" w:styleId="Footer">
    <w:name w:val="footer"/>
    <w:basedOn w:val="Normal"/>
    <w:link w:val="FooterChar"/>
    <w:uiPriority w:val="99"/>
    <w:unhideWhenUsed/>
    <w:rsid w:val="00F51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110"/>
  </w:style>
  <w:style w:type="paragraph" w:styleId="BalloonText">
    <w:name w:val="Balloon Text"/>
    <w:basedOn w:val="Normal"/>
    <w:link w:val="BalloonTextChar"/>
    <w:uiPriority w:val="99"/>
    <w:semiHidden/>
    <w:unhideWhenUsed/>
    <w:rsid w:val="008F3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5280-9940-4634-A803-912C3891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2014-08-01T07:22:00Z</cp:lastPrinted>
  <dcterms:created xsi:type="dcterms:W3CDTF">2014-08-01T07:25:00Z</dcterms:created>
  <dcterms:modified xsi:type="dcterms:W3CDTF">2014-08-01T07:25:00Z</dcterms:modified>
</cp:coreProperties>
</file>