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130" w:rsidRDefault="00EF3A3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BARZEM ENTERPRISES</w:t>
      </w:r>
      <w:bookmarkStart w:id="0" w:name="_GoBack"/>
      <w:bookmarkEnd w:id="0"/>
    </w:p>
    <w:p w:rsidR="005A5130" w:rsidRDefault="00A94123">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w:t>
      </w:r>
      <w:r w:rsidR="00EF3A30">
        <w:rPr>
          <w:rFonts w:ascii="Times New Roman" w:hAnsi="Times New Roman" w:cs="Times New Roman"/>
          <w:sz w:val="24"/>
          <w:szCs w:val="24"/>
          <w:lang w:val="en-US"/>
        </w:rPr>
        <w:t xml:space="preserve">ersus </w:t>
      </w:r>
    </w:p>
    <w:p w:rsidR="005A5130" w:rsidRDefault="00EF3A3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THABANI GONYE </w:t>
      </w:r>
    </w:p>
    <w:p w:rsidR="005A5130" w:rsidRDefault="005A5130">
      <w:pPr>
        <w:jc w:val="both"/>
        <w:rPr>
          <w:rFonts w:ascii="Times New Roman" w:hAnsi="Times New Roman" w:cs="Times New Roman"/>
          <w:sz w:val="24"/>
          <w:szCs w:val="24"/>
          <w:lang w:val="en-US"/>
        </w:rPr>
      </w:pPr>
    </w:p>
    <w:p w:rsidR="005A5130" w:rsidRDefault="00EF3A3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HIGH COURT OF ZIMBABWE </w:t>
      </w:r>
    </w:p>
    <w:p w:rsidR="005A5130" w:rsidRDefault="00EF3A30">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MUSHURE J </w:t>
      </w:r>
    </w:p>
    <w:p w:rsidR="005A5130" w:rsidRDefault="00EF3A3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HARARE, 7 March &amp; 29 April 2025 </w:t>
      </w:r>
    </w:p>
    <w:p w:rsidR="005A5130" w:rsidRDefault="005A5130">
      <w:pPr>
        <w:jc w:val="both"/>
        <w:rPr>
          <w:rFonts w:ascii="Times New Roman" w:hAnsi="Times New Roman" w:cs="Times New Roman"/>
          <w:sz w:val="24"/>
          <w:szCs w:val="24"/>
          <w:lang w:val="en-US"/>
        </w:rPr>
      </w:pPr>
    </w:p>
    <w:p w:rsidR="005A5130" w:rsidRDefault="00EF3A30">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Application for summary judgment </w:t>
      </w:r>
    </w:p>
    <w:p w:rsidR="00A94123" w:rsidRDefault="00A94123">
      <w:pPr>
        <w:spacing w:after="0" w:line="240" w:lineRule="auto"/>
        <w:jc w:val="both"/>
        <w:rPr>
          <w:rFonts w:ascii="Times New Roman" w:hAnsi="Times New Roman" w:cs="Times New Roman"/>
          <w:i/>
          <w:sz w:val="24"/>
          <w:szCs w:val="24"/>
          <w:lang w:val="en-US"/>
        </w:rPr>
      </w:pPr>
    </w:p>
    <w:p w:rsidR="005A5130" w:rsidRDefault="00EF3A30">
      <w:pPr>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N. </w:t>
      </w:r>
      <w:r>
        <w:rPr>
          <w:rFonts w:ascii="Times New Roman" w:hAnsi="Times New Roman" w:cs="Times New Roman"/>
          <w:i/>
          <w:sz w:val="24"/>
          <w:szCs w:val="24"/>
        </w:rPr>
        <w:t>Katsande</w:t>
      </w:r>
      <w:r>
        <w:rPr>
          <w:rFonts w:ascii="Times New Roman" w:hAnsi="Times New Roman" w:cs="Times New Roman"/>
          <w:sz w:val="24"/>
          <w:szCs w:val="24"/>
          <w:lang w:val="en-US"/>
        </w:rPr>
        <w:t>, for the plaintiff</w:t>
      </w:r>
    </w:p>
    <w:p w:rsidR="005A5130" w:rsidRDefault="00EF3A30">
      <w:pPr>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L. Madhuku</w:t>
      </w:r>
      <w:r>
        <w:rPr>
          <w:rFonts w:ascii="Times New Roman" w:hAnsi="Times New Roman" w:cs="Times New Roman"/>
          <w:sz w:val="24"/>
          <w:szCs w:val="24"/>
          <w:lang w:val="en-US"/>
        </w:rPr>
        <w:t>, for the defendant</w:t>
      </w:r>
    </w:p>
    <w:p w:rsidR="005A5130" w:rsidRDefault="005A5130">
      <w:pPr>
        <w:spacing w:after="0" w:line="240" w:lineRule="auto"/>
        <w:jc w:val="both"/>
        <w:rPr>
          <w:rFonts w:ascii="Times New Roman" w:hAnsi="Times New Roman" w:cs="Times New Roman"/>
          <w:sz w:val="24"/>
          <w:szCs w:val="24"/>
          <w:lang w:val="en-US"/>
        </w:rPr>
      </w:pPr>
    </w:p>
    <w:p w:rsidR="00A94123" w:rsidRDefault="00EF3A3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rsidR="005A5130" w:rsidRDefault="00EF3A30" w:rsidP="00A94123">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MUSHURE J:</w:t>
      </w:r>
    </w:p>
    <w:p w:rsidR="005A5130" w:rsidRDefault="005A5130">
      <w:pPr>
        <w:spacing w:after="0" w:line="240" w:lineRule="auto"/>
        <w:jc w:val="both"/>
        <w:rPr>
          <w:rFonts w:ascii="Times New Roman" w:hAnsi="Times New Roman" w:cs="Times New Roman"/>
          <w:sz w:val="24"/>
          <w:szCs w:val="24"/>
          <w:lang w:val="en-US"/>
        </w:rPr>
      </w:pPr>
    </w:p>
    <w:p w:rsidR="005A5130" w:rsidRDefault="00EF3A30">
      <w:pPr>
        <w:spacing w:after="0" w:line="24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INTRODUCTION </w:t>
      </w:r>
    </w:p>
    <w:p w:rsidR="005A5130" w:rsidRDefault="005A5130">
      <w:pPr>
        <w:spacing w:after="0" w:line="360" w:lineRule="auto"/>
        <w:jc w:val="both"/>
        <w:rPr>
          <w:rFonts w:ascii="Times New Roman" w:hAnsi="Times New Roman" w:cs="Times New Roman"/>
          <w:sz w:val="24"/>
          <w:szCs w:val="24"/>
          <w:lang w:val="en-US"/>
        </w:rPr>
      </w:pPr>
    </w:p>
    <w:p w:rsidR="005A5130" w:rsidRDefault="00EF3A30">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is an application for summary judgment made in terms of r30 of the High Court Rules, 2021. For consistency, I propose to refer to the parties as they are cited in the main action. </w:t>
      </w:r>
    </w:p>
    <w:p w:rsidR="005A5130" w:rsidRDefault="00EF3A30">
      <w:pPr>
        <w:pStyle w:val="ListParagraph"/>
        <w:numPr>
          <w:ilvl w:val="0"/>
          <w:numId w:val="1"/>
        </w:numPr>
        <w:spacing w:after="0" w:line="36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On 14 February 2023, the plaintiff issued summons against the defendan</w:t>
      </w:r>
      <w:r>
        <w:rPr>
          <w:rFonts w:ascii="Times New Roman" w:hAnsi="Times New Roman" w:cs="Times New Roman"/>
          <w:sz w:val="24"/>
          <w:szCs w:val="24"/>
          <w:lang w:val="en-US"/>
        </w:rPr>
        <w:t>t claiming delivery of a motor vehicle, namely a Ford Ranger registration number AEF 7621 (‘the motor vehicle’), being a vehicle owned by the plaintiff and which, the plaintiff claimed, the defendant possesses without lawful cause. On 1 March 2023, the def</w:t>
      </w:r>
      <w:r>
        <w:rPr>
          <w:rFonts w:ascii="Times New Roman" w:hAnsi="Times New Roman" w:cs="Times New Roman"/>
          <w:sz w:val="24"/>
          <w:szCs w:val="24"/>
          <w:lang w:val="en-US"/>
        </w:rPr>
        <w:t xml:space="preserve">endant filed a notice of entry of appearance to defend, followed by a plea on 31 March 2023. Believing that the appearance to defend and plea did not raise a genuine or </w:t>
      </w:r>
      <w:r>
        <w:rPr>
          <w:rFonts w:ascii="Times New Roman" w:hAnsi="Times New Roman" w:cs="Times New Roman"/>
          <w:i/>
          <w:sz w:val="24"/>
          <w:szCs w:val="24"/>
          <w:lang w:val="en-US"/>
        </w:rPr>
        <w:t>bona fide</w:t>
      </w:r>
      <w:r>
        <w:rPr>
          <w:rFonts w:ascii="Times New Roman" w:hAnsi="Times New Roman" w:cs="Times New Roman"/>
          <w:sz w:val="24"/>
          <w:szCs w:val="24"/>
          <w:lang w:val="en-US"/>
        </w:rPr>
        <w:t xml:space="preserve"> defence, but had been entered for the purpose of solely delaying finalization</w:t>
      </w:r>
      <w:r>
        <w:rPr>
          <w:rFonts w:ascii="Times New Roman" w:hAnsi="Times New Roman" w:cs="Times New Roman"/>
          <w:sz w:val="24"/>
          <w:szCs w:val="24"/>
          <w:lang w:val="en-US"/>
        </w:rPr>
        <w:t xml:space="preserve"> of the matter and securing the defendant’s unjustified possession and use of the plaintiff’s property, the plaintiff launched the present application. </w:t>
      </w:r>
    </w:p>
    <w:p w:rsidR="005A5130" w:rsidRDefault="00EF3A30">
      <w:pPr>
        <w:pStyle w:val="ListParagraph"/>
        <w:numPr>
          <w:ilvl w:val="0"/>
          <w:numId w:val="1"/>
        </w:numPr>
        <w:spacing w:after="0" w:line="360" w:lineRule="auto"/>
        <w:ind w:left="426" w:hanging="426"/>
        <w:jc w:val="both"/>
        <w:rPr>
          <w:rFonts w:ascii="Times New Roman" w:hAnsi="Times New Roman" w:cs="Times New Roman"/>
          <w:b/>
          <w:sz w:val="24"/>
          <w:szCs w:val="24"/>
          <w:lang w:val="en-US"/>
        </w:rPr>
      </w:pPr>
      <w:r>
        <w:rPr>
          <w:rFonts w:ascii="Times New Roman" w:hAnsi="Times New Roman" w:cs="Times New Roman"/>
          <w:sz w:val="24"/>
          <w:szCs w:val="24"/>
          <w:lang w:val="en-US"/>
        </w:rPr>
        <w:t>The facts emerging from this suit are fairly simple and are largely common cause. I summarise them as f</w:t>
      </w:r>
      <w:r>
        <w:rPr>
          <w:rFonts w:ascii="Times New Roman" w:hAnsi="Times New Roman" w:cs="Times New Roman"/>
          <w:sz w:val="24"/>
          <w:szCs w:val="24"/>
          <w:lang w:val="en-US"/>
        </w:rPr>
        <w:t>ollows: The defendant was in the employ of the plaintiff until the contract of employment was terminated through retrenchment. During the course of his employment, the defendant had been allocated the motor vehicle as part of his working conditions. The pl</w:t>
      </w:r>
      <w:r>
        <w:rPr>
          <w:rFonts w:ascii="Times New Roman" w:hAnsi="Times New Roman" w:cs="Times New Roman"/>
          <w:sz w:val="24"/>
          <w:szCs w:val="24"/>
          <w:lang w:val="en-US"/>
        </w:rPr>
        <w:t xml:space="preserve">aintiff now demands the return of the motor vehicle on the basis that by virtue of the termination of the contract of employment, all the employment benefits due to the defendant under the employment contract ceased. </w:t>
      </w:r>
    </w:p>
    <w:p w:rsidR="005A5130" w:rsidRDefault="00EF3A30">
      <w:pPr>
        <w:pStyle w:val="ListParagraph"/>
        <w:numPr>
          <w:ilvl w:val="0"/>
          <w:numId w:val="1"/>
        </w:numPr>
        <w:spacing w:after="0" w:line="360" w:lineRule="auto"/>
        <w:ind w:left="426" w:hanging="426"/>
        <w:jc w:val="both"/>
        <w:rPr>
          <w:rFonts w:ascii="Times New Roman" w:hAnsi="Times New Roman" w:cs="Times New Roman"/>
          <w:b/>
          <w:sz w:val="24"/>
          <w:szCs w:val="24"/>
          <w:lang w:val="en-US"/>
        </w:rPr>
      </w:pPr>
      <w:r>
        <w:rPr>
          <w:rFonts w:ascii="Times New Roman" w:hAnsi="Times New Roman" w:cs="Times New Roman"/>
          <w:sz w:val="24"/>
          <w:szCs w:val="24"/>
          <w:lang w:val="en-US"/>
        </w:rPr>
        <w:lastRenderedPageBreak/>
        <w:t>In defending himself, the defendant co</w:t>
      </w:r>
      <w:r>
        <w:rPr>
          <w:rFonts w:ascii="Times New Roman" w:hAnsi="Times New Roman" w:cs="Times New Roman"/>
          <w:sz w:val="24"/>
          <w:szCs w:val="24"/>
          <w:lang w:val="en-US"/>
        </w:rPr>
        <w:t>nfirms that the motor vehicle is registered in the plaintiff’s name and that it in his possession, but he insists that the motor vehicle now belongs to him following a retrenchment ‘agreement’ concluded between the parties on 21 September 2022. He argues t</w:t>
      </w:r>
      <w:r>
        <w:rPr>
          <w:rFonts w:ascii="Times New Roman" w:hAnsi="Times New Roman" w:cs="Times New Roman"/>
          <w:sz w:val="24"/>
          <w:szCs w:val="24"/>
          <w:lang w:val="en-US"/>
        </w:rPr>
        <w:t>hat the parties are presently before a labour officer seeking a resolution of a labour dispute emanating from the retrenchment exercise. The motor vehicle is subject of the retrenchment dispute. He argues, further, that his possession is lawful and that in</w:t>
      </w:r>
      <w:r>
        <w:rPr>
          <w:rFonts w:ascii="Times New Roman" w:hAnsi="Times New Roman" w:cs="Times New Roman"/>
          <w:sz w:val="24"/>
          <w:szCs w:val="24"/>
          <w:lang w:val="en-US"/>
        </w:rPr>
        <w:t xml:space="preserve"> the absence of a court order setting aside the retrenchment ‘agreement’ of 21 September 2022, the plaintiff has no right to dispossess him. </w:t>
      </w:r>
    </w:p>
    <w:p w:rsidR="005A5130" w:rsidRDefault="00EF3A30">
      <w:pPr>
        <w:pStyle w:val="ListParagraph"/>
        <w:numPr>
          <w:ilvl w:val="0"/>
          <w:numId w:val="1"/>
        </w:numPr>
        <w:spacing w:after="0" w:line="36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The defendant avers that the application for summary judgment is meritless. He contends that until the retrenchmen</w:t>
      </w:r>
      <w:r>
        <w:rPr>
          <w:rFonts w:ascii="Times New Roman" w:hAnsi="Times New Roman" w:cs="Times New Roman"/>
          <w:sz w:val="24"/>
          <w:szCs w:val="24"/>
          <w:lang w:val="en-US"/>
        </w:rPr>
        <w:t>t dispute is resolved, this court cannot, through summary judgment proceedings, prejudge, or interfere with the labour dispute settlement machinery set out under our law. He submits that the agreed retrenchment package makes him the owner of the motor vehi</w:t>
      </w:r>
      <w:r>
        <w:rPr>
          <w:rFonts w:ascii="Times New Roman" w:hAnsi="Times New Roman" w:cs="Times New Roman"/>
          <w:sz w:val="24"/>
          <w:szCs w:val="24"/>
          <w:lang w:val="en-US"/>
        </w:rPr>
        <w:t xml:space="preserve">cle upon paying one third of its value. It is his submission that this court has no jurisdiction to pronounce itself on the meaning and effect of the retrenchment package of 21 September 2022. </w:t>
      </w:r>
    </w:p>
    <w:p w:rsidR="005A5130" w:rsidRDefault="00EF3A30">
      <w:pPr>
        <w:spacing w:after="0" w:line="36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ISSUES FOR DETERMINATION</w:t>
      </w:r>
    </w:p>
    <w:p w:rsidR="005A5130" w:rsidRDefault="00EF3A30">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From submissions by the parties, it </w:t>
      </w:r>
      <w:r>
        <w:rPr>
          <w:rFonts w:ascii="Times New Roman" w:hAnsi="Times New Roman" w:cs="Times New Roman"/>
          <w:sz w:val="24"/>
          <w:szCs w:val="24"/>
          <w:lang w:val="en-US"/>
        </w:rPr>
        <w:t>seems to me that there are essentially two issues that arise for determination. These issues are:-</w:t>
      </w:r>
    </w:p>
    <w:p w:rsidR="005A5130" w:rsidRDefault="00EF3A30">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Whether or not this court has jurisdiction to deal with the present application; and </w:t>
      </w:r>
    </w:p>
    <w:p w:rsidR="005A5130" w:rsidRDefault="00EF3A30">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Whether or not this matter is an appropriate matter to grant summary ju</w:t>
      </w:r>
      <w:r>
        <w:rPr>
          <w:rFonts w:ascii="Times New Roman" w:hAnsi="Times New Roman" w:cs="Times New Roman"/>
          <w:sz w:val="24"/>
          <w:szCs w:val="24"/>
          <w:lang w:val="en-US"/>
        </w:rPr>
        <w:t xml:space="preserve">dgment. </w:t>
      </w:r>
    </w:p>
    <w:p w:rsidR="005A5130" w:rsidRDefault="00EF3A30">
      <w:pPr>
        <w:pStyle w:val="ListParagraph"/>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turn now to deal with these issues </w:t>
      </w:r>
      <w:r>
        <w:rPr>
          <w:rFonts w:ascii="Times New Roman" w:hAnsi="Times New Roman" w:cs="Times New Roman"/>
          <w:i/>
          <w:sz w:val="24"/>
          <w:szCs w:val="24"/>
          <w:lang w:val="en-US"/>
        </w:rPr>
        <w:t>seriatim</w:t>
      </w:r>
      <w:r>
        <w:rPr>
          <w:rFonts w:ascii="Times New Roman" w:hAnsi="Times New Roman" w:cs="Times New Roman"/>
          <w:sz w:val="24"/>
          <w:szCs w:val="24"/>
          <w:lang w:val="en-US"/>
        </w:rPr>
        <w:t xml:space="preserve">. </w:t>
      </w:r>
    </w:p>
    <w:p w:rsidR="005A5130" w:rsidRDefault="005A5130">
      <w:pPr>
        <w:spacing w:after="0" w:line="360" w:lineRule="auto"/>
        <w:jc w:val="both"/>
        <w:rPr>
          <w:rFonts w:ascii="Times New Roman" w:hAnsi="Times New Roman" w:cs="Times New Roman"/>
          <w:sz w:val="24"/>
          <w:szCs w:val="24"/>
          <w:lang w:val="en-US"/>
        </w:rPr>
      </w:pPr>
    </w:p>
    <w:p w:rsidR="005A5130" w:rsidRDefault="00EF3A30">
      <w:pPr>
        <w:spacing w:after="0" w:line="36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WHETHER OR NOT THIS COURT HAS JURISDICTION TO DEAL WITH THE PRESENT APPLICATION</w:t>
      </w:r>
    </w:p>
    <w:p w:rsidR="005A5130" w:rsidRDefault="00EF3A30">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case of </w:t>
      </w:r>
      <w:r>
        <w:rPr>
          <w:rFonts w:ascii="Times New Roman" w:hAnsi="Times New Roman" w:cs="Times New Roman"/>
          <w:i/>
          <w:sz w:val="24"/>
          <w:szCs w:val="24"/>
          <w:lang w:val="en-US"/>
        </w:rPr>
        <w:t xml:space="preserve">Nhari </w:t>
      </w:r>
      <w:r>
        <w:rPr>
          <w:rFonts w:ascii="Times New Roman" w:hAnsi="Times New Roman" w:cs="Times New Roman"/>
          <w:sz w:val="24"/>
          <w:szCs w:val="24"/>
          <w:lang w:val="en-US"/>
        </w:rPr>
        <w:t>v</w:t>
      </w:r>
      <w:r>
        <w:rPr>
          <w:rFonts w:ascii="Times New Roman" w:hAnsi="Times New Roman" w:cs="Times New Roman"/>
          <w:i/>
          <w:sz w:val="24"/>
          <w:szCs w:val="24"/>
          <w:lang w:val="en-US"/>
        </w:rPr>
        <w:t xml:space="preserve"> Mugabe &amp; Ors</w:t>
      </w:r>
      <w:r>
        <w:rPr>
          <w:rFonts w:ascii="Times New Roman" w:hAnsi="Times New Roman" w:cs="Times New Roman"/>
          <w:sz w:val="24"/>
          <w:szCs w:val="24"/>
          <w:lang w:val="en-US"/>
        </w:rPr>
        <w:t xml:space="preserve"> 2020 (2) ZLR 1062 (S) the Supreme Court had occasion to conclusively determine the question of whether or not the High Court has jurisdiction to deal with matters of labour and employment in the first instance. </w:t>
      </w:r>
      <w:r>
        <w:rPr>
          <w:rFonts w:ascii="Times New Roman" w:hAnsi="Times New Roman" w:cs="Times New Roman"/>
          <w:smallCaps/>
          <w:sz w:val="24"/>
          <w:szCs w:val="24"/>
          <w:lang w:val="en-GB"/>
        </w:rPr>
        <w:t xml:space="preserve">Garwe JA </w:t>
      </w:r>
      <w:r>
        <w:rPr>
          <w:rFonts w:ascii="Times New Roman" w:hAnsi="Times New Roman" w:cs="Times New Roman"/>
          <w:sz w:val="24"/>
          <w:szCs w:val="24"/>
          <w:lang w:val="en-US"/>
        </w:rPr>
        <w:t>(as he then was) concluded that:</w:t>
      </w:r>
    </w:p>
    <w:p w:rsidR="005A5130" w:rsidRDefault="00EF3A30">
      <w:pPr>
        <w:spacing w:after="0" w:line="240" w:lineRule="auto"/>
        <w:ind w:left="720"/>
        <w:jc w:val="both"/>
        <w:rPr>
          <w:rFonts w:ascii="Times New Roman" w:hAnsi="Times New Roman" w:cs="Times New Roman"/>
          <w:szCs w:val="24"/>
        </w:rPr>
      </w:pPr>
      <w:r>
        <w:rPr>
          <w:rFonts w:ascii="Times New Roman" w:hAnsi="Times New Roman" w:cs="Times New Roman"/>
          <w:szCs w:val="24"/>
        </w:rPr>
        <w:t>“I</w:t>
      </w:r>
      <w:r>
        <w:rPr>
          <w:rFonts w:ascii="Times New Roman" w:hAnsi="Times New Roman" w:cs="Times New Roman"/>
          <w:szCs w:val="24"/>
        </w:rPr>
        <w:t xml:space="preserve"> reach the conclusion therefore that the High Court does not in fact enjoy the jurisdiction to deal with each and every civil and criminal matter in Zimbabwe.  Whilst it has original jurisdiction to deal with such matters, such jurisdiction has been fetter</w:t>
      </w:r>
      <w:r>
        <w:rPr>
          <w:rFonts w:ascii="Times New Roman" w:hAnsi="Times New Roman" w:cs="Times New Roman"/>
          <w:szCs w:val="24"/>
        </w:rPr>
        <w:t>ed and truncated by the Constitution itself which has made provision for the creation of specialised courts whose jurisdiction may, in the process, oust the original jurisdiction of the High Court in specific areas.” (at p1072D-E)</w:t>
      </w:r>
    </w:p>
    <w:p w:rsidR="005A5130" w:rsidRDefault="00EF3A30">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p>
    <w:p w:rsidR="005A5130" w:rsidRDefault="00EF3A30">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import of this jud</w:t>
      </w:r>
      <w:r>
        <w:rPr>
          <w:rFonts w:ascii="Times New Roman" w:hAnsi="Times New Roman" w:cs="Times New Roman"/>
          <w:sz w:val="24"/>
          <w:szCs w:val="24"/>
          <w:lang w:val="en-US"/>
        </w:rPr>
        <w:t>gment is clear and unambiguous. Its effect is to decisively pronounce that the High Court does not enjoy unlimited jurisdiction in respect of all civil and criminal cases in Zimbabwe. The court held that the High Court does not, for instance, have jurisdic</w:t>
      </w:r>
      <w:r>
        <w:rPr>
          <w:rFonts w:ascii="Times New Roman" w:hAnsi="Times New Roman" w:cs="Times New Roman"/>
          <w:sz w:val="24"/>
          <w:szCs w:val="24"/>
          <w:lang w:val="en-US"/>
        </w:rPr>
        <w:t>tion to determine unfair labour practices which, in terms of the Labour Act [</w:t>
      </w:r>
      <w:r>
        <w:rPr>
          <w:rFonts w:ascii="Times New Roman" w:hAnsi="Times New Roman" w:cs="Times New Roman"/>
          <w:i/>
          <w:sz w:val="24"/>
          <w:szCs w:val="24"/>
          <w:lang w:val="en-US"/>
        </w:rPr>
        <w:t>Chapter 28:01</w:t>
      </w:r>
      <w:r>
        <w:rPr>
          <w:rFonts w:ascii="Times New Roman" w:hAnsi="Times New Roman" w:cs="Times New Roman"/>
          <w:sz w:val="24"/>
          <w:szCs w:val="24"/>
          <w:lang w:val="en-US"/>
        </w:rPr>
        <w:t xml:space="preserve">], should more properly be handled by labour officers appointed in terms of that Act. </w:t>
      </w:r>
    </w:p>
    <w:p w:rsidR="005A5130" w:rsidRDefault="00EF3A30">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Therefore, to the extent that a dispute is one of labour and employment falling</w:t>
      </w:r>
      <w:r>
        <w:rPr>
          <w:rFonts w:ascii="Times New Roman" w:hAnsi="Times New Roman" w:cs="Times New Roman"/>
          <w:sz w:val="24"/>
          <w:szCs w:val="24"/>
          <w:lang w:val="en-US"/>
        </w:rPr>
        <w:t xml:space="preserve"> within the jurisdiction of the Labour Court, counsel for the defendant, Mr </w:t>
      </w:r>
      <w:r>
        <w:rPr>
          <w:rFonts w:ascii="Times New Roman" w:hAnsi="Times New Roman" w:cs="Times New Roman"/>
          <w:i/>
          <w:sz w:val="24"/>
          <w:szCs w:val="24"/>
          <w:lang w:val="en-US"/>
        </w:rPr>
        <w:t>Madhuku,</w:t>
      </w:r>
      <w:r>
        <w:rPr>
          <w:rFonts w:ascii="Times New Roman" w:hAnsi="Times New Roman" w:cs="Times New Roman"/>
          <w:sz w:val="24"/>
          <w:szCs w:val="24"/>
          <w:lang w:val="en-US"/>
        </w:rPr>
        <w:t xml:space="preserve"> is absolutely correct on the settled position of the law regarding the limitation of this court’s jurisdiction in such matters as clearly and definitively pronounced by th</w:t>
      </w:r>
      <w:r>
        <w:rPr>
          <w:rFonts w:ascii="Times New Roman" w:hAnsi="Times New Roman" w:cs="Times New Roman"/>
          <w:sz w:val="24"/>
          <w:szCs w:val="24"/>
          <w:lang w:val="en-US"/>
        </w:rPr>
        <w:t xml:space="preserve">e Supreme Court in the </w:t>
      </w:r>
      <w:r>
        <w:rPr>
          <w:rFonts w:ascii="Times New Roman" w:hAnsi="Times New Roman" w:cs="Times New Roman"/>
          <w:i/>
          <w:sz w:val="24"/>
          <w:szCs w:val="24"/>
          <w:lang w:val="en-US"/>
        </w:rPr>
        <w:t>Nhari</w:t>
      </w:r>
      <w:r>
        <w:rPr>
          <w:rFonts w:ascii="Times New Roman" w:hAnsi="Times New Roman" w:cs="Times New Roman"/>
          <w:sz w:val="24"/>
          <w:szCs w:val="24"/>
          <w:lang w:val="en-US"/>
        </w:rPr>
        <w:t xml:space="preserve"> case </w:t>
      </w:r>
      <w:r>
        <w:rPr>
          <w:rFonts w:ascii="Times New Roman" w:hAnsi="Times New Roman" w:cs="Times New Roman"/>
          <w:i/>
          <w:sz w:val="24"/>
          <w:szCs w:val="24"/>
          <w:lang w:val="en-US"/>
        </w:rPr>
        <w:t>supra</w:t>
      </w:r>
      <w:r>
        <w:rPr>
          <w:rFonts w:ascii="Times New Roman" w:hAnsi="Times New Roman" w:cs="Times New Roman"/>
          <w:sz w:val="24"/>
          <w:szCs w:val="24"/>
          <w:lang w:val="en-US"/>
        </w:rPr>
        <w:t xml:space="preserve">. </w:t>
      </w:r>
    </w:p>
    <w:p w:rsidR="005A5130" w:rsidRDefault="00EF3A30">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However, the Supreme Court has already pronounced in </w:t>
      </w:r>
      <w:r>
        <w:rPr>
          <w:rFonts w:ascii="Times New Roman" w:hAnsi="Times New Roman" w:cs="Times New Roman"/>
          <w:i/>
          <w:sz w:val="24"/>
          <w:szCs w:val="24"/>
        </w:rPr>
        <w:t>Nyahora</w:t>
      </w:r>
      <w:r>
        <w:rPr>
          <w:rFonts w:ascii="Times New Roman" w:hAnsi="Times New Roman" w:cs="Times New Roman"/>
          <w:i/>
          <w:iCs/>
          <w:sz w:val="24"/>
          <w:szCs w:val="24"/>
        </w:rPr>
        <w:t xml:space="preserve"> </w:t>
      </w:r>
      <w:r>
        <w:rPr>
          <w:rFonts w:ascii="Times New Roman" w:hAnsi="Times New Roman" w:cs="Times New Roman"/>
          <w:iCs/>
          <w:sz w:val="24"/>
          <w:szCs w:val="24"/>
        </w:rPr>
        <w:t>v</w:t>
      </w:r>
      <w:r>
        <w:rPr>
          <w:rFonts w:ascii="Times New Roman" w:hAnsi="Times New Roman" w:cs="Times New Roman"/>
          <w:i/>
          <w:iCs/>
          <w:sz w:val="24"/>
          <w:szCs w:val="24"/>
        </w:rPr>
        <w:t xml:space="preserve"> </w:t>
      </w:r>
      <w:r>
        <w:rPr>
          <w:rFonts w:ascii="Times New Roman" w:hAnsi="Times New Roman" w:cs="Times New Roman"/>
          <w:i/>
          <w:sz w:val="24"/>
          <w:szCs w:val="24"/>
        </w:rPr>
        <w:t>CFI Holdings (Pvt) Ltd</w:t>
      </w:r>
      <w:r>
        <w:rPr>
          <w:rFonts w:ascii="Times New Roman" w:hAnsi="Times New Roman" w:cs="Times New Roman"/>
          <w:sz w:val="24"/>
          <w:szCs w:val="24"/>
        </w:rPr>
        <w:t xml:space="preserve"> 2014 (2) ZLR 607 (S) at p613A </w:t>
      </w:r>
      <w:r>
        <w:rPr>
          <w:rFonts w:ascii="Times New Roman" w:hAnsi="Times New Roman" w:cs="Times New Roman"/>
          <w:sz w:val="24"/>
          <w:szCs w:val="24"/>
          <w:lang w:val="en-US"/>
        </w:rPr>
        <w:t xml:space="preserve">that- </w:t>
      </w:r>
    </w:p>
    <w:p w:rsidR="005A5130" w:rsidRDefault="00EF3A30">
      <w:pPr>
        <w:spacing w:line="240" w:lineRule="auto"/>
        <w:ind w:left="1440"/>
        <w:jc w:val="both"/>
        <w:rPr>
          <w:rFonts w:ascii="Times New Roman" w:hAnsi="Times New Roman" w:cs="Times New Roman"/>
        </w:rPr>
      </w:pPr>
      <w:r>
        <w:rPr>
          <w:rFonts w:ascii="Times New Roman" w:hAnsi="Times New Roman" w:cs="Times New Roman"/>
        </w:rPr>
        <w:t xml:space="preserve">“As submitted on behalf of the respondent, the right of an individual to approach the High </w:t>
      </w:r>
      <w:r>
        <w:rPr>
          <w:rFonts w:ascii="Times New Roman" w:hAnsi="Times New Roman" w:cs="Times New Roman"/>
        </w:rPr>
        <w:t>Court seeking relief, other than that specifically set out in s 89 1 (a) of the Act, has not been abrogated. Nothing in s 89(6) takes away the right of an employer or employee to seek civil relief based on the application of pure principles of civil law, e</w:t>
      </w:r>
      <w:r>
        <w:rPr>
          <w:rFonts w:ascii="Times New Roman" w:hAnsi="Times New Roman" w:cs="Times New Roman"/>
        </w:rPr>
        <w:t>xcept in respect of those applications and appeals that are specifically provided for in the Labour Act.”</w:t>
      </w:r>
    </w:p>
    <w:p w:rsidR="005A5130" w:rsidRDefault="00EF3A30">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If I have correctly understood the court’s pronouncement in the </w:t>
      </w:r>
      <w:r>
        <w:rPr>
          <w:rFonts w:ascii="Times New Roman" w:hAnsi="Times New Roman" w:cs="Times New Roman"/>
          <w:i/>
          <w:sz w:val="24"/>
          <w:szCs w:val="24"/>
          <w:lang w:val="en-US"/>
        </w:rPr>
        <w:t xml:space="preserve">Nhari </w:t>
      </w:r>
      <w:r>
        <w:rPr>
          <w:rFonts w:ascii="Times New Roman" w:hAnsi="Times New Roman" w:cs="Times New Roman"/>
          <w:sz w:val="24"/>
          <w:szCs w:val="24"/>
          <w:lang w:val="en-US"/>
        </w:rPr>
        <w:t>case</w:t>
      </w:r>
      <w:r>
        <w:rPr>
          <w:rFonts w:ascii="Times New Roman" w:hAnsi="Times New Roman" w:cs="Times New Roman"/>
          <w:i/>
          <w:sz w:val="24"/>
          <w:szCs w:val="24"/>
          <w:lang w:val="en-US"/>
        </w:rPr>
        <w:t xml:space="preserve"> supra</w:t>
      </w:r>
      <w:r>
        <w:rPr>
          <w:rFonts w:ascii="Times New Roman" w:hAnsi="Times New Roman" w:cs="Times New Roman"/>
          <w:sz w:val="24"/>
          <w:szCs w:val="24"/>
          <w:lang w:val="en-US"/>
        </w:rPr>
        <w:t xml:space="preserve">, then the settled position of the law as pronounced in </w:t>
      </w:r>
      <w:r>
        <w:rPr>
          <w:rFonts w:ascii="Times New Roman" w:hAnsi="Times New Roman" w:cs="Times New Roman"/>
          <w:i/>
          <w:sz w:val="24"/>
          <w:szCs w:val="24"/>
          <w:lang w:val="en-US"/>
        </w:rPr>
        <w:t>Nyahora</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supra</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still holds true. I demonstrate this by a brief reference to the facts in </w:t>
      </w:r>
      <w:r>
        <w:rPr>
          <w:rFonts w:ascii="Times New Roman" w:hAnsi="Times New Roman" w:cs="Times New Roman"/>
          <w:i/>
          <w:sz w:val="24"/>
          <w:szCs w:val="24"/>
          <w:lang w:val="en-US"/>
        </w:rPr>
        <w:t>Nhari supra</w:t>
      </w:r>
      <w:r>
        <w:rPr>
          <w:rFonts w:ascii="Times New Roman" w:hAnsi="Times New Roman" w:cs="Times New Roman"/>
          <w:sz w:val="24"/>
          <w:szCs w:val="24"/>
          <w:lang w:val="en-US"/>
        </w:rPr>
        <w:t>. The appellant had brought a claim in the High Court against the respondents for outstanding wages and benefits due to him. One of the claims was for delictual damages fo</w:t>
      </w:r>
      <w:r>
        <w:rPr>
          <w:rFonts w:ascii="Times New Roman" w:hAnsi="Times New Roman" w:cs="Times New Roman"/>
          <w:sz w:val="24"/>
          <w:szCs w:val="24"/>
          <w:lang w:val="en-US"/>
        </w:rPr>
        <w:t xml:space="preserve">r loss of employment prospects due to the public media denigrating his personality. </w:t>
      </w:r>
    </w:p>
    <w:p w:rsidR="005A5130" w:rsidRDefault="00EF3A30">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response to the claim, the respondents had filed a special plea in which they averred that the High Court had no jurisdiction to entertain the matter because it was a p</w:t>
      </w:r>
      <w:r>
        <w:rPr>
          <w:rFonts w:ascii="Times New Roman" w:hAnsi="Times New Roman" w:cs="Times New Roman"/>
          <w:sz w:val="24"/>
          <w:szCs w:val="24"/>
          <w:lang w:val="en-US"/>
        </w:rPr>
        <w:t>urely labour dispute in respect of which the Labour Court had jurisdiction in the first instance per the provisions of s89(6) of the Labour Act. After considering the matter, the High Court concluded that the application was steeped in labour law and there</w:t>
      </w:r>
      <w:r>
        <w:rPr>
          <w:rFonts w:ascii="Times New Roman" w:hAnsi="Times New Roman" w:cs="Times New Roman"/>
          <w:sz w:val="24"/>
          <w:szCs w:val="24"/>
          <w:lang w:val="en-US"/>
        </w:rPr>
        <w:t xml:space="preserve">fore only the Labour Court had jurisdiction to determine them. </w:t>
      </w:r>
    </w:p>
    <w:p w:rsidR="005A5130" w:rsidRDefault="00EF3A30">
      <w:pPr>
        <w:pStyle w:val="ListParagraph"/>
        <w:numPr>
          <w:ilvl w:val="0"/>
          <w:numId w:val="1"/>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While the Supreme Court was in no doubt </w:t>
      </w:r>
      <w:r>
        <w:rPr>
          <w:rFonts w:ascii="Times New Roman" w:eastAsia="Times New Roman" w:hAnsi="Times New Roman" w:cs="Times New Roman"/>
          <w:sz w:val="24"/>
          <w:szCs w:val="24"/>
          <w:lang w:val="en-GB"/>
        </w:rPr>
        <w:t>that the powers of the High Court are not unbounded and that in the sphere of labour and employment law, the court does not have jurisdiction to determi</w:t>
      </w:r>
      <w:r>
        <w:rPr>
          <w:rFonts w:ascii="Times New Roman" w:eastAsia="Times New Roman" w:hAnsi="Times New Roman" w:cs="Times New Roman"/>
          <w:sz w:val="24"/>
          <w:szCs w:val="24"/>
          <w:lang w:val="en-GB"/>
        </w:rPr>
        <w:t xml:space="preserve">ne such matters in the first instance, it went on to specifically interrogate whether the appellant’s claim fell under the Labour Act. The court concluded that three of the claims were labour matters. It ruled that the claim for damages for loss of </w:t>
      </w:r>
      <w:r>
        <w:rPr>
          <w:rFonts w:ascii="Times New Roman" w:eastAsia="Times New Roman" w:hAnsi="Times New Roman" w:cs="Times New Roman"/>
          <w:sz w:val="24"/>
          <w:szCs w:val="24"/>
          <w:lang w:val="en-GB"/>
        </w:rPr>
        <w:lastRenderedPageBreak/>
        <w:t>employm</w:t>
      </w:r>
      <w:r>
        <w:rPr>
          <w:rFonts w:ascii="Times New Roman" w:eastAsia="Times New Roman" w:hAnsi="Times New Roman" w:cs="Times New Roman"/>
          <w:sz w:val="24"/>
          <w:szCs w:val="24"/>
          <w:lang w:val="en-GB"/>
        </w:rPr>
        <w:t xml:space="preserve">ent prospects was not a labour matter and did not fall to be determined under the Labour Act. </w:t>
      </w:r>
    </w:p>
    <w:p w:rsidR="005A5130" w:rsidRDefault="00EF3A3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I find no reason not to adopt the same course of action in </w:t>
      </w:r>
      <w:r>
        <w:rPr>
          <w:rFonts w:ascii="Times New Roman" w:hAnsi="Times New Roman" w:cs="Times New Roman"/>
          <w:i/>
          <w:sz w:val="24"/>
          <w:szCs w:val="24"/>
          <w:lang w:val="en-US"/>
        </w:rPr>
        <w:t>casu</w:t>
      </w:r>
      <w:r>
        <w:rPr>
          <w:rFonts w:ascii="Times New Roman" w:hAnsi="Times New Roman" w:cs="Times New Roman"/>
          <w:sz w:val="24"/>
          <w:szCs w:val="24"/>
          <w:lang w:val="en-US"/>
        </w:rPr>
        <w:t>. As alluded to, the plaintiff claims the return of its motor vehicle which the defendant has on t</w:t>
      </w:r>
      <w:r>
        <w:rPr>
          <w:rFonts w:ascii="Times New Roman" w:hAnsi="Times New Roman" w:cs="Times New Roman"/>
          <w:sz w:val="24"/>
          <w:szCs w:val="24"/>
          <w:lang w:val="en-US"/>
        </w:rPr>
        <w:t xml:space="preserve">he basis of a terminated contract employment. The plaintiff argues that its claim is one of </w:t>
      </w:r>
      <w:r>
        <w:rPr>
          <w:rFonts w:ascii="Times New Roman" w:hAnsi="Times New Roman" w:cs="Times New Roman"/>
          <w:i/>
          <w:sz w:val="24"/>
          <w:szCs w:val="24"/>
          <w:lang w:val="en-US"/>
        </w:rPr>
        <w:t>rei vindicatio</w:t>
      </w:r>
      <w:r>
        <w:rPr>
          <w:rFonts w:ascii="Times New Roman" w:hAnsi="Times New Roman" w:cs="Times New Roman"/>
          <w:sz w:val="24"/>
          <w:szCs w:val="24"/>
          <w:lang w:val="en-US"/>
        </w:rPr>
        <w:t>. The defendant does not dispute this assertion. Instead, he accepts that the motor vehicle is registered in the plaintiff’s name but argues that he n</w:t>
      </w:r>
      <w:r>
        <w:rPr>
          <w:rFonts w:ascii="Times New Roman" w:hAnsi="Times New Roman" w:cs="Times New Roman"/>
          <w:sz w:val="24"/>
          <w:szCs w:val="24"/>
          <w:lang w:val="en-US"/>
        </w:rPr>
        <w:t xml:space="preserve">ow owns it.  </w:t>
      </w:r>
    </w:p>
    <w:p w:rsidR="005A5130" w:rsidRDefault="00EF3A3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Accepting as I must that the claim before me is one for rei </w:t>
      </w:r>
      <w:r>
        <w:rPr>
          <w:rFonts w:ascii="Times New Roman" w:hAnsi="Times New Roman" w:cs="Times New Roman"/>
          <w:i/>
          <w:sz w:val="24"/>
          <w:szCs w:val="24"/>
          <w:lang w:val="en-US"/>
        </w:rPr>
        <w:t>vindicatio</w:t>
      </w:r>
      <w:r>
        <w:rPr>
          <w:rFonts w:ascii="Times New Roman" w:hAnsi="Times New Roman" w:cs="Times New Roman"/>
          <w:sz w:val="24"/>
          <w:szCs w:val="24"/>
          <w:lang w:val="en-US"/>
        </w:rPr>
        <w:t>, this remedy does not fall to be determined under the Labour Act. It cannot be argued that the right of the plaintiff to seek civil relief based on the application of a pu</w:t>
      </w:r>
      <w:r>
        <w:rPr>
          <w:rFonts w:ascii="Times New Roman" w:hAnsi="Times New Roman" w:cs="Times New Roman"/>
          <w:sz w:val="24"/>
          <w:szCs w:val="24"/>
          <w:lang w:val="en-US"/>
        </w:rPr>
        <w:t xml:space="preserve">re principle of civil law which is not provided for in the Labour Act has been ousted by the decision in </w:t>
      </w:r>
      <w:r>
        <w:rPr>
          <w:rFonts w:ascii="Times New Roman" w:hAnsi="Times New Roman" w:cs="Times New Roman"/>
          <w:i/>
          <w:sz w:val="24"/>
          <w:szCs w:val="24"/>
          <w:lang w:val="en-US"/>
        </w:rPr>
        <w:t>Nhari supra</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Nyahora</w:t>
      </w:r>
      <w:r>
        <w:rPr>
          <w:rFonts w:ascii="Times New Roman" w:hAnsi="Times New Roman" w:cs="Times New Roman"/>
          <w:sz w:val="24"/>
          <w:szCs w:val="24"/>
          <w:lang w:val="en-US"/>
        </w:rPr>
        <w:t xml:space="preserve"> supra settles the position that a claim for </w:t>
      </w:r>
      <w:r>
        <w:rPr>
          <w:rFonts w:ascii="Times New Roman" w:hAnsi="Times New Roman" w:cs="Times New Roman"/>
          <w:i/>
          <w:sz w:val="24"/>
          <w:szCs w:val="24"/>
          <w:lang w:val="en-US"/>
        </w:rPr>
        <w:t>rei vindicatio</w:t>
      </w:r>
      <w:r>
        <w:rPr>
          <w:rFonts w:ascii="Times New Roman" w:hAnsi="Times New Roman" w:cs="Times New Roman"/>
          <w:sz w:val="24"/>
          <w:szCs w:val="24"/>
          <w:lang w:val="en-US"/>
        </w:rPr>
        <w:t xml:space="preserve"> falls squarely within the jurisdiction of this court. </w:t>
      </w:r>
    </w:p>
    <w:p w:rsidR="005A5130" w:rsidRDefault="00EF3A3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But, that is no</w:t>
      </w:r>
      <w:r>
        <w:rPr>
          <w:rFonts w:ascii="Times New Roman" w:hAnsi="Times New Roman" w:cs="Times New Roman"/>
          <w:sz w:val="24"/>
          <w:szCs w:val="24"/>
          <w:lang w:val="en-US"/>
        </w:rPr>
        <w:t>t the end of the matter. The defendant also raises an issue that the court cannot deal with this matter because there is pending labour dispute. From the papers filed of record, the defendant is not challenging the termination of his employment by retrench</w:t>
      </w:r>
      <w:r>
        <w:rPr>
          <w:rFonts w:ascii="Times New Roman" w:hAnsi="Times New Roman" w:cs="Times New Roman"/>
          <w:sz w:val="24"/>
          <w:szCs w:val="24"/>
          <w:lang w:val="en-US"/>
        </w:rPr>
        <w:t xml:space="preserve">ment, he is challenging the plaintiff’s refusal to pay what he terms the agreed retrenchment package. I have not been directed to any authority which supports the defendant’s averments that I cannot deal with the claim for </w:t>
      </w:r>
      <w:r>
        <w:rPr>
          <w:rFonts w:ascii="Times New Roman" w:hAnsi="Times New Roman" w:cs="Times New Roman"/>
          <w:i/>
          <w:sz w:val="24"/>
          <w:szCs w:val="24"/>
          <w:lang w:val="en-US"/>
        </w:rPr>
        <w:t>rei vindicatio</w:t>
      </w:r>
      <w:r>
        <w:rPr>
          <w:rFonts w:ascii="Times New Roman" w:hAnsi="Times New Roman" w:cs="Times New Roman"/>
          <w:sz w:val="24"/>
          <w:szCs w:val="24"/>
          <w:lang w:val="en-US"/>
        </w:rPr>
        <w:t xml:space="preserve"> because there is a</w:t>
      </w:r>
      <w:r>
        <w:rPr>
          <w:rFonts w:ascii="Times New Roman" w:hAnsi="Times New Roman" w:cs="Times New Roman"/>
          <w:sz w:val="24"/>
          <w:szCs w:val="24"/>
          <w:lang w:val="en-US"/>
        </w:rPr>
        <w:t xml:space="preserve"> pending dispute over the retrenchment package. I do not find any legal basis in that argument. This is a mere red herring. There is, in fact, a respectable body of authority to the effect that a dismissed employee has no right to the employer’s property d</w:t>
      </w:r>
      <w:r>
        <w:rPr>
          <w:rFonts w:ascii="Times New Roman" w:hAnsi="Times New Roman" w:cs="Times New Roman"/>
          <w:sz w:val="24"/>
          <w:szCs w:val="24"/>
          <w:lang w:val="en-US"/>
        </w:rPr>
        <w:t xml:space="preserve">espite challenging the termination of employment. See for example </w:t>
      </w:r>
      <w:r>
        <w:rPr>
          <w:rFonts w:ascii="Times New Roman" w:hAnsi="Times New Roman" w:cs="Times New Roman"/>
          <w:i/>
          <w:sz w:val="24"/>
          <w:szCs w:val="24"/>
          <w:lang w:val="en-US"/>
        </w:rPr>
        <w:t xml:space="preserve">Netone </w:t>
      </w:r>
      <w:r>
        <w:rPr>
          <w:rFonts w:ascii="Times New Roman" w:hAnsi="Times New Roman" w:cs="Times New Roman"/>
          <w:sz w:val="24"/>
          <w:szCs w:val="24"/>
          <w:lang w:val="en-US"/>
        </w:rPr>
        <w:t>v</w:t>
      </w:r>
      <w:r>
        <w:rPr>
          <w:rFonts w:ascii="Times New Roman" w:hAnsi="Times New Roman" w:cs="Times New Roman"/>
          <w:i/>
          <w:sz w:val="24"/>
          <w:szCs w:val="24"/>
          <w:lang w:val="en-US"/>
        </w:rPr>
        <w:t xml:space="preserve"> Kangai</w:t>
      </w:r>
      <w:r>
        <w:rPr>
          <w:rFonts w:ascii="Times New Roman" w:hAnsi="Times New Roman" w:cs="Times New Roman"/>
          <w:sz w:val="24"/>
          <w:szCs w:val="24"/>
          <w:lang w:val="en-US"/>
        </w:rPr>
        <w:t xml:space="preserve"> HH 90-22, </w:t>
      </w:r>
      <w:r>
        <w:rPr>
          <w:rFonts w:ascii="Times New Roman" w:hAnsi="Times New Roman" w:cs="Times New Roman"/>
          <w:i/>
          <w:sz w:val="24"/>
        </w:rPr>
        <w:t xml:space="preserve">Chisipite Schools Trust ( Pvt) Ltd </w:t>
      </w:r>
      <w:r>
        <w:rPr>
          <w:rFonts w:ascii="Times New Roman" w:hAnsi="Times New Roman" w:cs="Times New Roman"/>
          <w:sz w:val="24"/>
        </w:rPr>
        <w:t>v</w:t>
      </w:r>
      <w:r>
        <w:rPr>
          <w:rFonts w:ascii="Times New Roman" w:hAnsi="Times New Roman" w:cs="Times New Roman"/>
          <w:i/>
          <w:sz w:val="24"/>
        </w:rPr>
        <w:t xml:space="preserve"> Clark </w:t>
      </w:r>
      <w:r>
        <w:rPr>
          <w:rFonts w:ascii="Times New Roman" w:hAnsi="Times New Roman" w:cs="Times New Roman"/>
          <w:sz w:val="24"/>
        </w:rPr>
        <w:t xml:space="preserve">1992 (2) ZLR 224, </w:t>
      </w:r>
      <w:r>
        <w:rPr>
          <w:rFonts w:ascii="Times New Roman" w:hAnsi="Times New Roman" w:cs="Times New Roman"/>
          <w:i/>
          <w:sz w:val="24"/>
        </w:rPr>
        <w:t>Zimbabwe Broadcasting Holdings</w:t>
      </w:r>
      <w:r>
        <w:rPr>
          <w:rFonts w:ascii="Times New Roman" w:hAnsi="Times New Roman" w:cs="Times New Roman"/>
          <w:sz w:val="24"/>
        </w:rPr>
        <w:t xml:space="preserve"> v </w:t>
      </w:r>
      <w:r>
        <w:rPr>
          <w:rFonts w:ascii="Times New Roman" w:hAnsi="Times New Roman" w:cs="Times New Roman"/>
          <w:i/>
          <w:sz w:val="24"/>
        </w:rPr>
        <w:t>Gono</w:t>
      </w:r>
      <w:r>
        <w:rPr>
          <w:rFonts w:ascii="Times New Roman" w:hAnsi="Times New Roman" w:cs="Times New Roman"/>
          <w:sz w:val="24"/>
        </w:rPr>
        <w:t xml:space="preserve"> 2010 (1) ZLR 8 (H) and </w:t>
      </w:r>
      <w:r>
        <w:rPr>
          <w:rFonts w:ascii="Times New Roman" w:hAnsi="Times New Roman" w:cs="Times New Roman"/>
          <w:i/>
          <w:sz w:val="24"/>
        </w:rPr>
        <w:t xml:space="preserve">Lafarge Cement  (Zimbabwe ) Ltd  </w:t>
      </w:r>
      <w:r>
        <w:rPr>
          <w:rFonts w:ascii="Times New Roman" w:hAnsi="Times New Roman" w:cs="Times New Roman"/>
          <w:sz w:val="24"/>
        </w:rPr>
        <w:t>v</w:t>
      </w:r>
      <w:r>
        <w:rPr>
          <w:rFonts w:ascii="Times New Roman" w:hAnsi="Times New Roman" w:cs="Times New Roman"/>
          <w:i/>
          <w:sz w:val="24"/>
        </w:rPr>
        <w:t xml:space="preserve"> Chatizembwa</w:t>
      </w:r>
      <w:r>
        <w:rPr>
          <w:rFonts w:ascii="Times New Roman" w:hAnsi="Times New Roman" w:cs="Times New Roman"/>
          <w:sz w:val="24"/>
        </w:rPr>
        <w:t xml:space="preserve"> HH 413-18. In this case, the defendant is not even challenging his retrenchment, he is challenging the retrenchment package. </w:t>
      </w:r>
    </w:p>
    <w:p w:rsidR="005A5130" w:rsidRDefault="00EF3A3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On the basis of the authorities coming out of this jurisdiction, I find that the defendant’s argument that this court</w:t>
      </w:r>
      <w:r>
        <w:rPr>
          <w:rFonts w:ascii="Times New Roman" w:hAnsi="Times New Roman" w:cs="Times New Roman"/>
          <w:sz w:val="24"/>
          <w:szCs w:val="24"/>
          <w:lang w:val="en-US"/>
        </w:rPr>
        <w:t xml:space="preserve"> has no jurisdiction to deal with the plaintiff’s claim either on the basis of this matter being a labour matter or on the basis that there is a pending dispute over the retrenchment package is without substance. I accordingly dismiss it.</w:t>
      </w:r>
    </w:p>
    <w:p w:rsidR="005A5130" w:rsidRDefault="00EF3A30">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lang w:val="en-US"/>
        </w:rPr>
        <w:t xml:space="preserve"> </w:t>
      </w:r>
    </w:p>
    <w:p w:rsidR="005A5130" w:rsidRDefault="00EF3A30">
      <w:pPr>
        <w:pStyle w:val="ListParagraph"/>
        <w:spacing w:after="0" w:line="360" w:lineRule="auto"/>
        <w:ind w:left="360"/>
        <w:jc w:val="both"/>
        <w:rPr>
          <w:rFonts w:ascii="Times New Roman" w:hAnsi="Times New Roman" w:cs="Times New Roman"/>
          <w:b/>
          <w:sz w:val="24"/>
          <w:szCs w:val="24"/>
          <w:u w:val="single"/>
        </w:rPr>
      </w:pPr>
      <w:r>
        <w:rPr>
          <w:rFonts w:ascii="Times New Roman" w:hAnsi="Times New Roman" w:cs="Times New Roman"/>
          <w:b/>
          <w:sz w:val="24"/>
          <w:szCs w:val="24"/>
          <w:u w:val="single"/>
          <w:lang w:val="en-US"/>
        </w:rPr>
        <w:lastRenderedPageBreak/>
        <w:t xml:space="preserve">WHETHER OR NOT </w:t>
      </w:r>
      <w:r>
        <w:rPr>
          <w:rFonts w:ascii="Times New Roman" w:hAnsi="Times New Roman" w:cs="Times New Roman"/>
          <w:b/>
          <w:sz w:val="24"/>
          <w:szCs w:val="24"/>
          <w:u w:val="single"/>
          <w:lang w:val="en-US"/>
        </w:rPr>
        <w:t>THIS MATTER IS AN APPROPRIATE MATTER TO GRANT SUMMARY JUDGMENT</w:t>
      </w:r>
    </w:p>
    <w:p w:rsidR="005A5130" w:rsidRDefault="00EF3A3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Rule 30 (1) of the High Court Rules, 2021, provides for summary judgment in the following terms: </w:t>
      </w:r>
    </w:p>
    <w:p w:rsidR="005A5130" w:rsidRDefault="00EF3A30">
      <w:pPr>
        <w:spacing w:line="240" w:lineRule="auto"/>
        <w:ind w:left="1440"/>
        <w:jc w:val="both"/>
        <w:rPr>
          <w:rFonts w:ascii="Times New Roman" w:hAnsi="Times New Roman" w:cs="Times New Roman"/>
        </w:rPr>
      </w:pPr>
      <w:r>
        <w:rPr>
          <w:rFonts w:ascii="Times New Roman" w:hAnsi="Times New Roman" w:cs="Times New Roman"/>
        </w:rPr>
        <w:t>“Where the Defendant has entered appearance to defend, the plaintiff may at any time before a p</w:t>
      </w:r>
      <w:r>
        <w:rPr>
          <w:rFonts w:ascii="Times New Roman" w:hAnsi="Times New Roman" w:cs="Times New Roman"/>
        </w:rPr>
        <w:t>re-trial conference is held, make a court application in terms of this rule for the court to enter summary judgment for what is claimed in the summons and costs”</w:t>
      </w:r>
    </w:p>
    <w:p w:rsidR="005A5130" w:rsidRDefault="00EF3A3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Summary judgment is only available when the defendant’s proposed defences are unequivocally la</w:t>
      </w:r>
      <w:r>
        <w:rPr>
          <w:rFonts w:ascii="Times New Roman" w:hAnsi="Times New Roman" w:cs="Times New Roman"/>
          <w:sz w:val="24"/>
          <w:szCs w:val="24"/>
        </w:rPr>
        <w:t>cking substance both in law and in fact</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As such, the relief enables a plaintiff with a clear case to get swift enforcement of its claim against a defendant without a real defence against the claim</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w:t>
      </w:r>
    </w:p>
    <w:p w:rsidR="005A5130" w:rsidRDefault="00EF3A3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purpose of summary judgment cannot be further expl</w:t>
      </w:r>
      <w:r>
        <w:rPr>
          <w:rFonts w:ascii="Times New Roman" w:hAnsi="Times New Roman" w:cs="Times New Roman"/>
          <w:sz w:val="24"/>
          <w:szCs w:val="24"/>
        </w:rPr>
        <w:t xml:space="preserve">ained than as captured in </w:t>
      </w:r>
      <w:r>
        <w:rPr>
          <w:rFonts w:ascii="Times New Roman" w:hAnsi="Times New Roman" w:cs="Times New Roman"/>
          <w:i/>
          <w:sz w:val="24"/>
          <w:szCs w:val="24"/>
        </w:rPr>
        <w:t xml:space="preserve">Pepukai </w:t>
      </w:r>
      <w:r>
        <w:rPr>
          <w:rFonts w:ascii="Times New Roman" w:hAnsi="Times New Roman" w:cs="Times New Roman"/>
          <w:sz w:val="24"/>
          <w:szCs w:val="24"/>
        </w:rPr>
        <w:t xml:space="preserve">v </w:t>
      </w:r>
      <w:r>
        <w:rPr>
          <w:rFonts w:ascii="Times New Roman" w:hAnsi="Times New Roman" w:cs="Times New Roman"/>
          <w:i/>
          <w:sz w:val="24"/>
          <w:szCs w:val="24"/>
        </w:rPr>
        <w:t>Zimi</w:t>
      </w:r>
      <w:r>
        <w:rPr>
          <w:rFonts w:ascii="Times New Roman" w:hAnsi="Times New Roman" w:cs="Times New Roman"/>
          <w:sz w:val="24"/>
          <w:szCs w:val="24"/>
        </w:rPr>
        <w:t xml:space="preserve"> 2020 (2) ZLR 263 (H) at 264F-H, 265A-E that; </w:t>
      </w:r>
    </w:p>
    <w:p w:rsidR="005A5130" w:rsidRDefault="00EF3A30">
      <w:pPr>
        <w:pStyle w:val="ListParagraph"/>
        <w:spacing w:after="0" w:line="240" w:lineRule="auto"/>
        <w:ind w:left="1440"/>
        <w:jc w:val="both"/>
        <w:rPr>
          <w:rFonts w:ascii="Times New Roman" w:hAnsi="Times New Roman" w:cs="Times New Roman"/>
        </w:rPr>
      </w:pPr>
      <w:r>
        <w:rPr>
          <w:rFonts w:ascii="Times New Roman" w:hAnsi="Times New Roman" w:cs="Times New Roman"/>
        </w:rPr>
        <w:t xml:space="preserve">“[5] The objective of the summary judgment procedure was dealt with in </w:t>
      </w:r>
      <w:r>
        <w:rPr>
          <w:rFonts w:ascii="Times New Roman" w:hAnsi="Times New Roman" w:cs="Times New Roman"/>
          <w:i/>
        </w:rPr>
        <w:t xml:space="preserve">Bank of Credit &amp; Commerce Zimbabwe Ltd </w:t>
      </w:r>
      <w:r>
        <w:rPr>
          <w:rFonts w:ascii="Times New Roman" w:hAnsi="Times New Roman" w:cs="Times New Roman"/>
        </w:rPr>
        <w:t>v</w:t>
      </w:r>
      <w:r>
        <w:rPr>
          <w:rFonts w:ascii="Times New Roman" w:hAnsi="Times New Roman" w:cs="Times New Roman"/>
          <w:i/>
        </w:rPr>
        <w:t xml:space="preserve"> Jani Investments (Pvt) Ltd </w:t>
      </w:r>
      <w:r>
        <w:rPr>
          <w:rFonts w:ascii="Times New Roman" w:hAnsi="Times New Roman" w:cs="Times New Roman"/>
        </w:rPr>
        <w:t xml:space="preserve">1983 (2) ZLR 317 (H) where the court remarked as follows, </w:t>
      </w:r>
    </w:p>
    <w:p w:rsidR="005A5130" w:rsidRDefault="00EF3A30">
      <w:pPr>
        <w:pStyle w:val="ListParagraph"/>
        <w:spacing w:after="0" w:line="240" w:lineRule="auto"/>
        <w:ind w:left="2160"/>
        <w:jc w:val="both"/>
        <w:rPr>
          <w:rFonts w:ascii="Times New Roman" w:hAnsi="Times New Roman" w:cs="Times New Roman"/>
          <w:sz w:val="20"/>
          <w:szCs w:val="20"/>
        </w:rPr>
      </w:pPr>
      <w:r>
        <w:rPr>
          <w:rFonts w:ascii="Times New Roman" w:hAnsi="Times New Roman" w:cs="Times New Roman"/>
          <w:sz w:val="20"/>
          <w:szCs w:val="20"/>
        </w:rPr>
        <w:t>“It is true that summary procedure is the principal means by which unscrupulous litigants seeking only to delay a just claim by entering appearance to defence, are thwarted. It is thus of the great</w:t>
      </w:r>
      <w:r>
        <w:rPr>
          <w:rFonts w:ascii="Times New Roman" w:hAnsi="Times New Roman" w:cs="Times New Roman"/>
          <w:sz w:val="20"/>
          <w:szCs w:val="20"/>
        </w:rPr>
        <w:t>est importance that the efficiency of the procedure should not be impaired by technical formalism.”</w:t>
      </w:r>
    </w:p>
    <w:p w:rsidR="005A5130" w:rsidRDefault="00EF3A30">
      <w:pPr>
        <w:spacing w:after="0" w:line="240" w:lineRule="auto"/>
        <w:ind w:left="1440"/>
        <w:jc w:val="both"/>
        <w:rPr>
          <w:rFonts w:ascii="Times New Roman" w:hAnsi="Times New Roman" w:cs="Times New Roman"/>
        </w:rPr>
      </w:pPr>
      <w:r>
        <w:rPr>
          <w:rFonts w:ascii="Times New Roman" w:hAnsi="Times New Roman" w:cs="Times New Roman"/>
        </w:rPr>
        <w:t xml:space="preserve">See also </w:t>
      </w:r>
      <w:r>
        <w:rPr>
          <w:rFonts w:ascii="Times New Roman" w:hAnsi="Times New Roman" w:cs="Times New Roman"/>
          <w:i/>
        </w:rPr>
        <w:t>Rex</w:t>
      </w:r>
      <w:r>
        <w:rPr>
          <w:rFonts w:ascii="Times New Roman" w:hAnsi="Times New Roman" w:cs="Times New Roman"/>
        </w:rPr>
        <w:t xml:space="preserve"> v </w:t>
      </w:r>
      <w:r>
        <w:rPr>
          <w:rFonts w:ascii="Times New Roman" w:hAnsi="Times New Roman" w:cs="Times New Roman"/>
          <w:i/>
        </w:rPr>
        <w:t>Rhodian Investments Trust (Pvt) Ltd</w:t>
      </w:r>
      <w:r>
        <w:rPr>
          <w:rFonts w:ascii="Times New Roman" w:hAnsi="Times New Roman" w:cs="Times New Roman"/>
        </w:rPr>
        <w:t xml:space="preserve"> 1957 R &amp; N 723 (SR), </w:t>
      </w:r>
      <w:r>
        <w:rPr>
          <w:rFonts w:ascii="Times New Roman" w:hAnsi="Times New Roman" w:cs="Times New Roman"/>
          <w:i/>
        </w:rPr>
        <w:t xml:space="preserve">Stationery Box (Pvt) Ltd </w:t>
      </w:r>
      <w:r>
        <w:rPr>
          <w:rFonts w:ascii="Times New Roman" w:hAnsi="Times New Roman" w:cs="Times New Roman"/>
        </w:rPr>
        <w:t xml:space="preserve">v </w:t>
      </w:r>
      <w:r>
        <w:rPr>
          <w:rFonts w:ascii="Times New Roman" w:hAnsi="Times New Roman" w:cs="Times New Roman"/>
          <w:i/>
        </w:rPr>
        <w:t>Natcon (Pvt) Ltd &amp; Anor</w:t>
      </w:r>
      <w:r>
        <w:rPr>
          <w:rFonts w:ascii="Times New Roman" w:hAnsi="Times New Roman" w:cs="Times New Roman"/>
        </w:rPr>
        <w:t xml:space="preserve"> 2010 (1) ZLR 227 (H), </w:t>
      </w:r>
      <w:r>
        <w:rPr>
          <w:rFonts w:ascii="Times New Roman" w:hAnsi="Times New Roman" w:cs="Times New Roman"/>
          <w:i/>
        </w:rPr>
        <w:t>Beresford L</w:t>
      </w:r>
      <w:r>
        <w:rPr>
          <w:rFonts w:ascii="Times New Roman" w:hAnsi="Times New Roman" w:cs="Times New Roman"/>
          <w:i/>
        </w:rPr>
        <w:t>and Plan (Pvt) Ltd</w:t>
      </w:r>
      <w:r>
        <w:rPr>
          <w:rFonts w:ascii="Times New Roman" w:hAnsi="Times New Roman" w:cs="Times New Roman"/>
        </w:rPr>
        <w:t xml:space="preserve"> v </w:t>
      </w:r>
      <w:r>
        <w:rPr>
          <w:rFonts w:ascii="Times New Roman" w:hAnsi="Times New Roman" w:cs="Times New Roman"/>
          <w:i/>
        </w:rPr>
        <w:t>Urquhart</w:t>
      </w:r>
      <w:r>
        <w:rPr>
          <w:rFonts w:ascii="Times New Roman" w:hAnsi="Times New Roman" w:cs="Times New Roman"/>
        </w:rPr>
        <w:t xml:space="preserve"> 1975 (1) RLR 260 (A); 1975 (3) SA 619, </w:t>
      </w:r>
      <w:r>
        <w:rPr>
          <w:rFonts w:ascii="Times New Roman" w:hAnsi="Times New Roman" w:cs="Times New Roman"/>
          <w:i/>
        </w:rPr>
        <w:t>Chrismar  Pvt) Ltd</w:t>
      </w:r>
      <w:r>
        <w:rPr>
          <w:rFonts w:ascii="Times New Roman" w:hAnsi="Times New Roman" w:cs="Times New Roman"/>
        </w:rPr>
        <w:t xml:space="preserve"> v </w:t>
      </w:r>
      <w:r>
        <w:rPr>
          <w:rFonts w:ascii="Times New Roman" w:hAnsi="Times New Roman" w:cs="Times New Roman"/>
          <w:i/>
        </w:rPr>
        <w:t>Stutchbury</w:t>
      </w:r>
      <w:r>
        <w:rPr>
          <w:rFonts w:ascii="Times New Roman" w:hAnsi="Times New Roman" w:cs="Times New Roman"/>
        </w:rPr>
        <w:t xml:space="preserve"> 1973 (10 RLR 277 (H).</w:t>
      </w:r>
    </w:p>
    <w:p w:rsidR="005A5130" w:rsidRDefault="00EF3A30">
      <w:pPr>
        <w:pStyle w:val="ListParagraph"/>
        <w:spacing w:after="0" w:line="240" w:lineRule="auto"/>
        <w:ind w:left="1440"/>
        <w:jc w:val="both"/>
        <w:rPr>
          <w:rFonts w:ascii="Times New Roman" w:hAnsi="Times New Roman" w:cs="Times New Roman"/>
        </w:rPr>
      </w:pPr>
      <w:r>
        <w:rPr>
          <w:rFonts w:ascii="Times New Roman" w:hAnsi="Times New Roman" w:cs="Times New Roman"/>
        </w:rPr>
        <w:t>[6] The purpose of the summary judgment procedure is to enable a plaintiff who has an unanswerable case to obtain immediate relief by</w:t>
      </w:r>
      <w:r>
        <w:rPr>
          <w:rFonts w:ascii="Times New Roman" w:hAnsi="Times New Roman" w:cs="Times New Roman"/>
        </w:rPr>
        <w:t xml:space="preserve"> way of an application for summary judgment against a difficult defendant than having to wait for a matter to be dealt by with by way of trial proceedings in the ordinary course. The plaintiff is entitled to apply for summary judgment on a claim based on a</w:t>
      </w:r>
      <w:r>
        <w:rPr>
          <w:rFonts w:ascii="Times New Roman" w:hAnsi="Times New Roman" w:cs="Times New Roman"/>
        </w:rPr>
        <w:t xml:space="preserve"> liquid document, for a liquidated amount in money, for the delivery of specified movable property or for ejectment of a defendant. An applicant in a summary judgment application must show that the applicant has a </w:t>
      </w:r>
      <w:r>
        <w:rPr>
          <w:rFonts w:ascii="Times New Roman" w:hAnsi="Times New Roman" w:cs="Times New Roman"/>
          <w:i/>
        </w:rPr>
        <w:t>bona fide</w:t>
      </w:r>
      <w:r>
        <w:rPr>
          <w:rFonts w:ascii="Times New Roman" w:hAnsi="Times New Roman" w:cs="Times New Roman"/>
        </w:rPr>
        <w:t xml:space="preserve"> defence to the action filed and </w:t>
      </w:r>
      <w:r>
        <w:rPr>
          <w:rFonts w:ascii="Times New Roman" w:hAnsi="Times New Roman" w:cs="Times New Roman"/>
        </w:rPr>
        <w:t>has entered appearance to defend solely for the purposes of delaying proceedings. There must be no disputes of facts arising from the facts in which case, the plaintiff is entitled as a matter of law, to judgment.</w:t>
      </w:r>
    </w:p>
    <w:p w:rsidR="005A5130" w:rsidRDefault="00EF3A30">
      <w:pPr>
        <w:pStyle w:val="ListParagraph"/>
        <w:spacing w:after="0" w:line="240" w:lineRule="auto"/>
        <w:ind w:left="1440"/>
        <w:jc w:val="both"/>
        <w:rPr>
          <w:rFonts w:ascii="Times New Roman" w:hAnsi="Times New Roman" w:cs="Times New Roman"/>
        </w:rPr>
      </w:pPr>
      <w:r>
        <w:rPr>
          <w:rFonts w:ascii="Times New Roman" w:hAnsi="Times New Roman" w:cs="Times New Roman"/>
        </w:rPr>
        <w:t xml:space="preserve">[7] The defendant must proffer a </w:t>
      </w:r>
      <w:r>
        <w:rPr>
          <w:rFonts w:ascii="Times New Roman" w:hAnsi="Times New Roman" w:cs="Times New Roman"/>
          <w:i/>
        </w:rPr>
        <w:t>bona fide</w:t>
      </w:r>
      <w:r>
        <w:rPr>
          <w:rFonts w:ascii="Times New Roman" w:hAnsi="Times New Roman" w:cs="Times New Roman"/>
        </w:rPr>
        <w:t xml:space="preserve"> defence. He must set out his defence to the application with “such a degree of candour and particularity” as will enable the court to apply its mind to the </w:t>
      </w:r>
      <w:r>
        <w:rPr>
          <w:rFonts w:ascii="Times New Roman" w:hAnsi="Times New Roman" w:cs="Times New Roman"/>
          <w:i/>
        </w:rPr>
        <w:t>bona fides</w:t>
      </w:r>
      <w:r>
        <w:rPr>
          <w:rFonts w:ascii="Times New Roman" w:hAnsi="Times New Roman" w:cs="Times New Roman"/>
        </w:rPr>
        <w:t xml:space="preserve"> of his defence: see </w:t>
      </w:r>
      <w:r>
        <w:rPr>
          <w:rFonts w:ascii="Times New Roman" w:hAnsi="Times New Roman" w:cs="Times New Roman"/>
          <w:i/>
        </w:rPr>
        <w:t>Mercantile Bank Ltd</w:t>
      </w:r>
      <w:r>
        <w:rPr>
          <w:rFonts w:ascii="Times New Roman" w:hAnsi="Times New Roman" w:cs="Times New Roman"/>
        </w:rPr>
        <w:t xml:space="preserve"> v </w:t>
      </w:r>
      <w:r>
        <w:rPr>
          <w:rFonts w:ascii="Times New Roman" w:hAnsi="Times New Roman" w:cs="Times New Roman"/>
          <w:i/>
        </w:rPr>
        <w:t>Star Power CC &amp; Anor</w:t>
      </w:r>
      <w:r>
        <w:rPr>
          <w:rFonts w:ascii="Times New Roman" w:hAnsi="Times New Roman" w:cs="Times New Roman"/>
        </w:rPr>
        <w:t xml:space="preserve"> 2003 (3) SA 309 (T). In </w:t>
      </w:r>
      <w:r>
        <w:rPr>
          <w:rFonts w:ascii="Times New Roman" w:hAnsi="Times New Roman" w:cs="Times New Roman"/>
          <w:i/>
        </w:rPr>
        <w:t>K</w:t>
      </w:r>
      <w:r>
        <w:rPr>
          <w:rFonts w:ascii="Times New Roman" w:hAnsi="Times New Roman" w:cs="Times New Roman"/>
          <w:i/>
        </w:rPr>
        <w:t>ingstons Ltd</w:t>
      </w:r>
      <w:r>
        <w:rPr>
          <w:rFonts w:ascii="Times New Roman" w:hAnsi="Times New Roman" w:cs="Times New Roman"/>
        </w:rPr>
        <w:t xml:space="preserve"> v </w:t>
      </w:r>
      <w:r>
        <w:rPr>
          <w:rFonts w:ascii="Times New Roman" w:hAnsi="Times New Roman" w:cs="Times New Roman"/>
          <w:i/>
        </w:rPr>
        <w:t>L D Ineson (Pvt) Ltd</w:t>
      </w:r>
      <w:r>
        <w:rPr>
          <w:rFonts w:ascii="Times New Roman" w:hAnsi="Times New Roman" w:cs="Times New Roman"/>
        </w:rPr>
        <w:t xml:space="preserve"> 2006 (1) ZLR 451 (S) at 458F, the court held that not every defence raised by the defendant will succeed in defeating a plaintiff’s claim for summary judgment and held a </w:t>
      </w:r>
      <w:r>
        <w:rPr>
          <w:rFonts w:ascii="Times New Roman" w:hAnsi="Times New Roman" w:cs="Times New Roman"/>
          <w:i/>
        </w:rPr>
        <w:t>bona fide</w:t>
      </w:r>
      <w:r>
        <w:rPr>
          <w:rFonts w:ascii="Times New Roman" w:hAnsi="Times New Roman" w:cs="Times New Roman"/>
        </w:rPr>
        <w:t xml:space="preserve"> defence to be:</w:t>
      </w:r>
    </w:p>
    <w:p w:rsidR="005A5130" w:rsidRDefault="00EF3A30">
      <w:pPr>
        <w:pStyle w:val="ListParagraph"/>
        <w:spacing w:after="0" w:line="240" w:lineRule="auto"/>
        <w:ind w:left="2160"/>
        <w:jc w:val="both"/>
        <w:rPr>
          <w:rFonts w:ascii="Times New Roman" w:hAnsi="Times New Roman" w:cs="Times New Roman"/>
          <w:sz w:val="20"/>
          <w:szCs w:val="20"/>
        </w:rPr>
      </w:pPr>
      <w:r>
        <w:rPr>
          <w:rFonts w:ascii="Times New Roman" w:hAnsi="Times New Roman" w:cs="Times New Roman"/>
          <w:sz w:val="20"/>
          <w:szCs w:val="20"/>
        </w:rPr>
        <w:lastRenderedPageBreak/>
        <w:t>“…a plausible case with s</w:t>
      </w:r>
      <w:r>
        <w:rPr>
          <w:rFonts w:ascii="Times New Roman" w:hAnsi="Times New Roman" w:cs="Times New Roman"/>
          <w:sz w:val="20"/>
          <w:szCs w:val="20"/>
        </w:rPr>
        <w:t xml:space="preserve">ufficient clarity and completeness to enable the court to determine whether the affidavit discloses a bona fide defence. He must allege facts if established, would entitle him to succeed.” </w:t>
      </w:r>
    </w:p>
    <w:p w:rsidR="005A5130" w:rsidRDefault="00EF3A30">
      <w:pPr>
        <w:spacing w:after="0" w:line="240" w:lineRule="auto"/>
        <w:ind w:left="1440"/>
        <w:jc w:val="both"/>
        <w:rPr>
          <w:rFonts w:ascii="Times New Roman" w:hAnsi="Times New Roman" w:cs="Times New Roman"/>
        </w:rPr>
      </w:pPr>
      <w:r>
        <w:rPr>
          <w:rFonts w:ascii="Times New Roman" w:hAnsi="Times New Roman" w:cs="Times New Roman"/>
        </w:rPr>
        <w:t xml:space="preserve">See also </w:t>
      </w:r>
      <w:r>
        <w:rPr>
          <w:rFonts w:ascii="Times New Roman" w:hAnsi="Times New Roman" w:cs="Times New Roman"/>
          <w:i/>
        </w:rPr>
        <w:t>Jera</w:t>
      </w:r>
      <w:r>
        <w:rPr>
          <w:rFonts w:ascii="Times New Roman" w:hAnsi="Times New Roman" w:cs="Times New Roman"/>
        </w:rPr>
        <w:t xml:space="preserve"> v </w:t>
      </w:r>
      <w:r>
        <w:rPr>
          <w:rFonts w:ascii="Times New Roman" w:hAnsi="Times New Roman" w:cs="Times New Roman"/>
          <w:i/>
        </w:rPr>
        <w:t>Nechipote</w:t>
      </w:r>
      <w:r>
        <w:rPr>
          <w:rFonts w:ascii="Times New Roman" w:hAnsi="Times New Roman" w:cs="Times New Roman"/>
        </w:rPr>
        <w:t xml:space="preserve"> 1986 (1) ZLR 29 (S); </w:t>
      </w:r>
      <w:r>
        <w:rPr>
          <w:rFonts w:ascii="Times New Roman" w:hAnsi="Times New Roman" w:cs="Times New Roman"/>
          <w:i/>
        </w:rPr>
        <w:t>Mbayiwa</w:t>
      </w:r>
      <w:r>
        <w:rPr>
          <w:rFonts w:ascii="Times New Roman" w:hAnsi="Times New Roman" w:cs="Times New Roman"/>
        </w:rPr>
        <w:t xml:space="preserve"> v </w:t>
      </w:r>
      <w:r>
        <w:rPr>
          <w:rFonts w:ascii="Times New Roman" w:hAnsi="Times New Roman" w:cs="Times New Roman"/>
          <w:i/>
        </w:rPr>
        <w:t>Eastern H</w:t>
      </w:r>
      <w:r>
        <w:rPr>
          <w:rFonts w:ascii="Times New Roman" w:hAnsi="Times New Roman" w:cs="Times New Roman"/>
          <w:i/>
        </w:rPr>
        <w:t xml:space="preserve">ighlands Motel (Pvt) Ltd </w:t>
      </w:r>
      <w:r>
        <w:rPr>
          <w:rFonts w:ascii="Times New Roman" w:hAnsi="Times New Roman" w:cs="Times New Roman"/>
        </w:rPr>
        <w:t>S-139-86</w:t>
      </w:r>
    </w:p>
    <w:p w:rsidR="005A5130" w:rsidRDefault="00EF3A30">
      <w:pPr>
        <w:spacing w:after="0" w:line="240" w:lineRule="auto"/>
        <w:ind w:left="1440"/>
        <w:jc w:val="both"/>
        <w:rPr>
          <w:rFonts w:ascii="Times New Roman" w:hAnsi="Times New Roman" w:cs="Times New Roman"/>
        </w:rPr>
      </w:pPr>
      <w:r>
        <w:rPr>
          <w:rFonts w:ascii="Times New Roman" w:hAnsi="Times New Roman" w:cs="Times New Roman"/>
        </w:rPr>
        <w:t xml:space="preserve">[8] A defendant to summary judgment proceedings must disclose the nature of his defence and the material facts he relies on. He is not to deal with his case exhaustively and to prove his defence. See </w:t>
      </w:r>
      <w:r>
        <w:rPr>
          <w:rFonts w:ascii="Times New Roman" w:hAnsi="Times New Roman" w:cs="Times New Roman"/>
          <w:i/>
        </w:rPr>
        <w:t>Stationery Box (Pvt) L</w:t>
      </w:r>
      <w:r>
        <w:rPr>
          <w:rFonts w:ascii="Times New Roman" w:hAnsi="Times New Roman" w:cs="Times New Roman"/>
          <w:i/>
        </w:rPr>
        <w:t>td</w:t>
      </w:r>
      <w:r>
        <w:rPr>
          <w:rFonts w:ascii="Times New Roman" w:hAnsi="Times New Roman" w:cs="Times New Roman"/>
        </w:rPr>
        <w:t xml:space="preserve"> v </w:t>
      </w:r>
      <w:r>
        <w:rPr>
          <w:rFonts w:ascii="Times New Roman" w:hAnsi="Times New Roman" w:cs="Times New Roman"/>
          <w:i/>
        </w:rPr>
        <w:t>Natcon (Pvt) Ltd</w:t>
      </w:r>
      <w:r>
        <w:rPr>
          <w:rFonts w:ascii="Times New Roman" w:hAnsi="Times New Roman" w:cs="Times New Roman"/>
        </w:rPr>
        <w:t xml:space="preserve"> 2010 (1) ZLR 277 (H). He must merely allege facts which, if he can succeed in establishing them at trial, would entitle him to succeed in his defence. He must disclose a </w:t>
      </w:r>
      <w:r>
        <w:rPr>
          <w:rFonts w:ascii="Times New Roman" w:hAnsi="Times New Roman" w:cs="Times New Roman"/>
          <w:i/>
        </w:rPr>
        <w:t>prima facie</w:t>
      </w:r>
      <w:r>
        <w:rPr>
          <w:rFonts w:ascii="Times New Roman" w:hAnsi="Times New Roman" w:cs="Times New Roman"/>
        </w:rPr>
        <w:t xml:space="preserve"> defence and set out with such particularity so as to</w:t>
      </w:r>
      <w:r>
        <w:rPr>
          <w:rFonts w:ascii="Times New Roman" w:hAnsi="Times New Roman" w:cs="Times New Roman"/>
        </w:rPr>
        <w:t xml:space="preserve"> enable the court to make a decision whether he has a </w:t>
      </w:r>
      <w:r>
        <w:rPr>
          <w:rFonts w:ascii="Times New Roman" w:hAnsi="Times New Roman" w:cs="Times New Roman"/>
          <w:i/>
        </w:rPr>
        <w:t>bona fide</w:t>
      </w:r>
      <w:r>
        <w:rPr>
          <w:rFonts w:ascii="Times New Roman" w:hAnsi="Times New Roman" w:cs="Times New Roman"/>
        </w:rPr>
        <w:t xml:space="preserve"> defence to the claim. See also </w:t>
      </w:r>
      <w:r>
        <w:rPr>
          <w:rFonts w:ascii="Times New Roman" w:hAnsi="Times New Roman" w:cs="Times New Roman"/>
          <w:i/>
        </w:rPr>
        <w:t xml:space="preserve">Hales </w:t>
      </w:r>
      <w:r>
        <w:rPr>
          <w:rFonts w:ascii="Times New Roman" w:hAnsi="Times New Roman" w:cs="Times New Roman"/>
        </w:rPr>
        <w:t>v</w:t>
      </w:r>
      <w:r>
        <w:rPr>
          <w:rFonts w:ascii="Times New Roman" w:hAnsi="Times New Roman" w:cs="Times New Roman"/>
          <w:i/>
        </w:rPr>
        <w:t xml:space="preserve"> Doverick Invstms (Pvt) Ltd</w:t>
      </w:r>
      <w:r>
        <w:rPr>
          <w:rFonts w:ascii="Times New Roman" w:hAnsi="Times New Roman" w:cs="Times New Roman"/>
        </w:rPr>
        <w:t xml:space="preserve"> 1998 (20 ZLR 235 (H); </w:t>
      </w:r>
      <w:r>
        <w:rPr>
          <w:rFonts w:ascii="Times New Roman" w:hAnsi="Times New Roman" w:cs="Times New Roman"/>
          <w:i/>
        </w:rPr>
        <w:t>Cargo Marketing International (Pvt) Ltd</w:t>
      </w:r>
      <w:r>
        <w:rPr>
          <w:rFonts w:ascii="Times New Roman" w:hAnsi="Times New Roman" w:cs="Times New Roman"/>
        </w:rPr>
        <w:t xml:space="preserve"> v </w:t>
      </w:r>
      <w:r>
        <w:rPr>
          <w:rFonts w:ascii="Times New Roman" w:hAnsi="Times New Roman" w:cs="Times New Roman"/>
          <w:i/>
        </w:rPr>
        <w:t>Dynamic Afreight (Deutschland) GmbH</w:t>
      </w:r>
      <w:r>
        <w:rPr>
          <w:rFonts w:ascii="Times New Roman" w:hAnsi="Times New Roman" w:cs="Times New Roman"/>
        </w:rPr>
        <w:t xml:space="preserve"> S-170-97.”</w:t>
      </w:r>
    </w:p>
    <w:p w:rsidR="005A5130" w:rsidRDefault="005A5130">
      <w:pPr>
        <w:spacing w:after="0" w:line="240" w:lineRule="auto"/>
        <w:ind w:left="720"/>
        <w:jc w:val="both"/>
        <w:rPr>
          <w:rFonts w:ascii="Times New Roman" w:hAnsi="Times New Roman" w:cs="Times New Roman"/>
        </w:rPr>
      </w:pPr>
    </w:p>
    <w:p w:rsidR="005A5130" w:rsidRDefault="00EF3A3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casu</w:t>
      </w:r>
      <w:r>
        <w:rPr>
          <w:rFonts w:ascii="Times New Roman" w:hAnsi="Times New Roman" w:cs="Times New Roman"/>
          <w:sz w:val="24"/>
          <w:szCs w:val="24"/>
        </w:rPr>
        <w:t xml:space="preserve">, to make a conclusive determination whether the plaintiff has a clear case, it would be prudent to look into the requirements of the remedy of </w:t>
      </w:r>
      <w:r>
        <w:rPr>
          <w:rFonts w:ascii="Times New Roman" w:hAnsi="Times New Roman" w:cs="Times New Roman"/>
          <w:i/>
          <w:sz w:val="24"/>
          <w:szCs w:val="24"/>
        </w:rPr>
        <w:t>rei vindicatio</w:t>
      </w:r>
      <w:r>
        <w:rPr>
          <w:rFonts w:ascii="Times New Roman" w:hAnsi="Times New Roman" w:cs="Times New Roman"/>
          <w:sz w:val="24"/>
          <w:szCs w:val="24"/>
        </w:rPr>
        <w:t xml:space="preserve"> which is being sought and further enquire whether the plaintiff has sufficiently satisfied the re</w:t>
      </w:r>
      <w:r>
        <w:rPr>
          <w:rFonts w:ascii="Times New Roman" w:hAnsi="Times New Roman" w:cs="Times New Roman"/>
          <w:sz w:val="24"/>
          <w:szCs w:val="24"/>
        </w:rPr>
        <w:t xml:space="preserve">quirements for the granting of the remedy.  </w:t>
      </w:r>
    </w:p>
    <w:p w:rsidR="005A5130" w:rsidRDefault="00EF3A3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Judicial authority in this jurisdiction has established the principle that the common law remedy of </w:t>
      </w:r>
      <w:r>
        <w:rPr>
          <w:rFonts w:ascii="Times New Roman" w:hAnsi="Times New Roman" w:cs="Times New Roman"/>
          <w:i/>
          <w:sz w:val="24"/>
          <w:szCs w:val="24"/>
          <w:lang w:val="en-US"/>
        </w:rPr>
        <w:t>rei vindicatio</w:t>
      </w:r>
      <w:r>
        <w:rPr>
          <w:rFonts w:ascii="Times New Roman" w:hAnsi="Times New Roman" w:cs="Times New Roman"/>
          <w:sz w:val="24"/>
          <w:szCs w:val="24"/>
          <w:lang w:val="en-US"/>
        </w:rPr>
        <w:t xml:space="preserve"> is available to the owner of property who seeks to recover possession of such property from any person whatsoever. Essentially, the action can be enforced against the world at large</w:t>
      </w:r>
      <w:r>
        <w:rPr>
          <w:rStyle w:val="FootnoteReference"/>
          <w:rFonts w:ascii="Times New Roman" w:hAnsi="Times New Roman" w:cs="Times New Roman"/>
          <w:sz w:val="24"/>
          <w:szCs w:val="24"/>
        </w:rPr>
        <w:footnoteReference w:id="3"/>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The principle is predicated on the principle that an owner cannot be di</w:t>
      </w:r>
      <w:r>
        <w:rPr>
          <w:rFonts w:ascii="Times New Roman" w:hAnsi="Times New Roman" w:cs="Times New Roman"/>
          <w:sz w:val="24"/>
          <w:szCs w:val="24"/>
          <w:lang w:val="en-US"/>
        </w:rPr>
        <w:t xml:space="preserve">spossessed of his property against his will and he is entitled to reclaim it from any individual who retains possession of it without his consent: </w:t>
      </w:r>
      <w:r>
        <w:rPr>
          <w:rFonts w:ascii="Times New Roman" w:hAnsi="Times New Roman" w:cs="Times New Roman"/>
          <w:i/>
          <w:sz w:val="24"/>
          <w:szCs w:val="24"/>
          <w:lang w:val="en-US"/>
        </w:rPr>
        <w:t>Eastlea Hospital (Private) Limited</w:t>
      </w:r>
      <w:r>
        <w:rPr>
          <w:rFonts w:ascii="Times New Roman" w:hAnsi="Times New Roman" w:cs="Times New Roman"/>
          <w:sz w:val="24"/>
          <w:szCs w:val="24"/>
          <w:lang w:val="en-US"/>
        </w:rPr>
        <w:t xml:space="preserve"> v </w:t>
      </w:r>
      <w:r>
        <w:rPr>
          <w:rFonts w:ascii="Times New Roman" w:hAnsi="Times New Roman" w:cs="Times New Roman"/>
          <w:i/>
          <w:sz w:val="24"/>
          <w:szCs w:val="24"/>
          <w:lang w:val="en-US"/>
        </w:rPr>
        <w:t>Ndoro &amp; Others</w:t>
      </w:r>
      <w:r>
        <w:rPr>
          <w:rFonts w:ascii="Times New Roman" w:hAnsi="Times New Roman" w:cs="Times New Roman"/>
          <w:sz w:val="24"/>
          <w:szCs w:val="24"/>
          <w:lang w:val="en-US"/>
        </w:rPr>
        <w:t xml:space="preserve"> SC 116-23 at p7.</w:t>
      </w:r>
    </w:p>
    <w:p w:rsidR="005A5130" w:rsidRDefault="00EF3A3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judgment of </w:t>
      </w:r>
      <w:r>
        <w:rPr>
          <w:rFonts w:ascii="Times New Roman" w:hAnsi="Times New Roman" w:cs="Times New Roman"/>
          <w:smallCaps/>
          <w:sz w:val="24"/>
          <w:szCs w:val="24"/>
          <w:lang w:val="en-GB"/>
        </w:rPr>
        <w:t xml:space="preserve">Omerjee AJA </w:t>
      </w:r>
      <w:r>
        <w:rPr>
          <w:rFonts w:ascii="Times New Roman" w:hAnsi="Times New Roman" w:cs="Times New Roman"/>
          <w:sz w:val="24"/>
          <w:szCs w:val="24"/>
          <w:lang w:val="en-US"/>
        </w:rPr>
        <w:t xml:space="preserve">(as he then </w:t>
      </w:r>
      <w:r>
        <w:rPr>
          <w:rFonts w:ascii="Times New Roman" w:hAnsi="Times New Roman" w:cs="Times New Roman"/>
          <w:sz w:val="24"/>
          <w:szCs w:val="24"/>
          <w:lang w:val="en-US"/>
        </w:rPr>
        <w:t xml:space="preserve">was) in </w:t>
      </w:r>
      <w:r>
        <w:rPr>
          <w:rFonts w:ascii="Times New Roman" w:hAnsi="Times New Roman" w:cs="Times New Roman"/>
          <w:i/>
          <w:sz w:val="24"/>
          <w:szCs w:val="24"/>
          <w:lang w:val="en-US"/>
        </w:rPr>
        <w:t xml:space="preserve">Chenga </w:t>
      </w:r>
      <w:r>
        <w:rPr>
          <w:rFonts w:ascii="Times New Roman" w:hAnsi="Times New Roman" w:cs="Times New Roman"/>
          <w:sz w:val="24"/>
          <w:szCs w:val="24"/>
          <w:lang w:val="en-US"/>
        </w:rPr>
        <w:t>v</w:t>
      </w:r>
      <w:r>
        <w:rPr>
          <w:rFonts w:ascii="Times New Roman" w:hAnsi="Times New Roman" w:cs="Times New Roman"/>
          <w:i/>
          <w:sz w:val="24"/>
          <w:szCs w:val="24"/>
          <w:lang w:val="en-US"/>
        </w:rPr>
        <w:t xml:space="preserve"> Chikadaya</w:t>
      </w:r>
      <w:r>
        <w:rPr>
          <w:rFonts w:ascii="Times New Roman" w:hAnsi="Times New Roman" w:cs="Times New Roman"/>
          <w:sz w:val="24"/>
          <w:szCs w:val="24"/>
          <w:lang w:val="en-US"/>
        </w:rPr>
        <w:t xml:space="preserve"> SC7-13 lays out that for an applicant to be granted the remedy of </w:t>
      </w:r>
      <w:r>
        <w:rPr>
          <w:rFonts w:ascii="Times New Roman" w:hAnsi="Times New Roman" w:cs="Times New Roman"/>
          <w:i/>
          <w:sz w:val="24"/>
          <w:szCs w:val="24"/>
          <w:lang w:val="en-US"/>
        </w:rPr>
        <w:t>rei vindicatio</w:t>
      </w:r>
      <w:r>
        <w:rPr>
          <w:rFonts w:ascii="Times New Roman" w:hAnsi="Times New Roman" w:cs="Times New Roman"/>
          <w:sz w:val="24"/>
          <w:szCs w:val="24"/>
          <w:lang w:val="en-US"/>
        </w:rPr>
        <w:t>, he must prove two essential elements, namely proof of ownership of the property and secondly, possession of the property by the respondent. Once th</w:t>
      </w:r>
      <w:r>
        <w:rPr>
          <w:rFonts w:ascii="Times New Roman" w:hAnsi="Times New Roman" w:cs="Times New Roman"/>
          <w:sz w:val="24"/>
          <w:szCs w:val="24"/>
          <w:lang w:val="en-US"/>
        </w:rPr>
        <w:t xml:space="preserve">e applicant meets the above requirements, the onus shifts to the respondent to justify their possession of the applicant's property. </w:t>
      </w:r>
    </w:p>
    <w:p w:rsidR="005A5130" w:rsidRDefault="00EF3A3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The defences available to the respondent were aptly captured in </w:t>
      </w:r>
      <w:r>
        <w:rPr>
          <w:rFonts w:ascii="Times New Roman" w:hAnsi="Times New Roman" w:cs="Times New Roman"/>
          <w:i/>
          <w:sz w:val="24"/>
          <w:szCs w:val="24"/>
          <w:lang w:val="en-US"/>
        </w:rPr>
        <w:t xml:space="preserve">January </w:t>
      </w:r>
      <w:r>
        <w:rPr>
          <w:rFonts w:ascii="Times New Roman" w:hAnsi="Times New Roman" w:cs="Times New Roman"/>
          <w:sz w:val="24"/>
          <w:szCs w:val="24"/>
          <w:lang w:val="en-US"/>
        </w:rPr>
        <w:t>v</w:t>
      </w:r>
      <w:r>
        <w:rPr>
          <w:rFonts w:ascii="Times New Roman" w:hAnsi="Times New Roman" w:cs="Times New Roman"/>
          <w:i/>
          <w:sz w:val="24"/>
          <w:szCs w:val="24"/>
          <w:lang w:val="en-US"/>
        </w:rPr>
        <w:t xml:space="preserve"> Maferefu</w:t>
      </w:r>
      <w:r>
        <w:rPr>
          <w:rFonts w:ascii="Times New Roman" w:hAnsi="Times New Roman" w:cs="Times New Roman"/>
          <w:sz w:val="24"/>
          <w:szCs w:val="24"/>
          <w:lang w:val="en-US"/>
        </w:rPr>
        <w:t xml:space="preserve"> SC-14-20 at p. 7 as follows:</w:t>
      </w:r>
    </w:p>
    <w:p w:rsidR="005A5130" w:rsidRDefault="00EF3A30">
      <w:pPr>
        <w:spacing w:after="0" w:line="240" w:lineRule="auto"/>
        <w:ind w:left="1003"/>
        <w:jc w:val="both"/>
        <w:rPr>
          <w:rFonts w:ascii="Times New Roman" w:eastAsia="Calibri" w:hAnsi="Times New Roman" w:cs="Times New Roman"/>
          <w:szCs w:val="24"/>
          <w:lang w:val="en-US"/>
        </w:rPr>
      </w:pPr>
      <w:r>
        <w:rPr>
          <w:rFonts w:ascii="Times New Roman" w:eastAsia="Calibri" w:hAnsi="Times New Roman" w:cs="Times New Roman"/>
          <w:szCs w:val="24"/>
          <w:lang w:val="en-US"/>
        </w:rPr>
        <w:t>“There are</w:t>
      </w:r>
      <w:r>
        <w:rPr>
          <w:rFonts w:ascii="Times New Roman" w:eastAsia="Calibri" w:hAnsi="Times New Roman" w:cs="Times New Roman"/>
          <w:szCs w:val="24"/>
          <w:lang w:val="en-US"/>
        </w:rPr>
        <w:t xml:space="preserve"> basically four main defences to a claim of </w:t>
      </w:r>
      <w:r>
        <w:rPr>
          <w:rFonts w:ascii="Times New Roman" w:eastAsia="Calibri" w:hAnsi="Times New Roman" w:cs="Times New Roman"/>
          <w:i/>
          <w:szCs w:val="24"/>
          <w:lang w:val="en-US"/>
        </w:rPr>
        <w:t>rei vindicatio</w:t>
      </w:r>
      <w:r>
        <w:rPr>
          <w:rFonts w:ascii="Times New Roman" w:eastAsia="Calibri" w:hAnsi="Times New Roman" w:cs="Times New Roman"/>
          <w:szCs w:val="24"/>
          <w:lang w:val="en-US"/>
        </w:rPr>
        <w:t xml:space="preserve"> which are: </w:t>
      </w:r>
    </w:p>
    <w:p w:rsidR="005A5130" w:rsidRDefault="00EF3A30">
      <w:pPr>
        <w:numPr>
          <w:ilvl w:val="0"/>
          <w:numId w:val="3"/>
        </w:numPr>
        <w:spacing w:after="0" w:line="240" w:lineRule="auto"/>
        <w:ind w:left="1570" w:hanging="284"/>
        <w:jc w:val="both"/>
        <w:rPr>
          <w:rFonts w:ascii="Times New Roman" w:eastAsia="Calibri" w:hAnsi="Times New Roman" w:cs="Times New Roman"/>
          <w:szCs w:val="24"/>
          <w:lang w:val="en-US"/>
        </w:rPr>
      </w:pPr>
      <w:r>
        <w:rPr>
          <w:rFonts w:ascii="Times New Roman" w:eastAsia="Calibri" w:hAnsi="Times New Roman" w:cs="Times New Roman"/>
          <w:szCs w:val="24"/>
          <w:lang w:val="en-US"/>
        </w:rPr>
        <w:t xml:space="preserve">   that the applicant is not the owner of the property in question.</w:t>
      </w:r>
    </w:p>
    <w:p w:rsidR="005A5130" w:rsidRDefault="00EF3A30">
      <w:pPr>
        <w:numPr>
          <w:ilvl w:val="0"/>
          <w:numId w:val="3"/>
        </w:numPr>
        <w:spacing w:after="0" w:line="240" w:lineRule="auto"/>
        <w:ind w:left="1570" w:hanging="284"/>
        <w:jc w:val="both"/>
        <w:rPr>
          <w:rFonts w:ascii="Times New Roman" w:eastAsia="Calibri" w:hAnsi="Times New Roman" w:cs="Times New Roman"/>
          <w:szCs w:val="24"/>
          <w:lang w:val="en-US"/>
        </w:rPr>
      </w:pPr>
      <w:r>
        <w:rPr>
          <w:rFonts w:ascii="Times New Roman" w:eastAsia="Calibri" w:hAnsi="Times New Roman" w:cs="Times New Roman"/>
          <w:szCs w:val="24"/>
          <w:lang w:val="en-US"/>
        </w:rPr>
        <w:t>that the property in question no longer exists and can no longer be identified</w:t>
      </w:r>
    </w:p>
    <w:p w:rsidR="005A5130" w:rsidRDefault="00EF3A30">
      <w:pPr>
        <w:spacing w:after="0" w:line="240" w:lineRule="auto"/>
        <w:ind w:left="1286"/>
        <w:jc w:val="both"/>
        <w:rPr>
          <w:rFonts w:ascii="Times New Roman" w:eastAsia="Calibri" w:hAnsi="Times New Roman" w:cs="Times New Roman"/>
          <w:szCs w:val="24"/>
          <w:lang w:val="en-US"/>
        </w:rPr>
      </w:pPr>
      <w:r>
        <w:rPr>
          <w:rFonts w:ascii="Times New Roman" w:eastAsia="Calibri" w:hAnsi="Times New Roman" w:cs="Times New Roman"/>
          <w:szCs w:val="24"/>
          <w:lang w:val="en-US"/>
        </w:rPr>
        <w:t>(iii) that the respondent’s possession</w:t>
      </w:r>
      <w:r>
        <w:rPr>
          <w:rFonts w:ascii="Times New Roman" w:eastAsia="Calibri" w:hAnsi="Times New Roman" w:cs="Times New Roman"/>
          <w:szCs w:val="24"/>
          <w:lang w:val="en-US"/>
        </w:rPr>
        <w:t xml:space="preserve"> of such property is lawful</w:t>
      </w:r>
    </w:p>
    <w:p w:rsidR="005A5130" w:rsidRDefault="00EF3A30">
      <w:pPr>
        <w:spacing w:after="0" w:line="240" w:lineRule="auto"/>
        <w:ind w:left="1570" w:hanging="284"/>
        <w:jc w:val="both"/>
        <w:rPr>
          <w:rFonts w:ascii="Times New Roman" w:eastAsia="Calibri" w:hAnsi="Times New Roman" w:cs="Times New Roman"/>
          <w:szCs w:val="24"/>
          <w:lang w:val="en-US"/>
        </w:rPr>
      </w:pPr>
      <w:r>
        <w:rPr>
          <w:rFonts w:ascii="Times New Roman" w:eastAsia="Calibri" w:hAnsi="Times New Roman" w:cs="Times New Roman"/>
          <w:szCs w:val="24"/>
          <w:lang w:val="en-US"/>
        </w:rPr>
        <w:t>(iv) that the respondent is no longer in physical control of the property – See the cases</w:t>
      </w:r>
    </w:p>
    <w:p w:rsidR="005A5130" w:rsidRDefault="00EF3A30">
      <w:pPr>
        <w:spacing w:after="0" w:line="240" w:lineRule="auto"/>
        <w:ind w:left="1570" w:hanging="284"/>
        <w:jc w:val="both"/>
        <w:rPr>
          <w:rFonts w:ascii="Times New Roman" w:eastAsia="Calibri" w:hAnsi="Times New Roman" w:cs="Times New Roman"/>
          <w:i/>
          <w:szCs w:val="24"/>
          <w:lang w:val="en-US"/>
        </w:rPr>
      </w:pPr>
      <w:r>
        <w:rPr>
          <w:rFonts w:ascii="Times New Roman" w:eastAsia="Calibri" w:hAnsi="Times New Roman" w:cs="Times New Roman"/>
          <w:szCs w:val="24"/>
          <w:lang w:val="en-US"/>
        </w:rPr>
        <w:t xml:space="preserve">      of </w:t>
      </w:r>
      <w:r>
        <w:rPr>
          <w:rFonts w:ascii="Times New Roman" w:eastAsia="Calibri" w:hAnsi="Times New Roman" w:cs="Times New Roman"/>
          <w:i/>
          <w:szCs w:val="24"/>
          <w:lang w:val="en-US"/>
        </w:rPr>
        <w:t>Chetty v Naidoo</w:t>
      </w:r>
      <w:r>
        <w:rPr>
          <w:rFonts w:ascii="Times New Roman" w:eastAsia="Calibri" w:hAnsi="Times New Roman" w:cs="Times New Roman"/>
          <w:b/>
          <w:szCs w:val="24"/>
          <w:lang w:val="en-US"/>
        </w:rPr>
        <w:t xml:space="preserve"> </w:t>
      </w:r>
      <w:r>
        <w:rPr>
          <w:rFonts w:ascii="Times New Roman" w:eastAsia="Calibri" w:hAnsi="Times New Roman" w:cs="Times New Roman"/>
          <w:i/>
          <w:szCs w:val="24"/>
          <w:lang w:val="en-US"/>
        </w:rPr>
        <w:t>(supra)</w:t>
      </w:r>
      <w:r>
        <w:rPr>
          <w:rStyle w:val="FootnoteReference"/>
          <w:rFonts w:ascii="Times New Roman" w:eastAsia="Calibri" w:hAnsi="Times New Roman" w:cs="Times New Roman"/>
          <w:i/>
          <w:szCs w:val="24"/>
          <w:lang w:val="en-US"/>
        </w:rPr>
        <w:footnoteReference w:id="4"/>
      </w:r>
      <w:r>
        <w:rPr>
          <w:rFonts w:ascii="Times New Roman" w:eastAsia="Calibri" w:hAnsi="Times New Roman" w:cs="Times New Roman"/>
          <w:i/>
          <w:szCs w:val="24"/>
          <w:lang w:val="en-US"/>
        </w:rPr>
        <w:t xml:space="preserve"> and</w:t>
      </w:r>
      <w:r>
        <w:rPr>
          <w:rFonts w:ascii="Times New Roman" w:eastAsia="Calibri" w:hAnsi="Times New Roman" w:cs="Times New Roman"/>
          <w:b/>
          <w:szCs w:val="24"/>
          <w:lang w:val="en-US"/>
        </w:rPr>
        <w:t xml:space="preserve"> </w:t>
      </w:r>
      <w:r>
        <w:rPr>
          <w:rFonts w:ascii="Times New Roman" w:eastAsia="Calibri" w:hAnsi="Times New Roman" w:cs="Times New Roman"/>
          <w:i/>
          <w:szCs w:val="24"/>
          <w:lang w:val="en-US"/>
        </w:rPr>
        <w:t xml:space="preserve">Residents of Joe Slovo Community v Thabelisha Homes </w:t>
      </w:r>
      <w:r>
        <w:rPr>
          <w:rFonts w:ascii="Times New Roman" w:eastAsia="Calibri" w:hAnsi="Times New Roman" w:cs="Times New Roman"/>
          <w:szCs w:val="24"/>
          <w:lang w:val="en-US"/>
        </w:rPr>
        <w:t>2010 (3) SA 454 (CC).”</w:t>
      </w:r>
    </w:p>
    <w:p w:rsidR="005A5130" w:rsidRDefault="00EF3A3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  In </w:t>
      </w:r>
      <w:r>
        <w:rPr>
          <w:rFonts w:ascii="Times New Roman" w:hAnsi="Times New Roman" w:cs="Times New Roman"/>
          <w:i/>
          <w:sz w:val="24"/>
          <w:szCs w:val="24"/>
          <w:lang w:val="en-US"/>
        </w:rPr>
        <w:t>casu</w:t>
      </w:r>
      <w:r>
        <w:rPr>
          <w:rFonts w:ascii="Times New Roman" w:hAnsi="Times New Roman" w:cs="Times New Roman"/>
          <w:sz w:val="24"/>
          <w:szCs w:val="24"/>
          <w:lang w:val="en-US"/>
        </w:rPr>
        <w:t xml:space="preserve">, it is not in </w:t>
      </w:r>
      <w:r>
        <w:rPr>
          <w:rFonts w:ascii="Times New Roman" w:hAnsi="Times New Roman" w:cs="Times New Roman"/>
          <w:sz w:val="24"/>
          <w:szCs w:val="24"/>
          <w:lang w:val="en-US"/>
        </w:rPr>
        <w:t>dispute that the motor vehicle is registered in plaintiff’s name. While our law is clear that a registration book is not proof of ownership (</w:t>
      </w:r>
      <w:r>
        <w:rPr>
          <w:rFonts w:ascii="Times New Roman" w:hAnsi="Times New Roman" w:cs="Times New Roman"/>
          <w:i/>
          <w:sz w:val="24"/>
          <w:szCs w:val="24"/>
          <w:lang w:val="en-US"/>
        </w:rPr>
        <w:t xml:space="preserve">Air Zimbabwe (Pvt) Ltd </w:t>
      </w:r>
      <w:r>
        <w:rPr>
          <w:rFonts w:ascii="Times New Roman" w:hAnsi="Times New Roman" w:cs="Times New Roman"/>
          <w:sz w:val="24"/>
          <w:szCs w:val="24"/>
          <w:lang w:val="en-US"/>
        </w:rPr>
        <w:t xml:space="preserve">v </w:t>
      </w:r>
      <w:r>
        <w:rPr>
          <w:rFonts w:ascii="Times New Roman" w:hAnsi="Times New Roman" w:cs="Times New Roman"/>
          <w:i/>
          <w:sz w:val="24"/>
          <w:szCs w:val="24"/>
          <w:lang w:val="en-US"/>
        </w:rPr>
        <w:t xml:space="preserve">Nhuta &amp; Ors </w:t>
      </w:r>
      <w:r>
        <w:rPr>
          <w:rFonts w:ascii="Times New Roman" w:hAnsi="Times New Roman" w:cs="Times New Roman"/>
          <w:sz w:val="24"/>
          <w:szCs w:val="24"/>
          <w:lang w:val="en-US"/>
        </w:rPr>
        <w:t xml:space="preserve">2014 (2) ZLR 333 (S)), it is not denied that the plaintiff owned the vehicle. </w:t>
      </w:r>
      <w:r>
        <w:rPr>
          <w:rFonts w:ascii="Times New Roman" w:hAnsi="Times New Roman" w:cs="Times New Roman"/>
          <w:sz w:val="24"/>
          <w:szCs w:val="24"/>
          <w:lang w:val="en-US"/>
        </w:rPr>
        <w:t>It is also not in dispute that the motor vehicle is in the defendant’s possession. What is in contention is the current status of that ownership. The defendant’s submission is that the motor vehicle is now his following the 21 September 2022 retrenchment ‘</w:t>
      </w:r>
      <w:r>
        <w:rPr>
          <w:rFonts w:ascii="Times New Roman" w:hAnsi="Times New Roman" w:cs="Times New Roman"/>
          <w:sz w:val="24"/>
          <w:szCs w:val="24"/>
          <w:lang w:val="en-US"/>
        </w:rPr>
        <w:t xml:space="preserve">agreement’.  Properly construed, the 21 September agreement is the basis for the respondent’s ownership. </w:t>
      </w:r>
    </w:p>
    <w:p w:rsidR="005A5130" w:rsidRDefault="00EF3A3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At summary judgment, the task is to examine whether the defence forwarded by the defendant, that by virtue of the retrenchment ‘agreement’ dated 21 Se</w:t>
      </w:r>
      <w:r>
        <w:rPr>
          <w:rFonts w:ascii="Times New Roman" w:hAnsi="Times New Roman" w:cs="Times New Roman"/>
          <w:sz w:val="24"/>
          <w:szCs w:val="24"/>
        </w:rPr>
        <w:t xml:space="preserve">ptember 2022, he is now the owner of the motor vehicle, is plausible. </w:t>
      </w:r>
    </w:p>
    <w:p w:rsidR="005A5130" w:rsidRDefault="00EF3A3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My examination of the record shows that the defendant asserts that on 21 September 2022, a meeting transpired between the plaintiff and its employees, of which the defendant was a part </w:t>
      </w:r>
      <w:r>
        <w:rPr>
          <w:rFonts w:ascii="Times New Roman" w:hAnsi="Times New Roman" w:cs="Times New Roman"/>
          <w:sz w:val="24"/>
          <w:szCs w:val="24"/>
        </w:rPr>
        <w:t xml:space="preserve">of those employees.  In the meeting, an agreement was reached to finalise the retrenchment on the basis of proposals contained in a letter dated 31 August 2022 and co-signed by plaintiff’s representatives identified as </w:t>
      </w:r>
      <w:r>
        <w:rPr>
          <w:rFonts w:ascii="Times New Roman" w:hAnsi="Times New Roman" w:cs="Times New Roman"/>
          <w:i/>
          <w:iCs/>
          <w:sz w:val="24"/>
          <w:szCs w:val="24"/>
        </w:rPr>
        <w:t>Vimbayi Nyakudya</w:t>
      </w:r>
      <w:r>
        <w:rPr>
          <w:rFonts w:ascii="Times New Roman" w:hAnsi="Times New Roman" w:cs="Times New Roman"/>
          <w:sz w:val="24"/>
          <w:szCs w:val="24"/>
        </w:rPr>
        <w:t xml:space="preserve"> and </w:t>
      </w:r>
      <w:r>
        <w:rPr>
          <w:rFonts w:ascii="Times New Roman" w:hAnsi="Times New Roman" w:cs="Times New Roman"/>
          <w:i/>
          <w:iCs/>
          <w:sz w:val="24"/>
          <w:szCs w:val="24"/>
        </w:rPr>
        <w:t>Mbali Tshitenge.</w:t>
      </w:r>
      <w:r>
        <w:rPr>
          <w:rFonts w:ascii="Times New Roman" w:hAnsi="Times New Roman" w:cs="Times New Roman"/>
          <w:i/>
          <w:iCs/>
          <w:sz w:val="24"/>
          <w:szCs w:val="24"/>
        </w:rPr>
        <w:t xml:space="preserve">  </w:t>
      </w:r>
      <w:r>
        <w:rPr>
          <w:rFonts w:ascii="Times New Roman" w:hAnsi="Times New Roman" w:cs="Times New Roman"/>
          <w:sz w:val="24"/>
          <w:szCs w:val="24"/>
        </w:rPr>
        <w:t>Of particular relevance is paragraph 16 under the heading “Retrenchment package” of the 31 August 2022 letter, to the effect that:</w:t>
      </w:r>
    </w:p>
    <w:p w:rsidR="005A5130" w:rsidRDefault="00EF3A30">
      <w:pPr>
        <w:pStyle w:val="ListParagraph"/>
        <w:spacing w:line="240" w:lineRule="auto"/>
        <w:ind w:left="1440"/>
        <w:jc w:val="both"/>
        <w:rPr>
          <w:rFonts w:ascii="Times New Roman" w:hAnsi="Times New Roman" w:cs="Times New Roman"/>
        </w:rPr>
      </w:pPr>
      <w:r>
        <w:rPr>
          <w:rFonts w:ascii="Times New Roman" w:hAnsi="Times New Roman" w:cs="Times New Roman"/>
        </w:rPr>
        <w:t>“16. The company is amenable to disposing allocated motor vehicles at one third of the market value to employees.”</w:t>
      </w:r>
    </w:p>
    <w:p w:rsidR="005A5130" w:rsidRDefault="005A5130">
      <w:pPr>
        <w:pStyle w:val="ListParagraph"/>
        <w:spacing w:line="240" w:lineRule="auto"/>
        <w:jc w:val="both"/>
        <w:rPr>
          <w:rFonts w:ascii="Times New Roman" w:hAnsi="Times New Roman" w:cs="Times New Roman"/>
        </w:rPr>
      </w:pPr>
    </w:p>
    <w:p w:rsidR="005A5130" w:rsidRDefault="00EF3A3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From my</w:t>
      </w:r>
      <w:r>
        <w:rPr>
          <w:rFonts w:ascii="Times New Roman" w:hAnsi="Times New Roman" w:cs="Times New Roman"/>
          <w:sz w:val="24"/>
          <w:szCs w:val="24"/>
        </w:rPr>
        <w:t xml:space="preserve"> reading of the aforementioned paragraph, the plaintiff was amenable to selling its motor vehicles to the allocated employees. The defendant has not indicated that such a sale eventually took place. Further, on record is a letter dated 29 September 2022, f</w:t>
      </w:r>
      <w:r>
        <w:rPr>
          <w:rFonts w:ascii="Times New Roman" w:hAnsi="Times New Roman" w:cs="Times New Roman"/>
          <w:sz w:val="24"/>
          <w:szCs w:val="24"/>
        </w:rPr>
        <w:t xml:space="preserve">rom the plaintiff to counsel for the defendant, written following the 21 September 2022 meeting. Regarding motor vehicles, the letter states that- </w:t>
      </w:r>
    </w:p>
    <w:p w:rsidR="005A5130" w:rsidRDefault="00EF3A30">
      <w:pPr>
        <w:pStyle w:val="ListParagraph"/>
        <w:spacing w:line="240" w:lineRule="auto"/>
        <w:ind w:left="1440"/>
        <w:jc w:val="both"/>
        <w:rPr>
          <w:rFonts w:ascii="Times New Roman" w:hAnsi="Times New Roman" w:cs="Times New Roman"/>
        </w:rPr>
      </w:pPr>
      <w:r>
        <w:rPr>
          <w:rFonts w:ascii="Times New Roman" w:hAnsi="Times New Roman" w:cs="Times New Roman"/>
        </w:rPr>
        <w:t>“</w:t>
      </w:r>
      <w:r>
        <w:rPr>
          <w:rFonts w:ascii="Times New Roman" w:hAnsi="Times New Roman" w:cs="Times New Roman"/>
          <w:b/>
          <w:u w:val="single"/>
        </w:rPr>
        <w:t>Allocated Motor Vehicles</w:t>
      </w:r>
      <w:r>
        <w:rPr>
          <w:rFonts w:ascii="Times New Roman" w:hAnsi="Times New Roman" w:cs="Times New Roman"/>
        </w:rPr>
        <w:t xml:space="preserve"> </w:t>
      </w:r>
    </w:p>
    <w:p w:rsidR="005A5130" w:rsidRDefault="00EF3A30">
      <w:pPr>
        <w:pStyle w:val="ListParagraph"/>
        <w:spacing w:line="240" w:lineRule="auto"/>
        <w:ind w:left="1440"/>
        <w:jc w:val="both"/>
        <w:rPr>
          <w:rFonts w:ascii="Times New Roman" w:hAnsi="Times New Roman" w:cs="Times New Roman"/>
        </w:rPr>
      </w:pPr>
      <w:r>
        <w:rPr>
          <w:rFonts w:ascii="Times New Roman" w:hAnsi="Times New Roman" w:cs="Times New Roman"/>
        </w:rPr>
        <w:t xml:space="preserve">The eligible employees are entitled to purchase the Allocated Motor Vehicles at </w:t>
      </w:r>
      <w:r>
        <w:rPr>
          <w:rFonts w:ascii="Times New Roman" w:hAnsi="Times New Roman" w:cs="Times New Roman"/>
        </w:rPr>
        <w:t>80% of the Market Value as guided by the Board’s resolution dated 24 August 2022 on the disposal of such motor vehicles.”</w:t>
      </w:r>
    </w:p>
    <w:p w:rsidR="005A5130" w:rsidRDefault="00EF3A3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contents of this letter are clear. Eligible employees were entitled to purchase motor vehicles at 80% of the market value. What I </w:t>
      </w:r>
      <w:r>
        <w:rPr>
          <w:rFonts w:ascii="Times New Roman" w:hAnsi="Times New Roman" w:cs="Times New Roman"/>
          <w:sz w:val="24"/>
          <w:szCs w:val="24"/>
        </w:rPr>
        <w:t>find striking is that the defendant has not presented before the court that he indeed purchased the motor vehicle. It is my view that the defendant’s claim that he became the owner of the motor vehicle through the 21 September 2022 retrenchment ‘agreement’</w:t>
      </w:r>
      <w:r>
        <w:rPr>
          <w:rFonts w:ascii="Times New Roman" w:hAnsi="Times New Roman" w:cs="Times New Roman"/>
          <w:sz w:val="24"/>
          <w:szCs w:val="24"/>
        </w:rPr>
        <w:t xml:space="preserve"> has not been substantiated by solid facts. Besides making bare submissions that he acquired the motor vehicle by virtue of that </w:t>
      </w:r>
      <w:r>
        <w:rPr>
          <w:rFonts w:ascii="Times New Roman" w:hAnsi="Times New Roman" w:cs="Times New Roman"/>
          <w:sz w:val="24"/>
          <w:szCs w:val="24"/>
        </w:rPr>
        <w:lastRenderedPageBreak/>
        <w:t xml:space="preserve">retrenchment ‘agreement’, the defendant has not provided any sufficient information to enable this court to assess his defence </w:t>
      </w:r>
      <w:r>
        <w:rPr>
          <w:rFonts w:ascii="Times New Roman" w:hAnsi="Times New Roman" w:cs="Times New Roman"/>
          <w:sz w:val="24"/>
          <w:szCs w:val="24"/>
        </w:rPr>
        <w:t xml:space="preserve">that he then became the owner of the motor vehicle, following the expression of the plaintiff’s wish to dispose of the vehicles and the ensuing exchange of correspondences between the parties.  </w:t>
      </w:r>
    </w:p>
    <w:p w:rsidR="005A5130" w:rsidRDefault="00EF3A3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defendant has not taken this court into his confidence by</w:t>
      </w:r>
      <w:r>
        <w:rPr>
          <w:rFonts w:ascii="Times New Roman" w:hAnsi="Times New Roman" w:cs="Times New Roman"/>
          <w:sz w:val="24"/>
          <w:szCs w:val="24"/>
        </w:rPr>
        <w:t xml:space="preserve"> failing to show that further than the discussions in the letters, a transaction to activate and complete the proposals took place. The defendant has not clearly demonstrated that by virtue of the agreement to dispose of vehicles to its employees, the plai</w:t>
      </w:r>
      <w:r>
        <w:rPr>
          <w:rFonts w:ascii="Times New Roman" w:hAnsi="Times New Roman" w:cs="Times New Roman"/>
          <w:sz w:val="24"/>
          <w:szCs w:val="24"/>
        </w:rPr>
        <w:t xml:space="preserve">ntiff gave those employees the right to retain the vehicles or assume ownership of same on that basis alone. </w:t>
      </w:r>
    </w:p>
    <w:p w:rsidR="005A5130" w:rsidRDefault="00EF3A3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my judgment, I find that the possible defence set up by the defendant is not </w:t>
      </w:r>
      <w:r>
        <w:rPr>
          <w:rFonts w:ascii="Times New Roman" w:hAnsi="Times New Roman" w:cs="Times New Roman"/>
          <w:i/>
          <w:sz w:val="24"/>
          <w:szCs w:val="24"/>
        </w:rPr>
        <w:t>bona fide</w:t>
      </w:r>
      <w:r>
        <w:rPr>
          <w:rFonts w:ascii="Times New Roman" w:hAnsi="Times New Roman" w:cs="Times New Roman"/>
          <w:sz w:val="24"/>
          <w:szCs w:val="24"/>
        </w:rPr>
        <w:t xml:space="preserve">, and not plausible. The defendant is raising fictitious </w:t>
      </w:r>
      <w:r>
        <w:rPr>
          <w:rFonts w:ascii="Times New Roman" w:hAnsi="Times New Roman" w:cs="Times New Roman"/>
          <w:sz w:val="24"/>
          <w:szCs w:val="24"/>
        </w:rPr>
        <w:t>issues of fact only meant to delay the resolution of the dispute to the detriment of the plaintiff.  The defendant has no right of retention to the vehicle where there the employment contract has been terminated and the defendant is yet to purchase the veh</w:t>
      </w:r>
      <w:r>
        <w:rPr>
          <w:rFonts w:ascii="Times New Roman" w:hAnsi="Times New Roman" w:cs="Times New Roman"/>
          <w:sz w:val="24"/>
          <w:szCs w:val="24"/>
        </w:rPr>
        <w:t xml:space="preserve">icle but is challenging the terminal benefits arising from the retrenchment.  I conclude this discussion with the pertinent remarks made by the court in </w:t>
      </w:r>
      <w:r>
        <w:rPr>
          <w:rFonts w:ascii="Times New Roman" w:hAnsi="Times New Roman" w:cs="Times New Roman"/>
          <w:i/>
          <w:iCs/>
          <w:sz w:val="24"/>
          <w:szCs w:val="24"/>
        </w:rPr>
        <w:t xml:space="preserve">Medical Investments Limited </w:t>
      </w:r>
      <w:r>
        <w:rPr>
          <w:rFonts w:ascii="Times New Roman" w:hAnsi="Times New Roman" w:cs="Times New Roman"/>
          <w:sz w:val="24"/>
          <w:szCs w:val="24"/>
        </w:rPr>
        <w:t xml:space="preserve">v </w:t>
      </w:r>
      <w:r>
        <w:rPr>
          <w:rFonts w:ascii="Times New Roman" w:hAnsi="Times New Roman" w:cs="Times New Roman"/>
          <w:i/>
          <w:iCs/>
          <w:sz w:val="24"/>
          <w:szCs w:val="24"/>
        </w:rPr>
        <w:t xml:space="preserve">Pedzisayi </w:t>
      </w:r>
      <w:r>
        <w:rPr>
          <w:rFonts w:ascii="Times New Roman" w:hAnsi="Times New Roman" w:cs="Times New Roman"/>
          <w:sz w:val="24"/>
          <w:szCs w:val="24"/>
        </w:rPr>
        <w:t xml:space="preserve">2010 (1) ZLR 111 (H) at 116A-B that; </w:t>
      </w:r>
    </w:p>
    <w:p w:rsidR="005A5130" w:rsidRDefault="00EF3A30">
      <w:pPr>
        <w:pStyle w:val="ListParagraph"/>
        <w:spacing w:line="240" w:lineRule="auto"/>
        <w:ind w:left="1440"/>
        <w:jc w:val="both"/>
        <w:rPr>
          <w:rFonts w:ascii="Times New Roman" w:hAnsi="Times New Roman" w:cs="Times New Roman"/>
        </w:rPr>
      </w:pPr>
      <w:r>
        <w:rPr>
          <w:rFonts w:ascii="Times New Roman" w:hAnsi="Times New Roman" w:cs="Times New Roman"/>
        </w:rPr>
        <w:t xml:space="preserve">“I am unaware of any law </w:t>
      </w:r>
      <w:r>
        <w:rPr>
          <w:rFonts w:ascii="Times New Roman" w:hAnsi="Times New Roman" w:cs="Times New Roman"/>
        </w:rPr>
        <w:t xml:space="preserve">that entitles a prospective purchaser to have possession of the </w:t>
      </w:r>
      <w:r>
        <w:rPr>
          <w:rFonts w:ascii="Times New Roman" w:hAnsi="Times New Roman" w:cs="Times New Roman"/>
          <w:i/>
        </w:rPr>
        <w:t>merx</w:t>
      </w:r>
      <w:r>
        <w:rPr>
          <w:rFonts w:ascii="Times New Roman" w:hAnsi="Times New Roman" w:cs="Times New Roman"/>
        </w:rPr>
        <w:t xml:space="preserve"> against the wishes of the seller, prior to delivery of the </w:t>
      </w:r>
      <w:r>
        <w:rPr>
          <w:rFonts w:ascii="Times New Roman" w:hAnsi="Times New Roman" w:cs="Times New Roman"/>
          <w:i/>
        </w:rPr>
        <w:t>merx</w:t>
      </w:r>
      <w:r>
        <w:rPr>
          <w:rFonts w:ascii="Times New Roman" w:hAnsi="Times New Roman" w:cs="Times New Roman"/>
        </w:rPr>
        <w:t xml:space="preserve"> in terms of the sale agreement”.</w:t>
      </w:r>
    </w:p>
    <w:p w:rsidR="005A5130" w:rsidRDefault="00EF3A3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 find that on the basis of the papers before me, the defendant cannot escape summary judg</w:t>
      </w:r>
      <w:r>
        <w:rPr>
          <w:rFonts w:ascii="Times New Roman" w:hAnsi="Times New Roman" w:cs="Times New Roman"/>
          <w:sz w:val="24"/>
          <w:szCs w:val="24"/>
        </w:rPr>
        <w:t xml:space="preserve">ment. </w:t>
      </w:r>
    </w:p>
    <w:p w:rsidR="005A5130" w:rsidRDefault="00EF3A30">
      <w:pPr>
        <w:pStyle w:val="ListParagraph"/>
        <w:spacing w:line="360" w:lineRule="auto"/>
        <w:ind w:left="426"/>
        <w:jc w:val="both"/>
        <w:rPr>
          <w:rFonts w:ascii="Times New Roman" w:hAnsi="Times New Roman" w:cs="Times New Roman"/>
          <w:b/>
          <w:sz w:val="24"/>
          <w:szCs w:val="24"/>
          <w:u w:val="single"/>
        </w:rPr>
      </w:pPr>
      <w:r>
        <w:rPr>
          <w:rFonts w:ascii="Times New Roman" w:hAnsi="Times New Roman" w:cs="Times New Roman"/>
          <w:b/>
          <w:sz w:val="24"/>
          <w:szCs w:val="24"/>
          <w:u w:val="single"/>
        </w:rPr>
        <w:t>DISPOSITION</w:t>
      </w:r>
    </w:p>
    <w:p w:rsidR="005A5130" w:rsidRDefault="00EF3A3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view of the foregoing, it is ordered that; </w:t>
      </w:r>
    </w:p>
    <w:p w:rsidR="005A5130" w:rsidRDefault="00EF3A30">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for summary judgment be and is hereby granted. </w:t>
      </w:r>
    </w:p>
    <w:p w:rsidR="005A5130" w:rsidRDefault="00EF3A30">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Summary judgment be and is hereby entered in favour of the plaintiff and against the defendant as follows:</w:t>
      </w:r>
    </w:p>
    <w:p w:rsidR="005A5130" w:rsidRDefault="00EF3A30">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defendant deliv</w:t>
      </w:r>
      <w:r>
        <w:rPr>
          <w:rFonts w:ascii="Times New Roman" w:hAnsi="Times New Roman" w:cs="Times New Roman"/>
          <w:sz w:val="24"/>
          <w:szCs w:val="24"/>
        </w:rPr>
        <w:t xml:space="preserve">ers a Ford Ranger registration number AEF 7621 to the plaintiff’s business address within forty-eight (48) hours of this Order. </w:t>
      </w:r>
    </w:p>
    <w:p w:rsidR="005A5130" w:rsidRDefault="00EF3A30">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In the event that the defendant fails to comply with the order in (i) above, the Sheriff be and is hereby empowered to seize th</w:t>
      </w:r>
      <w:r>
        <w:rPr>
          <w:rFonts w:ascii="Times New Roman" w:hAnsi="Times New Roman" w:cs="Times New Roman"/>
          <w:sz w:val="24"/>
          <w:szCs w:val="24"/>
        </w:rPr>
        <w:t>e motor vehicle referred to in (i) above from the defendant without notice.</w:t>
      </w:r>
    </w:p>
    <w:p w:rsidR="005A5130" w:rsidRDefault="00EF3A30">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defendant shall pay costs of suit.</w:t>
      </w:r>
    </w:p>
    <w:p w:rsidR="005A5130" w:rsidRDefault="005A5130">
      <w:pPr>
        <w:spacing w:line="360" w:lineRule="auto"/>
        <w:jc w:val="both"/>
        <w:rPr>
          <w:rFonts w:ascii="Times New Roman" w:hAnsi="Times New Roman" w:cs="Times New Roman"/>
          <w:sz w:val="24"/>
          <w:szCs w:val="24"/>
        </w:rPr>
      </w:pPr>
    </w:p>
    <w:p w:rsidR="005A5130" w:rsidRDefault="00EF3A30">
      <w:pPr>
        <w:spacing w:after="0" w:line="240" w:lineRule="auto"/>
        <w:jc w:val="both"/>
        <w:rPr>
          <w:rFonts w:ascii="Times New Roman" w:hAnsi="Times New Roman" w:cs="Times New Roman"/>
          <w:sz w:val="24"/>
          <w:szCs w:val="24"/>
        </w:rPr>
      </w:pPr>
      <w:r>
        <w:rPr>
          <w:rFonts w:ascii="Times New Roman" w:hAnsi="Times New Roman" w:cs="Times New Roman"/>
          <w:b/>
          <w:bCs/>
          <w:smallCaps/>
          <w:sz w:val="24"/>
          <w:szCs w:val="24"/>
        </w:rPr>
        <w:t>Mushure J</w:t>
      </w:r>
      <w:r>
        <w:rPr>
          <w:rFonts w:ascii="Times New Roman" w:hAnsi="Times New Roman" w:cs="Times New Roman"/>
          <w:sz w:val="24"/>
          <w:szCs w:val="24"/>
        </w:rPr>
        <w:t>: .................................................................</w:t>
      </w:r>
    </w:p>
    <w:p w:rsidR="005A5130" w:rsidRDefault="005A5130">
      <w:pPr>
        <w:spacing w:after="0" w:line="240" w:lineRule="auto"/>
        <w:jc w:val="both"/>
        <w:rPr>
          <w:rFonts w:ascii="Times New Roman" w:hAnsi="Times New Roman" w:cs="Times New Roman"/>
          <w:sz w:val="24"/>
          <w:szCs w:val="24"/>
        </w:rPr>
      </w:pPr>
    </w:p>
    <w:p w:rsidR="005A5130" w:rsidRDefault="005A5130">
      <w:pPr>
        <w:spacing w:after="0" w:line="240" w:lineRule="auto"/>
        <w:jc w:val="both"/>
        <w:rPr>
          <w:rFonts w:ascii="Times New Roman" w:hAnsi="Times New Roman" w:cs="Times New Roman"/>
          <w:sz w:val="24"/>
          <w:szCs w:val="24"/>
        </w:rPr>
      </w:pPr>
    </w:p>
    <w:p w:rsidR="005A5130" w:rsidRDefault="00EF3A3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Maguchu &amp; Muchada</w:t>
      </w:r>
      <w:r>
        <w:rPr>
          <w:rFonts w:ascii="Times New Roman" w:hAnsi="Times New Roman" w:cs="Times New Roman"/>
          <w:sz w:val="24"/>
          <w:szCs w:val="24"/>
        </w:rPr>
        <w:t>, plaintiff’s legal practitioners</w:t>
      </w:r>
    </w:p>
    <w:p w:rsidR="005A5130" w:rsidRDefault="00EF3A3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Lovemore M</w:t>
      </w:r>
      <w:r>
        <w:rPr>
          <w:rFonts w:ascii="Times New Roman" w:hAnsi="Times New Roman" w:cs="Times New Roman"/>
          <w:i/>
          <w:sz w:val="24"/>
          <w:szCs w:val="24"/>
        </w:rPr>
        <w:t>adhuku Lawyers</w:t>
      </w:r>
      <w:r>
        <w:rPr>
          <w:rFonts w:ascii="Times New Roman" w:hAnsi="Times New Roman" w:cs="Times New Roman"/>
          <w:sz w:val="24"/>
          <w:szCs w:val="24"/>
        </w:rPr>
        <w:t xml:space="preserve">, defendant’s legal practitioners </w:t>
      </w:r>
    </w:p>
    <w:p w:rsidR="005A5130" w:rsidRDefault="005A5130">
      <w:pPr>
        <w:spacing w:after="0" w:line="360" w:lineRule="auto"/>
        <w:jc w:val="both"/>
        <w:rPr>
          <w:rFonts w:ascii="Times New Roman" w:hAnsi="Times New Roman" w:cs="Times New Roman"/>
          <w:sz w:val="24"/>
          <w:szCs w:val="24"/>
          <w:lang w:val="en-US"/>
        </w:rPr>
      </w:pPr>
    </w:p>
    <w:sectPr w:rsidR="005A5130">
      <w:headerReference w:type="default" r:id="rId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A30" w:rsidRDefault="00EF3A30">
      <w:pPr>
        <w:spacing w:line="240" w:lineRule="auto"/>
      </w:pPr>
      <w:r>
        <w:separator/>
      </w:r>
    </w:p>
  </w:endnote>
  <w:endnote w:type="continuationSeparator" w:id="0">
    <w:p w:rsidR="00EF3A30" w:rsidRDefault="00EF3A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A30" w:rsidRDefault="00EF3A30">
      <w:pPr>
        <w:spacing w:after="0"/>
      </w:pPr>
      <w:r>
        <w:separator/>
      </w:r>
    </w:p>
  </w:footnote>
  <w:footnote w:type="continuationSeparator" w:id="0">
    <w:p w:rsidR="00EF3A30" w:rsidRDefault="00EF3A30">
      <w:pPr>
        <w:spacing w:after="0"/>
      </w:pPr>
      <w:r>
        <w:continuationSeparator/>
      </w:r>
    </w:p>
  </w:footnote>
  <w:footnote w:id="1">
    <w:p w:rsidR="005A5130" w:rsidRDefault="00EF3A30">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
        </w:rPr>
        <w:t>Pitchford Investments (Pvt) Ltd</w:t>
      </w:r>
      <w:r>
        <w:rPr>
          <w:rFonts w:ascii="Times New Roman" w:hAnsi="Times New Roman" w:cs="Times New Roman"/>
        </w:rPr>
        <w:t xml:space="preserve"> v </w:t>
      </w:r>
      <w:r>
        <w:rPr>
          <w:rFonts w:ascii="Times New Roman" w:hAnsi="Times New Roman" w:cs="Times New Roman"/>
          <w:i/>
        </w:rPr>
        <w:t>Muzari</w:t>
      </w:r>
      <w:r>
        <w:rPr>
          <w:rFonts w:ascii="Times New Roman" w:hAnsi="Times New Roman" w:cs="Times New Roman"/>
        </w:rPr>
        <w:t xml:space="preserve"> 2005 (1) ZLR 1 (H) at p.1D.  </w:t>
      </w:r>
    </w:p>
  </w:footnote>
  <w:footnote w:id="2">
    <w:p w:rsidR="005A5130" w:rsidRDefault="00EF3A30">
      <w:pPr>
        <w:pStyle w:val="FootnoteText"/>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lang w:val="en-GB"/>
        </w:rPr>
        <w:t xml:space="preserve">Zimplastics (Pvt) Ltd </w:t>
      </w:r>
      <w:r>
        <w:rPr>
          <w:rFonts w:ascii="Times New Roman" w:hAnsi="Times New Roman" w:cs="Times New Roman"/>
          <w:lang w:val="en-GB"/>
        </w:rPr>
        <w:t>v</w:t>
      </w:r>
      <w:r>
        <w:rPr>
          <w:rFonts w:ascii="Times New Roman" w:hAnsi="Times New Roman" w:cs="Times New Roman"/>
          <w:i/>
          <w:lang w:val="en-GB"/>
        </w:rPr>
        <w:t xml:space="preserve"> Corbett</w:t>
      </w:r>
      <w:r>
        <w:rPr>
          <w:rFonts w:ascii="Times New Roman" w:hAnsi="Times New Roman" w:cs="Times New Roman"/>
          <w:lang w:val="en-GB"/>
        </w:rPr>
        <w:t xml:space="preserve"> 2014 (1) ZLR 68 (H) at p.75F</w:t>
      </w:r>
    </w:p>
  </w:footnote>
  <w:footnote w:id="3">
    <w:p w:rsidR="005A5130" w:rsidRDefault="00EF3A30">
      <w:pPr>
        <w:pStyle w:val="FootnoteText"/>
      </w:pPr>
      <w:r>
        <w:rPr>
          <w:rStyle w:val="FootnoteReference"/>
        </w:rPr>
        <w:footnoteRef/>
      </w:r>
      <w:r>
        <w:t xml:space="preserve"> </w:t>
      </w:r>
      <w:r>
        <w:rPr>
          <w:rFonts w:ascii="Times New Roman" w:hAnsi="Times New Roman" w:cs="Times New Roman"/>
          <w:i/>
        </w:rPr>
        <w:t>Hamtex Investments (Pvt) Ltd</w:t>
      </w:r>
      <w:r>
        <w:rPr>
          <w:rFonts w:ascii="Times New Roman" w:hAnsi="Times New Roman" w:cs="Times New Roman"/>
        </w:rPr>
        <w:t xml:space="preserve"> </w:t>
      </w:r>
      <w:r>
        <w:rPr>
          <w:rFonts w:ascii="Times New Roman" w:hAnsi="Times New Roman" w:cs="Times New Roman"/>
          <w:iCs/>
        </w:rPr>
        <w:t>v</w:t>
      </w:r>
      <w:r>
        <w:rPr>
          <w:rFonts w:ascii="Times New Roman" w:hAnsi="Times New Roman" w:cs="Times New Roman"/>
          <w:i/>
          <w:iCs/>
        </w:rPr>
        <w:t xml:space="preserve"> </w:t>
      </w:r>
      <w:r>
        <w:rPr>
          <w:rFonts w:ascii="Times New Roman" w:hAnsi="Times New Roman" w:cs="Times New Roman"/>
          <w:i/>
        </w:rPr>
        <w:t>King</w:t>
      </w:r>
      <w:r>
        <w:rPr>
          <w:rFonts w:ascii="Times New Roman" w:hAnsi="Times New Roman" w:cs="Times New Roman"/>
        </w:rPr>
        <w:t xml:space="preserve"> 2012 (2) ZLR 334 (H) at 335B-C</w:t>
      </w:r>
      <w:r>
        <w:rPr>
          <w:rFonts w:ascii="Times New Roman" w:hAnsi="Times New Roman" w:cs="Times New Roman"/>
          <w:sz w:val="24"/>
          <w:szCs w:val="24"/>
        </w:rPr>
        <w:t xml:space="preserve"> </w:t>
      </w:r>
    </w:p>
  </w:footnote>
  <w:footnote w:id="4">
    <w:p w:rsidR="005A5130" w:rsidRDefault="00EF3A30">
      <w:pPr>
        <w:pStyle w:val="FootnoteText"/>
      </w:pPr>
      <w:r>
        <w:rPr>
          <w:rStyle w:val="FootnoteReference"/>
        </w:rPr>
        <w:footnoteRef/>
      </w:r>
      <w:r>
        <w:t xml:space="preserve"> 1974 (3) SA 13 (A)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4109"/>
      <w:docPartObj>
        <w:docPartGallery w:val="AutoText"/>
      </w:docPartObj>
    </w:sdtPr>
    <w:sdtEndPr/>
    <w:sdtContent>
      <w:p w:rsidR="005A5130" w:rsidRDefault="00EF3A30">
        <w:pPr>
          <w:pStyle w:val="Header"/>
          <w:jc w:val="right"/>
        </w:pPr>
        <w:r>
          <w:fldChar w:fldCharType="begin"/>
        </w:r>
        <w:r>
          <w:instrText xml:space="preserve"> PAGE   \* MERGEFORMAT </w:instrText>
        </w:r>
        <w:r>
          <w:fldChar w:fldCharType="separate"/>
        </w:r>
        <w:r w:rsidR="00A94123">
          <w:rPr>
            <w:noProof/>
          </w:rPr>
          <w:t>2</w:t>
        </w:r>
        <w:r>
          <w:fldChar w:fldCharType="end"/>
        </w:r>
      </w:p>
      <w:p w:rsidR="005A5130" w:rsidRDefault="00A94123">
        <w:pPr>
          <w:pStyle w:val="Header"/>
          <w:jc w:val="right"/>
          <w:rPr>
            <w:lang w:val="en-US"/>
          </w:rPr>
        </w:pPr>
        <w:r>
          <w:rPr>
            <w:lang w:val="en-US"/>
          </w:rPr>
          <w:t>HH279-</w:t>
        </w:r>
        <w:r w:rsidR="00EF3A30">
          <w:rPr>
            <w:lang w:val="en-US"/>
          </w:rPr>
          <w:t>25</w:t>
        </w:r>
      </w:p>
      <w:p w:rsidR="005A5130" w:rsidRDefault="00EF3A30">
        <w:pPr>
          <w:pStyle w:val="Header"/>
          <w:jc w:val="right"/>
        </w:pPr>
        <w:r>
          <w:t>HCH993/23</w:t>
        </w:r>
      </w:p>
    </w:sdtContent>
  </w:sdt>
  <w:p w:rsidR="005A5130" w:rsidRDefault="005A513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E7028"/>
    <w:multiLevelType w:val="multilevel"/>
    <w:tmpl w:val="169E70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902153"/>
    <w:multiLevelType w:val="multilevel"/>
    <w:tmpl w:val="26902153"/>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44A06528"/>
    <w:multiLevelType w:val="multilevel"/>
    <w:tmpl w:val="44A06528"/>
    <w:lvl w:ilvl="0">
      <w:start w:val="1"/>
      <w:numFmt w:val="lowerRoman"/>
      <w:lvlText w:val="(%1)"/>
      <w:lvlJc w:val="left"/>
      <w:pPr>
        <w:ind w:left="1713" w:hanging="720"/>
      </w:pPr>
      <w:rPr>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 w15:restartNumberingAfterBreak="0">
    <w:nsid w:val="5D414F6D"/>
    <w:multiLevelType w:val="multilevel"/>
    <w:tmpl w:val="5D414F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4720B04"/>
    <w:multiLevelType w:val="multilevel"/>
    <w:tmpl w:val="74720B04"/>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1B1"/>
    <w:rsid w:val="00000FDA"/>
    <w:rsid w:val="0001023A"/>
    <w:rsid w:val="00011DB8"/>
    <w:rsid w:val="0002225D"/>
    <w:rsid w:val="000477E5"/>
    <w:rsid w:val="00050FAA"/>
    <w:rsid w:val="00074128"/>
    <w:rsid w:val="00082254"/>
    <w:rsid w:val="000A5182"/>
    <w:rsid w:val="000E08C7"/>
    <w:rsid w:val="000E1180"/>
    <w:rsid w:val="000E45B5"/>
    <w:rsid w:val="001268B2"/>
    <w:rsid w:val="00126B72"/>
    <w:rsid w:val="00152903"/>
    <w:rsid w:val="00155782"/>
    <w:rsid w:val="001C2E6D"/>
    <w:rsid w:val="00221DA7"/>
    <w:rsid w:val="002471B1"/>
    <w:rsid w:val="00252CE8"/>
    <w:rsid w:val="00257DF1"/>
    <w:rsid w:val="002A0913"/>
    <w:rsid w:val="003016E4"/>
    <w:rsid w:val="003032EC"/>
    <w:rsid w:val="00307A45"/>
    <w:rsid w:val="00367719"/>
    <w:rsid w:val="00372E29"/>
    <w:rsid w:val="00384CBC"/>
    <w:rsid w:val="00394727"/>
    <w:rsid w:val="003E1F74"/>
    <w:rsid w:val="003F3653"/>
    <w:rsid w:val="00421C1A"/>
    <w:rsid w:val="0044383A"/>
    <w:rsid w:val="00455DFA"/>
    <w:rsid w:val="004C037C"/>
    <w:rsid w:val="004C2EAF"/>
    <w:rsid w:val="004D03EF"/>
    <w:rsid w:val="00504E07"/>
    <w:rsid w:val="00527770"/>
    <w:rsid w:val="00543189"/>
    <w:rsid w:val="005507B6"/>
    <w:rsid w:val="00571559"/>
    <w:rsid w:val="00581E85"/>
    <w:rsid w:val="005A5130"/>
    <w:rsid w:val="005D3E1B"/>
    <w:rsid w:val="005F5308"/>
    <w:rsid w:val="0062048C"/>
    <w:rsid w:val="00625DAE"/>
    <w:rsid w:val="0064385C"/>
    <w:rsid w:val="0065114D"/>
    <w:rsid w:val="00653194"/>
    <w:rsid w:val="00690AE3"/>
    <w:rsid w:val="006922EE"/>
    <w:rsid w:val="006B4C33"/>
    <w:rsid w:val="006B56FE"/>
    <w:rsid w:val="006C4EAB"/>
    <w:rsid w:val="006F0955"/>
    <w:rsid w:val="007000EA"/>
    <w:rsid w:val="00743D55"/>
    <w:rsid w:val="00786A2B"/>
    <w:rsid w:val="0079477D"/>
    <w:rsid w:val="007A0E2D"/>
    <w:rsid w:val="007D607A"/>
    <w:rsid w:val="007E0B2A"/>
    <w:rsid w:val="0080379A"/>
    <w:rsid w:val="0080457D"/>
    <w:rsid w:val="00861D63"/>
    <w:rsid w:val="00863EC3"/>
    <w:rsid w:val="0087301E"/>
    <w:rsid w:val="00890D8E"/>
    <w:rsid w:val="008A4122"/>
    <w:rsid w:val="008F4D3F"/>
    <w:rsid w:val="00926987"/>
    <w:rsid w:val="009419FF"/>
    <w:rsid w:val="009761E8"/>
    <w:rsid w:val="0098160A"/>
    <w:rsid w:val="00987BB6"/>
    <w:rsid w:val="009B3BC5"/>
    <w:rsid w:val="009B5D0C"/>
    <w:rsid w:val="009F4B80"/>
    <w:rsid w:val="00A0668D"/>
    <w:rsid w:val="00A407DB"/>
    <w:rsid w:val="00A44EB8"/>
    <w:rsid w:val="00A80490"/>
    <w:rsid w:val="00A94123"/>
    <w:rsid w:val="00AD228A"/>
    <w:rsid w:val="00AD5B51"/>
    <w:rsid w:val="00AE07D2"/>
    <w:rsid w:val="00AE5883"/>
    <w:rsid w:val="00AF4FC6"/>
    <w:rsid w:val="00B5112F"/>
    <w:rsid w:val="00B72B45"/>
    <w:rsid w:val="00BB1F39"/>
    <w:rsid w:val="00BF7D55"/>
    <w:rsid w:val="00C06FFA"/>
    <w:rsid w:val="00C4166F"/>
    <w:rsid w:val="00C43CBA"/>
    <w:rsid w:val="00C50100"/>
    <w:rsid w:val="00C61F10"/>
    <w:rsid w:val="00C82C26"/>
    <w:rsid w:val="00CA5783"/>
    <w:rsid w:val="00CB5F87"/>
    <w:rsid w:val="00CE27A0"/>
    <w:rsid w:val="00CF2CD1"/>
    <w:rsid w:val="00D03E6F"/>
    <w:rsid w:val="00D0508E"/>
    <w:rsid w:val="00D1312E"/>
    <w:rsid w:val="00D77951"/>
    <w:rsid w:val="00D82CCA"/>
    <w:rsid w:val="00D83496"/>
    <w:rsid w:val="00D95812"/>
    <w:rsid w:val="00DB6B9A"/>
    <w:rsid w:val="00DB792F"/>
    <w:rsid w:val="00E4512E"/>
    <w:rsid w:val="00E669D3"/>
    <w:rsid w:val="00E77A8D"/>
    <w:rsid w:val="00EC6256"/>
    <w:rsid w:val="00EE656F"/>
    <w:rsid w:val="00EF3A30"/>
    <w:rsid w:val="00F02870"/>
    <w:rsid w:val="00F04CE5"/>
    <w:rsid w:val="00F052E5"/>
    <w:rsid w:val="00F145DE"/>
    <w:rsid w:val="00F17528"/>
    <w:rsid w:val="00F20ADC"/>
    <w:rsid w:val="00F34262"/>
    <w:rsid w:val="00F41B52"/>
    <w:rsid w:val="00F642E9"/>
    <w:rsid w:val="00F74283"/>
    <w:rsid w:val="00FB2B7F"/>
    <w:rsid w:val="05D84CA5"/>
    <w:rsid w:val="1D6406C5"/>
    <w:rsid w:val="25E0762E"/>
    <w:rsid w:val="2AF41C9A"/>
    <w:rsid w:val="3DEC38A8"/>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908F33"/>
  <w15:docId w15:val="{761501C2-1D50-488E-878D-AC0996FF6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B5CEC-5956-4F81-9BA9-B8A85AA65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3103</Words>
  <Characters>17693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Faith Mushure</dc:creator>
  <cp:lastModifiedBy>JSC</cp:lastModifiedBy>
  <cp:revision>2</cp:revision>
  <dcterms:created xsi:type="dcterms:W3CDTF">2025-05-02T08:54:00Z</dcterms:created>
  <dcterms:modified xsi:type="dcterms:W3CDTF">2025-05-02T08:54:00Z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c843e8a0-79e0-4ade-a425-451d0642c7c4</vt:lpwstr>
  </property>
  <property fmtid="{D5CDD505-2E9C-101B-9397-08002B2CF9AE}" pid="3" name="KSOProductBuildVer">
    <vt:lpwstr>1033-12.2.0.20795</vt:lpwstr>
  </property>
  <property fmtid="{D5CDD505-2E9C-101B-9397-08002B2CF9AE}" pid="4" name="ICV">
    <vt:lpwstr>6170D8B4D5454625882C028858390F62_12</vt:lpwstr>
  </property>
</Properties>
</file>