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1" w:type="dxa"/>
        <w:tblBorders>
          <w:bottom w:val="single" w:sz="6" w:space="0" w:color="auto"/>
        </w:tblBorders>
        <w:tblLayout w:type="fixed"/>
        <w:tblLook w:val="0000" w:firstRow="0" w:lastRow="0" w:firstColumn="0" w:lastColumn="0" w:noHBand="0" w:noVBand="0"/>
      </w:tblPr>
      <w:tblGrid>
        <w:gridCol w:w="3896"/>
        <w:gridCol w:w="1491"/>
        <w:gridCol w:w="4394"/>
      </w:tblGrid>
      <w:tr w:rsidR="005A4D7A" w14:paraId="11BD64B9" w14:textId="77777777" w:rsidTr="00150076">
        <w:trPr>
          <w:trHeight w:val="68"/>
        </w:trPr>
        <w:tc>
          <w:tcPr>
            <w:tcW w:w="3896" w:type="dxa"/>
            <w:tcBorders>
              <w:bottom w:val="nil"/>
            </w:tcBorders>
          </w:tcPr>
          <w:p w14:paraId="3BB8C20C" w14:textId="77777777" w:rsidR="005A4D7A" w:rsidRDefault="005A4D7A" w:rsidP="009A35C7">
            <w:pPr>
              <w:tabs>
                <w:tab w:val="left" w:pos="1134"/>
                <w:tab w:val="left" w:pos="1276"/>
                <w:tab w:val="left" w:pos="1560"/>
                <w:tab w:val="center" w:pos="4395"/>
                <w:tab w:val="right" w:pos="8505"/>
              </w:tabs>
              <w:spacing w:line="360" w:lineRule="auto"/>
              <w:jc w:val="both"/>
              <w:rPr>
                <w:b/>
              </w:rPr>
            </w:pPr>
            <w:bookmarkStart w:id="0" w:name="_GoBack"/>
            <w:bookmarkEnd w:id="0"/>
          </w:p>
        </w:tc>
        <w:tc>
          <w:tcPr>
            <w:tcW w:w="1491" w:type="dxa"/>
            <w:tcBorders>
              <w:bottom w:val="nil"/>
            </w:tcBorders>
          </w:tcPr>
          <w:p w14:paraId="39F909B8" w14:textId="77777777" w:rsidR="005A4D7A" w:rsidRDefault="005A4D7A" w:rsidP="009A35C7">
            <w:pPr>
              <w:tabs>
                <w:tab w:val="center" w:pos="4395"/>
                <w:tab w:val="right" w:pos="8505"/>
              </w:tabs>
              <w:spacing w:line="360" w:lineRule="auto"/>
              <w:jc w:val="both"/>
              <w:rPr>
                <w:sz w:val="19"/>
              </w:rPr>
            </w:pPr>
          </w:p>
        </w:tc>
        <w:tc>
          <w:tcPr>
            <w:tcW w:w="4394" w:type="dxa"/>
            <w:tcBorders>
              <w:bottom w:val="nil"/>
            </w:tcBorders>
          </w:tcPr>
          <w:p w14:paraId="21F6BD00" w14:textId="77777777" w:rsidR="005A4D7A" w:rsidRDefault="005A4D7A" w:rsidP="009A35C7">
            <w:pPr>
              <w:tabs>
                <w:tab w:val="center" w:pos="4395"/>
                <w:tab w:val="right" w:pos="8505"/>
              </w:tabs>
              <w:spacing w:line="360" w:lineRule="auto"/>
              <w:jc w:val="both"/>
              <w:rPr>
                <w:b/>
                <w:sz w:val="19"/>
              </w:rPr>
            </w:pPr>
          </w:p>
        </w:tc>
      </w:tr>
    </w:tbl>
    <w:p w14:paraId="68AAC8C3" w14:textId="7AE4CC22" w:rsidR="002F1AA2" w:rsidRDefault="003024FA" w:rsidP="002F1AA2">
      <w:pPr>
        <w:jc w:val="both"/>
      </w:pPr>
      <w:r>
        <w:t>BAKERS TRANSPORT (PROPRIETARY) LIMITED</w:t>
      </w:r>
    </w:p>
    <w:p w14:paraId="540FBAA3" w14:textId="275E1A68" w:rsidR="002912A6" w:rsidRDefault="00B51E62" w:rsidP="002F1AA2">
      <w:pPr>
        <w:jc w:val="both"/>
      </w:pPr>
      <w:r>
        <w:t>v</w:t>
      </w:r>
      <w:r w:rsidR="006358B4">
        <w:t>ersus</w:t>
      </w:r>
    </w:p>
    <w:p w14:paraId="7A77D049" w14:textId="77777777" w:rsidR="00472847" w:rsidRPr="00804E6A" w:rsidRDefault="00472847" w:rsidP="002F1AA2">
      <w:pPr>
        <w:jc w:val="both"/>
        <w:rPr>
          <w:sz w:val="8"/>
          <w:szCs w:val="8"/>
        </w:rPr>
      </w:pPr>
    </w:p>
    <w:p w14:paraId="617E6EE3" w14:textId="77777777" w:rsidR="002912A6" w:rsidRDefault="003024FA" w:rsidP="002F1AA2">
      <w:pPr>
        <w:jc w:val="both"/>
      </w:pPr>
      <w:r>
        <w:t>ZIMBABWE REVENUE AUTHORITY</w:t>
      </w:r>
    </w:p>
    <w:p w14:paraId="4A70E9BC" w14:textId="17767EE7" w:rsidR="002912A6" w:rsidRDefault="00B51E62" w:rsidP="002F1AA2">
      <w:pPr>
        <w:jc w:val="both"/>
      </w:pPr>
      <w:r>
        <w:t>a</w:t>
      </w:r>
      <w:r w:rsidR="006358B4">
        <w:t>nd</w:t>
      </w:r>
    </w:p>
    <w:p w14:paraId="68C3A105" w14:textId="77777777" w:rsidR="00DC67DE" w:rsidRPr="00DC67DE" w:rsidRDefault="00DC67DE" w:rsidP="002F1AA2">
      <w:pPr>
        <w:jc w:val="both"/>
        <w:rPr>
          <w:sz w:val="6"/>
          <w:szCs w:val="6"/>
        </w:rPr>
      </w:pPr>
    </w:p>
    <w:p w14:paraId="340520D9" w14:textId="77777777" w:rsidR="002912A6" w:rsidRDefault="003024FA" w:rsidP="002F1AA2">
      <w:pPr>
        <w:jc w:val="both"/>
      </w:pPr>
      <w:r>
        <w:t>MINISTER OF FINANCE AND ECONOMIC DEVELOPMENT</w:t>
      </w:r>
    </w:p>
    <w:p w14:paraId="43C9EB1D" w14:textId="77777777" w:rsidR="00405423" w:rsidRDefault="00405423" w:rsidP="002F1AA2">
      <w:pPr>
        <w:jc w:val="both"/>
      </w:pPr>
    </w:p>
    <w:p w14:paraId="344D9FE9" w14:textId="77777777" w:rsidR="009C18C8" w:rsidRDefault="009C18C8" w:rsidP="002F1AA2">
      <w:pPr>
        <w:jc w:val="both"/>
      </w:pPr>
    </w:p>
    <w:p w14:paraId="20FC8876" w14:textId="77777777" w:rsidR="005A4D7A" w:rsidRDefault="005A4D7A" w:rsidP="009A35C7">
      <w:pPr>
        <w:jc w:val="both"/>
      </w:pPr>
      <w:r>
        <w:t>HIGH COURT OF ZIMBABWE</w:t>
      </w:r>
    </w:p>
    <w:p w14:paraId="130BD00A" w14:textId="2A6C509E" w:rsidR="005A4D7A" w:rsidRDefault="00A831D8" w:rsidP="009A35C7">
      <w:pPr>
        <w:jc w:val="both"/>
      </w:pPr>
      <w:r>
        <w:t>CHINAMORA</w:t>
      </w:r>
      <w:r w:rsidR="005A4D7A">
        <w:t xml:space="preserve"> J</w:t>
      </w:r>
    </w:p>
    <w:p w14:paraId="185D9224" w14:textId="7103F584" w:rsidR="00150076" w:rsidRDefault="00150076" w:rsidP="009A35C7">
      <w:pPr>
        <w:jc w:val="both"/>
      </w:pPr>
      <w:r>
        <w:t xml:space="preserve">HARARE, </w:t>
      </w:r>
      <w:r w:rsidR="000F1A58">
        <w:t>6 February</w:t>
      </w:r>
      <w:r w:rsidR="00E41BA7">
        <w:t xml:space="preserve"> and </w:t>
      </w:r>
      <w:r w:rsidR="004F0D00">
        <w:t>1</w:t>
      </w:r>
      <w:r w:rsidR="00EF7715">
        <w:t>2</w:t>
      </w:r>
      <w:r w:rsidR="004F0D00">
        <w:t xml:space="preserve"> September</w:t>
      </w:r>
      <w:r w:rsidR="00D931C5">
        <w:t xml:space="preserve"> 2023</w:t>
      </w:r>
    </w:p>
    <w:p w14:paraId="4738D9D0" w14:textId="77777777" w:rsidR="005A4D7A" w:rsidRDefault="005A4D7A" w:rsidP="009A35C7">
      <w:pPr>
        <w:spacing w:line="360" w:lineRule="auto"/>
        <w:jc w:val="both"/>
      </w:pPr>
    </w:p>
    <w:p w14:paraId="6B08D3A8" w14:textId="77777777" w:rsidR="005A4D7A" w:rsidRPr="009A017B" w:rsidRDefault="00B83F70" w:rsidP="009A35C7">
      <w:pPr>
        <w:spacing w:line="360" w:lineRule="auto"/>
        <w:jc w:val="both"/>
        <w:rPr>
          <w:b/>
        </w:rPr>
      </w:pPr>
      <w:r>
        <w:rPr>
          <w:b/>
        </w:rPr>
        <w:t>Court Application</w:t>
      </w:r>
    </w:p>
    <w:p w14:paraId="4CACBEBB" w14:textId="77777777" w:rsidR="005A4D7A" w:rsidRDefault="005A4D7A" w:rsidP="009A35C7">
      <w:pPr>
        <w:spacing w:line="360" w:lineRule="auto"/>
        <w:jc w:val="both"/>
      </w:pPr>
    </w:p>
    <w:p w14:paraId="376B58A7" w14:textId="77777777" w:rsidR="003119D2" w:rsidRPr="003119D2" w:rsidRDefault="003119D2" w:rsidP="00C835A5">
      <w:pPr>
        <w:jc w:val="both"/>
        <w:rPr>
          <w:i/>
          <w:sz w:val="10"/>
          <w:szCs w:val="10"/>
        </w:rPr>
      </w:pPr>
    </w:p>
    <w:p w14:paraId="1A1DD896" w14:textId="41193BC6" w:rsidR="00C835A5" w:rsidRDefault="006C09CB" w:rsidP="00C835A5">
      <w:pPr>
        <w:jc w:val="both"/>
      </w:pPr>
      <w:r w:rsidRPr="005455BF">
        <w:t>Prof</w:t>
      </w:r>
      <w:r>
        <w:rPr>
          <w:i/>
        </w:rPr>
        <w:t xml:space="preserve"> L Madhuku</w:t>
      </w:r>
      <w:r w:rsidR="005455BF">
        <w:rPr>
          <w:i/>
        </w:rPr>
        <w:t>,</w:t>
      </w:r>
      <w:r w:rsidR="003024FA">
        <w:rPr>
          <w:i/>
        </w:rPr>
        <w:t xml:space="preserve"> </w:t>
      </w:r>
      <w:r w:rsidR="00FD00F3">
        <w:t xml:space="preserve">for the </w:t>
      </w:r>
      <w:r w:rsidR="00CE42F4">
        <w:t>applicant</w:t>
      </w:r>
    </w:p>
    <w:p w14:paraId="060AC55E" w14:textId="0017039C" w:rsidR="004D0E53" w:rsidRDefault="000108D9" w:rsidP="00C835A5">
      <w:pPr>
        <w:jc w:val="both"/>
      </w:pPr>
      <w:r w:rsidRPr="005455BF">
        <w:t>Mr</w:t>
      </w:r>
      <w:r w:rsidR="006C09CB">
        <w:rPr>
          <w:i/>
        </w:rPr>
        <w:t xml:space="preserve"> E Mukucha</w:t>
      </w:r>
      <w:r w:rsidR="005455BF">
        <w:rPr>
          <w:i/>
        </w:rPr>
        <w:t>,</w:t>
      </w:r>
      <w:r w:rsidR="003024FA">
        <w:rPr>
          <w:i/>
        </w:rPr>
        <w:t xml:space="preserve"> </w:t>
      </w:r>
      <w:r w:rsidR="00B83F70">
        <w:t>for the 1</w:t>
      </w:r>
      <w:r w:rsidR="00B83F70" w:rsidRPr="00B83F70">
        <w:rPr>
          <w:vertAlign w:val="superscript"/>
        </w:rPr>
        <w:t>st</w:t>
      </w:r>
      <w:r w:rsidR="00B83F70">
        <w:t xml:space="preserve"> </w:t>
      </w:r>
      <w:r w:rsidR="00C835A5">
        <w:t>respondent</w:t>
      </w:r>
    </w:p>
    <w:p w14:paraId="1A0044C8" w14:textId="70B3A1BE" w:rsidR="00C835A5" w:rsidRDefault="00C835A5" w:rsidP="009A35C7">
      <w:pPr>
        <w:spacing w:line="360" w:lineRule="auto"/>
        <w:jc w:val="both"/>
        <w:rPr>
          <w:b/>
        </w:rPr>
      </w:pPr>
    </w:p>
    <w:p w14:paraId="3650EE0F" w14:textId="77777777" w:rsidR="003119D2" w:rsidRPr="003119D2" w:rsidRDefault="003119D2" w:rsidP="009A35C7">
      <w:pPr>
        <w:spacing w:line="360" w:lineRule="auto"/>
        <w:jc w:val="both"/>
        <w:rPr>
          <w:b/>
          <w:sz w:val="8"/>
          <w:szCs w:val="8"/>
        </w:rPr>
      </w:pPr>
    </w:p>
    <w:p w14:paraId="175B7E68" w14:textId="77777777" w:rsidR="00C45974" w:rsidRPr="00150076" w:rsidRDefault="004169FF" w:rsidP="00405423">
      <w:pPr>
        <w:spacing w:line="360" w:lineRule="auto"/>
        <w:jc w:val="both"/>
        <w:rPr>
          <w:b/>
        </w:rPr>
      </w:pPr>
      <w:r w:rsidRPr="00150076">
        <w:rPr>
          <w:b/>
        </w:rPr>
        <w:t>CHINAMORA</w:t>
      </w:r>
      <w:r w:rsidR="005A4D7A" w:rsidRPr="00150076">
        <w:rPr>
          <w:b/>
        </w:rPr>
        <w:t xml:space="preserve"> J: </w:t>
      </w:r>
    </w:p>
    <w:p w14:paraId="2C0D15C7" w14:textId="77777777" w:rsidR="00C45974" w:rsidRDefault="00C45974" w:rsidP="00405423">
      <w:pPr>
        <w:spacing w:line="360" w:lineRule="auto"/>
        <w:jc w:val="both"/>
        <w:rPr>
          <w:b/>
        </w:rPr>
      </w:pPr>
      <w:r w:rsidRPr="00C45974">
        <w:rPr>
          <w:b/>
        </w:rPr>
        <w:t>Introduction:</w:t>
      </w:r>
    </w:p>
    <w:p w14:paraId="36853E2F" w14:textId="06BFC244" w:rsidR="003024FA" w:rsidRDefault="003024FA" w:rsidP="00150076">
      <w:pPr>
        <w:spacing w:line="360" w:lineRule="auto"/>
        <w:ind w:firstLine="720"/>
        <w:jc w:val="both"/>
      </w:pPr>
      <w:r>
        <w:t xml:space="preserve"> This is a court application in which the relief sought is t</w:t>
      </w:r>
      <w:r w:rsidR="00150076">
        <w:t>he following declaratory order:</w:t>
      </w:r>
    </w:p>
    <w:p w14:paraId="058C5EA2" w14:textId="77777777" w:rsidR="00867D65" w:rsidRPr="00867D65" w:rsidRDefault="00867D65" w:rsidP="00150076">
      <w:pPr>
        <w:spacing w:line="360" w:lineRule="auto"/>
        <w:ind w:firstLine="720"/>
        <w:jc w:val="both"/>
        <w:rPr>
          <w:sz w:val="8"/>
          <w:szCs w:val="8"/>
        </w:rPr>
      </w:pPr>
    </w:p>
    <w:p w14:paraId="1417DD73" w14:textId="77777777" w:rsidR="00150076" w:rsidRPr="00150076" w:rsidRDefault="00150076" w:rsidP="00405423">
      <w:pPr>
        <w:spacing w:line="360" w:lineRule="auto"/>
        <w:ind w:firstLine="720"/>
        <w:jc w:val="both"/>
        <w:rPr>
          <w:sz w:val="4"/>
          <w:szCs w:val="4"/>
        </w:rPr>
      </w:pPr>
    </w:p>
    <w:p w14:paraId="30AF5988" w14:textId="578AF68F" w:rsidR="00413410" w:rsidRDefault="00296E9E" w:rsidP="003024FA">
      <w:pPr>
        <w:pStyle w:val="ListParagraph"/>
        <w:numPr>
          <w:ilvl w:val="0"/>
          <w:numId w:val="21"/>
        </w:numPr>
        <w:spacing w:line="360" w:lineRule="auto"/>
        <w:jc w:val="both"/>
      </w:pPr>
      <w:r>
        <w:t>That the decision of the first r</w:t>
      </w:r>
      <w:r w:rsidR="003024FA">
        <w:t>espondent declaring forfeited to the State property belonging to the applicant, the property in question being four motor vehicles and their trailers, namely TRUCK HLH056FS (TRAILER TVH294GP</w:t>
      </w:r>
      <w:r w:rsidR="00413410">
        <w:t>); TRUCK HLH051FS (TRAILER FZ25WGGP); TRUCK HLH049FS (TRAILER VDW723GP) and TRUCK HJZ 717FS (TRAILER JF58CWGP), be and is hereby declared null and void and of no force or effect.</w:t>
      </w:r>
    </w:p>
    <w:p w14:paraId="74C7FF6F" w14:textId="77777777" w:rsidR="000108D9" w:rsidRPr="000108D9" w:rsidRDefault="000108D9" w:rsidP="000108D9">
      <w:pPr>
        <w:pStyle w:val="ListParagraph"/>
        <w:spacing w:line="360" w:lineRule="auto"/>
        <w:ind w:left="1080"/>
        <w:jc w:val="both"/>
        <w:rPr>
          <w:sz w:val="4"/>
          <w:szCs w:val="4"/>
        </w:rPr>
      </w:pPr>
    </w:p>
    <w:p w14:paraId="520A82AF" w14:textId="7990B978" w:rsidR="00413410" w:rsidRDefault="00413410" w:rsidP="00413410">
      <w:pPr>
        <w:pStyle w:val="ListParagraph"/>
        <w:spacing w:line="360" w:lineRule="auto"/>
        <w:ind w:left="1080"/>
        <w:jc w:val="both"/>
      </w:pPr>
      <w:r>
        <w:t>AS CONSEQUENTIAL RELIEF, IT IS ORDERED</w:t>
      </w:r>
      <w:r w:rsidR="00867D65">
        <w:t>:</w:t>
      </w:r>
    </w:p>
    <w:p w14:paraId="784449F7" w14:textId="6542111B" w:rsidR="00413410" w:rsidRDefault="00296E9E" w:rsidP="00413410">
      <w:pPr>
        <w:pStyle w:val="ListParagraph"/>
        <w:numPr>
          <w:ilvl w:val="0"/>
          <w:numId w:val="21"/>
        </w:numPr>
        <w:spacing w:line="360" w:lineRule="auto"/>
        <w:jc w:val="both"/>
      </w:pPr>
      <w:r>
        <w:t>That the decision of the first r</w:t>
      </w:r>
      <w:r w:rsidR="00413410">
        <w:t>espondent declaring forfeited to the State property belonging to the applicant, the property in question being four motor vehicles and their trailers, namely TRUCK HLH056FS (TRAILER TVH294GP); TRUCK HLH051FS (TRAILER FZ25WGGP); TRUCK HLH049FS (TRAILER VDW723GP) and TRUCK HJZ</w:t>
      </w:r>
      <w:r w:rsidR="00844078">
        <w:t xml:space="preserve"> 717FS (TRAILER JF58CWGP), </w:t>
      </w:r>
      <w:r w:rsidR="00413410">
        <w:t>be released to the applicant forthwith.</w:t>
      </w:r>
    </w:p>
    <w:p w14:paraId="340B9022" w14:textId="7F383ED4" w:rsidR="00434DA7" w:rsidRPr="00F76DE1" w:rsidRDefault="008D1F31" w:rsidP="00434DA7">
      <w:pPr>
        <w:pStyle w:val="ListParagraph"/>
        <w:numPr>
          <w:ilvl w:val="0"/>
          <w:numId w:val="21"/>
        </w:numPr>
        <w:spacing w:line="360" w:lineRule="auto"/>
        <w:jc w:val="both"/>
      </w:pPr>
      <w:r>
        <w:lastRenderedPageBreak/>
        <w:t>That the first r</w:t>
      </w:r>
      <w:r w:rsidR="00413410">
        <w:t xml:space="preserve">espondent pays the costs of this application on an attorney and client scale, if it opposes the relief sought. </w:t>
      </w:r>
    </w:p>
    <w:p w14:paraId="2C1E3980" w14:textId="77777777" w:rsidR="003119D2" w:rsidRPr="003119D2" w:rsidRDefault="003119D2" w:rsidP="00434DA7">
      <w:pPr>
        <w:spacing w:line="360" w:lineRule="auto"/>
        <w:ind w:firstLine="720"/>
        <w:jc w:val="both"/>
        <w:rPr>
          <w:sz w:val="16"/>
          <w:szCs w:val="16"/>
        </w:rPr>
      </w:pPr>
    </w:p>
    <w:p w14:paraId="3AA5256B" w14:textId="4EAF09F7" w:rsidR="00413410" w:rsidRDefault="00413410" w:rsidP="00434DA7">
      <w:pPr>
        <w:spacing w:line="360" w:lineRule="auto"/>
        <w:ind w:firstLine="720"/>
        <w:jc w:val="both"/>
      </w:pPr>
      <w:r>
        <w:t xml:space="preserve">The application was filed of record on </w:t>
      </w:r>
      <w:r w:rsidR="007C707A">
        <w:t xml:space="preserve">25 July 2022. On the strength of the board resolution by the </w:t>
      </w:r>
      <w:r w:rsidR="001237E6">
        <w:t xml:space="preserve">directors of the applicant, </w:t>
      </w:r>
      <w:r w:rsidR="007C707A">
        <w:t>Progress Takawira Mafuratidze deposed to the founding affi</w:t>
      </w:r>
      <w:r w:rsidR="00AB2732">
        <w:t>davit in which he averred that:</w:t>
      </w:r>
    </w:p>
    <w:p w14:paraId="3246121D" w14:textId="77777777" w:rsidR="00AB2732" w:rsidRPr="008F3CED" w:rsidRDefault="00AB2732" w:rsidP="00434DA7">
      <w:pPr>
        <w:spacing w:line="360" w:lineRule="auto"/>
        <w:ind w:firstLine="720"/>
        <w:jc w:val="both"/>
        <w:rPr>
          <w:sz w:val="10"/>
          <w:szCs w:val="10"/>
        </w:rPr>
      </w:pPr>
    </w:p>
    <w:p w14:paraId="6C995522" w14:textId="6EE984B9" w:rsidR="007C707A" w:rsidRPr="008F3CED" w:rsidRDefault="008F3CED" w:rsidP="008F3CED">
      <w:pPr>
        <w:ind w:left="720"/>
        <w:jc w:val="both"/>
        <w:rPr>
          <w:sz w:val="22"/>
          <w:szCs w:val="22"/>
        </w:rPr>
      </w:pPr>
      <w:r>
        <w:rPr>
          <w:sz w:val="22"/>
          <w:szCs w:val="22"/>
        </w:rPr>
        <w:t>“</w:t>
      </w:r>
      <w:r w:rsidR="007C707A" w:rsidRPr="008F3CED">
        <w:rPr>
          <w:sz w:val="22"/>
          <w:szCs w:val="22"/>
        </w:rPr>
        <w:t>Applicant is a company duly registered in accordance with the laws of South Africa and also permitted to operate business in Zimbabwe in terms of the laws of Zimbabwe. It acquired the property in question through an installment sale agreement</w:t>
      </w:r>
      <w:r w:rsidR="00434DA7" w:rsidRPr="008F3CED">
        <w:rPr>
          <w:sz w:val="22"/>
          <w:szCs w:val="22"/>
        </w:rPr>
        <w:t xml:space="preserve"> namely TRUCK HLH056FS (TRAILER TVH294GP); TUCK HLH051FS (TRAILER FZ25WGGP); TRUCK HLH049FS (TRAILER VDW723GP) and TRUCK HJZ 717FS (TRAILER JF58CWGP) (hereinafter referred to as ‘the trucks’)</w:t>
      </w:r>
      <w:r>
        <w:rPr>
          <w:sz w:val="22"/>
          <w:szCs w:val="22"/>
        </w:rPr>
        <w:t>”</w:t>
      </w:r>
      <w:r w:rsidR="00434DA7" w:rsidRPr="008F3CED">
        <w:rPr>
          <w:sz w:val="22"/>
          <w:szCs w:val="22"/>
        </w:rPr>
        <w:t xml:space="preserve">. </w:t>
      </w:r>
    </w:p>
    <w:p w14:paraId="5163DC55" w14:textId="77777777" w:rsidR="00434DA7" w:rsidRPr="00577F3E" w:rsidRDefault="00434DA7" w:rsidP="00434DA7">
      <w:pPr>
        <w:spacing w:line="360" w:lineRule="auto"/>
        <w:jc w:val="both"/>
        <w:rPr>
          <w:sz w:val="22"/>
          <w:szCs w:val="22"/>
        </w:rPr>
      </w:pPr>
    </w:p>
    <w:p w14:paraId="0440E1E2" w14:textId="35DA1A90" w:rsidR="00434DA7" w:rsidRDefault="001237E6" w:rsidP="00931837">
      <w:pPr>
        <w:spacing w:line="360" w:lineRule="auto"/>
        <w:jc w:val="both"/>
      </w:pPr>
      <w:r>
        <w:tab/>
        <w:t>This application seeks to nullify</w:t>
      </w:r>
      <w:r w:rsidR="00434DA7">
        <w:t xml:space="preserve"> the forfeiture of the said trucks to t</w:t>
      </w:r>
      <w:r>
        <w:t>he State.</w:t>
      </w:r>
      <w:r w:rsidR="0042356D">
        <w:t xml:space="preserve"> On the other hand, t</w:t>
      </w:r>
      <w:r w:rsidR="00637856">
        <w:t>he first</w:t>
      </w:r>
      <w:r w:rsidR="00434DA7">
        <w:t xml:space="preserve"> respondent is resisting th</w:t>
      </w:r>
      <w:r w:rsidR="00CE4CCA">
        <w:t xml:space="preserve">e application on the basis that </w:t>
      </w:r>
      <w:r w:rsidR="00434DA7">
        <w:t>it</w:t>
      </w:r>
      <w:r w:rsidR="00CE4CCA">
        <w:t>s cause of action</w:t>
      </w:r>
      <w:r w:rsidR="00434DA7">
        <w:t xml:space="preserve"> has prescribed and the applicant’s conduct warranted the trucks to be forfeited. The applicant’s case is that it is a transporter an</w:t>
      </w:r>
      <w:r w:rsidR="007C2602">
        <w:t>d was hired by a South African c</w:t>
      </w:r>
      <w:r w:rsidR="00434DA7">
        <w:t xml:space="preserve">ompany known as Sasol (Pty) Ltd to transport fuel purchased by a client of Sasol. </w:t>
      </w:r>
      <w:r w:rsidR="003D38D1">
        <w:t xml:space="preserve">Sasol nominated an agent for customs clearance and to deliver the customs clearance documents to the applicant. </w:t>
      </w:r>
      <w:r w:rsidR="00CE188E">
        <w:t>The applicant submitted to the first</w:t>
      </w:r>
      <w:r w:rsidR="003D38D1">
        <w:t xml:space="preserve"> respondent, the clearance documents given to it by </w:t>
      </w:r>
      <w:r w:rsidR="00005A33">
        <w:t xml:space="preserve">the </w:t>
      </w:r>
      <w:r w:rsidR="003D38D1">
        <w:t>nominated clearing agent. Accor</w:t>
      </w:r>
      <w:r w:rsidR="00332E56">
        <w:t xml:space="preserve">ding to the applicant, </w:t>
      </w:r>
      <w:r w:rsidR="003D38D1">
        <w:t xml:space="preserve">it was at this time </w:t>
      </w:r>
      <w:r w:rsidR="00A77B68">
        <w:t xml:space="preserve">that </w:t>
      </w:r>
      <w:r w:rsidR="003D38D1">
        <w:t xml:space="preserve">it discovered that customs clearing documents were fake and fraudulent. By a letter dated 25 December 2022, the applicant was advised that all the vehicles had been forfeited and was further advised to appeal </w:t>
      </w:r>
      <w:r w:rsidR="0053162E">
        <w:t xml:space="preserve">to the first </w:t>
      </w:r>
      <w:r w:rsidR="003D38D1">
        <w:t>respondent’s Commi</w:t>
      </w:r>
      <w:r w:rsidR="009D3EE1">
        <w:t>ssioner of Customs and Excise. It is common cause that t</w:t>
      </w:r>
      <w:r w:rsidR="003D38D1">
        <w:t>he appeal to the Commissioner of Excise was not successful</w:t>
      </w:r>
      <w:r w:rsidR="00E125DD">
        <w:t>. After advice, the applicant unsuccessful</w:t>
      </w:r>
      <w:r w:rsidR="00C70678">
        <w:t>ly appealed to the Commissioner-</w:t>
      </w:r>
      <w:r w:rsidR="00860691">
        <w:t>General. Unrelenting, t</w:t>
      </w:r>
      <w:r w:rsidR="00E125DD">
        <w:t xml:space="preserve">he applicant further filed an appeal to the Fiscal Appeal Court under Case No. FA </w:t>
      </w:r>
      <w:r w:rsidR="00931837">
        <w:t>5/21. The said appeal was later</w:t>
      </w:r>
      <w:r w:rsidR="00E125DD">
        <w:t xml:space="preserve"> withdrawn. </w:t>
      </w:r>
    </w:p>
    <w:p w14:paraId="5F6A5A28" w14:textId="5138DF18" w:rsidR="000A3431" w:rsidRDefault="00EB408C" w:rsidP="00C37D51">
      <w:pPr>
        <w:spacing w:line="360" w:lineRule="auto"/>
        <w:ind w:firstLine="720"/>
        <w:jc w:val="both"/>
      </w:pPr>
      <w:r>
        <w:t>The applicant submits that a reading of s 193 of the Customs and Excise [</w:t>
      </w:r>
      <w:r w:rsidRPr="00C22B57">
        <w:rPr>
          <w:i/>
        </w:rPr>
        <w:t xml:space="preserve">Chapter </w:t>
      </w:r>
      <w:r w:rsidR="00111262" w:rsidRPr="00C22B57">
        <w:rPr>
          <w:i/>
        </w:rPr>
        <w:t>23:02</w:t>
      </w:r>
      <w:r w:rsidR="00111262">
        <w:t>], shows that only the Commissioner-</w:t>
      </w:r>
      <w:r>
        <w:t>General can declare property forfeited. Consequently, the declaration by the Regional Manager was unlawful and null and void. It is applicant’s case that the Regional Manager was not acting on behalf of the Commissioner-General, hence the following statement in the le</w:t>
      </w:r>
      <w:r w:rsidR="000A3431">
        <w:t>tter announcing the forfeiture:</w:t>
      </w:r>
    </w:p>
    <w:p w14:paraId="56C758B4" w14:textId="77777777" w:rsidR="000A3431" w:rsidRPr="00F3136C" w:rsidRDefault="000A3431" w:rsidP="00C37D51">
      <w:pPr>
        <w:spacing w:line="360" w:lineRule="auto"/>
        <w:ind w:firstLine="720"/>
        <w:jc w:val="both"/>
        <w:rPr>
          <w:sz w:val="10"/>
          <w:szCs w:val="10"/>
        </w:rPr>
      </w:pPr>
    </w:p>
    <w:p w14:paraId="71E2E51D" w14:textId="022E4637" w:rsidR="000F0104" w:rsidRDefault="000A3431" w:rsidP="00682E5A">
      <w:pPr>
        <w:ind w:left="720"/>
        <w:jc w:val="both"/>
        <w:rPr>
          <w:sz w:val="22"/>
          <w:szCs w:val="22"/>
        </w:rPr>
      </w:pPr>
      <w:r w:rsidRPr="000A3431">
        <w:rPr>
          <w:sz w:val="22"/>
          <w:szCs w:val="22"/>
        </w:rPr>
        <w:lastRenderedPageBreak/>
        <w:t>“</w:t>
      </w:r>
      <w:r w:rsidR="00EB408C" w:rsidRPr="000A3431">
        <w:rPr>
          <w:sz w:val="22"/>
          <w:szCs w:val="22"/>
        </w:rPr>
        <w:t>If you are not satisfied with this decision, you may submit your written appeal to the C</w:t>
      </w:r>
      <w:r w:rsidRPr="000A3431">
        <w:rPr>
          <w:sz w:val="22"/>
          <w:szCs w:val="22"/>
        </w:rPr>
        <w:t>ommissioner Customs and Excise…”</w:t>
      </w:r>
      <w:r w:rsidR="00EB408C" w:rsidRPr="000A3431">
        <w:rPr>
          <w:sz w:val="22"/>
          <w:szCs w:val="22"/>
        </w:rPr>
        <w:t xml:space="preserve"> </w:t>
      </w:r>
    </w:p>
    <w:p w14:paraId="4FF67862" w14:textId="77777777" w:rsidR="00C22B57" w:rsidRPr="00682E5A" w:rsidRDefault="00C22B57" w:rsidP="00682E5A">
      <w:pPr>
        <w:ind w:left="720"/>
        <w:jc w:val="both"/>
        <w:rPr>
          <w:sz w:val="22"/>
          <w:szCs w:val="22"/>
        </w:rPr>
      </w:pPr>
    </w:p>
    <w:p w14:paraId="7F5F63EB" w14:textId="3FFD423D" w:rsidR="00EB408C" w:rsidRDefault="00EB408C" w:rsidP="00C22B57">
      <w:pPr>
        <w:spacing w:line="360" w:lineRule="auto"/>
        <w:ind w:firstLine="720"/>
        <w:jc w:val="both"/>
      </w:pPr>
      <w:r>
        <w:t xml:space="preserve">The applicant further avers that there is neither </w:t>
      </w:r>
      <w:r w:rsidR="000A3431">
        <w:t xml:space="preserve">a </w:t>
      </w:r>
      <w:r>
        <w:t>provision in the Act for an appeal to the Com</w:t>
      </w:r>
      <w:r w:rsidR="000A3431">
        <w:t xml:space="preserve">missioner of Customs and Excise, </w:t>
      </w:r>
      <w:r>
        <w:t xml:space="preserve">nor </w:t>
      </w:r>
      <w:r w:rsidR="000A3431">
        <w:t>for a</w:t>
      </w:r>
      <w:r>
        <w:t xml:space="preserve"> further appeal to </w:t>
      </w:r>
      <w:r w:rsidR="000A32A9">
        <w:t>the Commissioner-General which shows</w:t>
      </w:r>
      <w:r>
        <w:t xml:space="preserve"> that the processes were contrary to the Act. It is on these facts that the applicant seeks an order in terms of the draft order. </w:t>
      </w:r>
    </w:p>
    <w:p w14:paraId="6EE94DDA" w14:textId="165B8CE5" w:rsidR="003B6F5C" w:rsidRDefault="000A3431" w:rsidP="00AB12FC">
      <w:pPr>
        <w:spacing w:line="360" w:lineRule="auto"/>
        <w:ind w:firstLine="720"/>
        <w:jc w:val="both"/>
      </w:pPr>
      <w:r>
        <w:t>The first and second</w:t>
      </w:r>
      <w:r w:rsidR="00CA6CCD">
        <w:t xml:space="preserve"> respondents opposed the application.</w:t>
      </w:r>
      <w:r w:rsidR="00175A5E">
        <w:t xml:space="preserve"> A</w:t>
      </w:r>
      <w:r w:rsidR="00AE7184">
        <w:t xml:space="preserve"> preliminary point </w:t>
      </w:r>
      <w:r w:rsidR="00175A5E">
        <w:t xml:space="preserve">was raised by the first respondent, namely, </w:t>
      </w:r>
      <w:r w:rsidR="00AE7184">
        <w:t>that the applicant’s claim for the release of its moto</w:t>
      </w:r>
      <w:r w:rsidR="00BE35E8">
        <w:t xml:space="preserve">r </w:t>
      </w:r>
      <w:r w:rsidR="00E03199">
        <w:t xml:space="preserve">vehicles had prescribed. In this respect, it was contended </w:t>
      </w:r>
      <w:r w:rsidR="00AE7184">
        <w:t>th</w:t>
      </w:r>
      <w:r w:rsidR="00BE35E8">
        <w:t>at the vehicles claimed by the a</w:t>
      </w:r>
      <w:r w:rsidR="00AE7184">
        <w:t>pplicant were formally seized by the Zimbabwe Revenue Authority</w:t>
      </w:r>
      <w:r w:rsidR="006E7A16">
        <w:t xml:space="preserve"> (</w:t>
      </w:r>
      <w:r w:rsidR="00085B7B">
        <w:t>“</w:t>
      </w:r>
      <w:r w:rsidR="006E7A16">
        <w:t>ZIMRA</w:t>
      </w:r>
      <w:r w:rsidR="00085B7B">
        <w:t>”</w:t>
      </w:r>
      <w:r w:rsidR="006E7A16">
        <w:t>)</w:t>
      </w:r>
      <w:r w:rsidR="00AE7184">
        <w:t xml:space="preserve"> sometime in 2020. Consequently, </w:t>
      </w:r>
      <w:r w:rsidR="0031791A">
        <w:t xml:space="preserve">in terms of </w:t>
      </w:r>
      <w:r w:rsidR="00C22B57">
        <w:t>s 193</w:t>
      </w:r>
      <w:r w:rsidR="0031791A">
        <w:t xml:space="preserve"> </w:t>
      </w:r>
      <w:r w:rsidR="00AE7184">
        <w:t xml:space="preserve">(12) of the Customs and Excise Act, proceedings for the recovery of seized goods or payment of compensation in their respect, must be instituted within three (3) months of the date when the notice of seizure </w:t>
      </w:r>
      <w:r w:rsidR="00773898">
        <w:t xml:space="preserve">was issued. On the merits, the first </w:t>
      </w:r>
      <w:r w:rsidR="00AE7184">
        <w:t>respondent submitted that the vehicles in question were used to commit an offence of smuggling</w:t>
      </w:r>
      <w:r w:rsidR="002070F9">
        <w:t>,</w:t>
      </w:r>
      <w:r w:rsidR="00AE7184">
        <w:t xml:space="preserve"> hence the forfeiture was done in term</w:t>
      </w:r>
      <w:r w:rsidR="002070F9">
        <w:t xml:space="preserve">s of the law. Furthermore, the first </w:t>
      </w:r>
      <w:r w:rsidR="00AE7184">
        <w:t xml:space="preserve">respondent stated that the Regional Manager did not declare the vehicles forfeited. Instead, the Regional Manager </w:t>
      </w:r>
      <w:r w:rsidR="00FA4869">
        <w:t>made a statement that the motor vehicles will be forfeited. In any case</w:t>
      </w:r>
      <w:r w:rsidR="002070F9">
        <w:t>, the first</w:t>
      </w:r>
      <w:r w:rsidR="00FA4869">
        <w:t xml:space="preserve"> respondent submitted that the Commissioner-General eventually declared the m</w:t>
      </w:r>
      <w:r w:rsidR="00EE0370">
        <w:t>otor vehicles forfeited to the S</w:t>
      </w:r>
      <w:r w:rsidR="00FA4869">
        <w:t>tat</w:t>
      </w:r>
      <w:r w:rsidR="00F04108">
        <w:t xml:space="preserve">e. Based on its foregoing contentions, </w:t>
      </w:r>
      <w:r w:rsidR="005A3112">
        <w:t>the first</w:t>
      </w:r>
      <w:r w:rsidR="00FA4869">
        <w:t xml:space="preserve"> responden</w:t>
      </w:r>
      <w:r w:rsidR="00F04108">
        <w:t xml:space="preserve">t prays for the dismissal of the application </w:t>
      </w:r>
      <w:r w:rsidR="00FA4869">
        <w:t xml:space="preserve">with costs. </w:t>
      </w:r>
      <w:r w:rsidR="00F04108">
        <w:t>T</w:t>
      </w:r>
      <w:r w:rsidR="005A3112">
        <w:t>he second</w:t>
      </w:r>
      <w:r w:rsidR="00F04108">
        <w:t xml:space="preserve"> respondent filed an opposing affidavit, but did not take the matter any further.</w:t>
      </w:r>
    </w:p>
    <w:p w14:paraId="08A88865" w14:textId="325191F0" w:rsidR="00C37D51" w:rsidRDefault="00315360" w:rsidP="00867D65">
      <w:pPr>
        <w:spacing w:line="360" w:lineRule="auto"/>
        <w:ind w:firstLine="720"/>
        <w:jc w:val="both"/>
      </w:pPr>
      <w:r>
        <w:t>In its</w:t>
      </w:r>
      <w:r w:rsidR="00DF4D16">
        <w:t xml:space="preserve"> answering affidavit</w:t>
      </w:r>
      <w:r>
        <w:t>, the applicant assert</w:t>
      </w:r>
      <w:r w:rsidR="006777B2">
        <w:t>ed</w:t>
      </w:r>
      <w:r w:rsidR="00DF4D16">
        <w:t xml:space="preserve"> that the matter had not p</w:t>
      </w:r>
      <w:r w:rsidR="00402955">
        <w:t>rescribed. Additionally, the</w:t>
      </w:r>
      <w:r w:rsidR="00412871">
        <w:t xml:space="preserve"> applicant submitted that an application for </w:t>
      </w:r>
      <w:r w:rsidR="00DF4D16">
        <w:t>decla</w:t>
      </w:r>
      <w:r w:rsidR="00412871">
        <w:t>ratory relief has no time limit</w:t>
      </w:r>
      <w:r w:rsidR="0015244A">
        <w:t xml:space="preserve"> and, as such,</w:t>
      </w:r>
      <w:r w:rsidR="00DF4D16">
        <w:t xml:space="preserve"> </w:t>
      </w:r>
      <w:r w:rsidR="00C22B57">
        <w:t>s 193</w:t>
      </w:r>
      <w:r w:rsidR="0038358D">
        <w:t xml:space="preserve"> </w:t>
      </w:r>
      <w:r w:rsidR="00DF4D16">
        <w:t>(12) of the Customs and Excise Act does not apply in this matter. I seem to follow the applicant’s argument for the following reasons. The applicant is seeking a declaration of its rights in term</w:t>
      </w:r>
      <w:r w:rsidR="005131BA">
        <w:t xml:space="preserve">s of the Customs and Excise Act. </w:t>
      </w:r>
      <w:r w:rsidR="00DF4D16">
        <w:t xml:space="preserve">It is well established that a declaratory order is the most appropriate remedy where rights and interests are in question. See </w:t>
      </w:r>
      <w:r w:rsidR="003C2769" w:rsidRPr="003C2769">
        <w:rPr>
          <w:i/>
        </w:rPr>
        <w:t xml:space="preserve">Madzara </w:t>
      </w:r>
      <w:r w:rsidR="00C22B57" w:rsidRPr="00C22B57">
        <w:t>v</w:t>
      </w:r>
      <w:r w:rsidR="003C2769" w:rsidRPr="003C2769">
        <w:rPr>
          <w:i/>
        </w:rPr>
        <w:t xml:space="preserve"> Stanbic Bank Zimbabwe Ltd and Ors</w:t>
      </w:r>
      <w:r w:rsidR="00E673AC">
        <w:t xml:space="preserve"> HH 546-</w:t>
      </w:r>
      <w:r w:rsidR="003C2769">
        <w:t>15.</w:t>
      </w:r>
      <w:r w:rsidR="000A77C6">
        <w:t xml:space="preserve"> </w:t>
      </w:r>
      <w:r w:rsidR="003C2769">
        <w:t xml:space="preserve">In essence a declaratory order is not subject to time – limits because a nullity is a nullity nothing flows from it. </w:t>
      </w:r>
      <w:r w:rsidR="00C37D51">
        <w:t>In</w:t>
      </w:r>
      <w:r w:rsidR="0038358D">
        <w:t xml:space="preserve"> this connection, in</w:t>
      </w:r>
      <w:r w:rsidR="00C37D51">
        <w:t xml:space="preserve"> </w:t>
      </w:r>
      <w:r w:rsidR="009746E4">
        <w:rPr>
          <w:i/>
        </w:rPr>
        <w:t>Kandawasvika and Anor</w:t>
      </w:r>
      <w:r w:rsidR="009746E4" w:rsidRPr="00C22B57">
        <w:t xml:space="preserve"> v</w:t>
      </w:r>
      <w:r w:rsidR="009746E4" w:rsidRPr="00C37D51">
        <w:rPr>
          <w:i/>
        </w:rPr>
        <w:t xml:space="preserve"> Sheriff of Zimbabwe and Ors</w:t>
      </w:r>
      <w:r w:rsidR="009746E4">
        <w:t xml:space="preserve"> SC 95-</w:t>
      </w:r>
      <w:r w:rsidR="00C22B57">
        <w:t>22,</w:t>
      </w:r>
      <w:r w:rsidR="00C37D51">
        <w:t xml:space="preserve"> the court held that any disregard of peremptory provisions of a statute is fatal to the validity of the proceedings affected. </w:t>
      </w:r>
      <w:r w:rsidR="009746E4">
        <w:t>In other words, e</w:t>
      </w:r>
      <w:r w:rsidR="00C37D51">
        <w:t xml:space="preserve">verything </w:t>
      </w:r>
      <w:r w:rsidR="00C37D51">
        <w:lastRenderedPageBreak/>
        <w:t>don</w:t>
      </w:r>
      <w:r w:rsidR="00202EB6">
        <w:t>e</w:t>
      </w:r>
      <w:r w:rsidR="00C37D51">
        <w:t xml:space="preserve"> contrary to peremptory provisions is a nullity. See also</w:t>
      </w:r>
      <w:r w:rsidR="009746E4" w:rsidRPr="009746E4">
        <w:rPr>
          <w:i/>
        </w:rPr>
        <w:t xml:space="preserve"> </w:t>
      </w:r>
      <w:r w:rsidR="009746E4" w:rsidRPr="0038358D">
        <w:rPr>
          <w:i/>
        </w:rPr>
        <w:t xml:space="preserve">Schierhout </w:t>
      </w:r>
      <w:r w:rsidR="009746E4" w:rsidRPr="007D39D6">
        <w:t xml:space="preserve">v </w:t>
      </w:r>
      <w:r w:rsidR="009746E4" w:rsidRPr="0038358D">
        <w:rPr>
          <w:i/>
        </w:rPr>
        <w:t>Minister of Justice</w:t>
      </w:r>
      <w:r w:rsidR="009746E4">
        <w:t xml:space="preserve"> 1926 AD 99 at 107</w:t>
      </w:r>
      <w:r w:rsidR="00C37D51">
        <w:t>.</w:t>
      </w:r>
      <w:r w:rsidR="00B61C12">
        <w:t xml:space="preserve"> On the basis of settled law, </w:t>
      </w:r>
      <w:r w:rsidR="00551199">
        <w:t>the first</w:t>
      </w:r>
      <w:r w:rsidR="00C37D51">
        <w:t xml:space="preserve"> respondent’s prel</w:t>
      </w:r>
      <w:r w:rsidR="00B61C12">
        <w:t>iminary point on prescription lacks merit and should be</w:t>
      </w:r>
      <w:r w:rsidR="00C37D51">
        <w:t xml:space="preserve"> dismissed. </w:t>
      </w:r>
    </w:p>
    <w:p w14:paraId="4485339A" w14:textId="51349537" w:rsidR="00D51AA7" w:rsidRDefault="00CC2F94" w:rsidP="00C37D51">
      <w:pPr>
        <w:spacing w:line="360" w:lineRule="auto"/>
        <w:ind w:firstLine="720"/>
        <w:jc w:val="both"/>
      </w:pPr>
      <w:r>
        <w:t>On the merits</w:t>
      </w:r>
      <w:r w:rsidR="00867D65">
        <w:t>,</w:t>
      </w:r>
      <w:r>
        <w:t xml:space="preserve"> the starting point is s</w:t>
      </w:r>
      <w:r w:rsidR="007D39D6">
        <w:t xml:space="preserve"> </w:t>
      </w:r>
      <w:r>
        <w:t xml:space="preserve">14 of the High Court Act </w:t>
      </w:r>
      <w:r w:rsidR="00682E5A">
        <w:t>[</w:t>
      </w:r>
      <w:r w:rsidR="00682E5A" w:rsidRPr="007D39D6">
        <w:rPr>
          <w:i/>
        </w:rPr>
        <w:t>Chapter 7:06],</w:t>
      </w:r>
      <w:r w:rsidR="00682E5A">
        <w:t xml:space="preserve"> </w:t>
      </w:r>
      <w:r>
        <w:t>wh</w:t>
      </w:r>
      <w:r w:rsidR="00A679A0">
        <w:t>ich allows this court</w:t>
      </w:r>
      <w:r w:rsidR="00AC74B0">
        <w:t xml:space="preserve"> to examine</w:t>
      </w:r>
      <w:r>
        <w:t xml:space="preserve"> if the applicant has an interest in an existing, future or contingent right. Furthermore</w:t>
      </w:r>
      <w:r w:rsidR="00530EA0">
        <w:t xml:space="preserve">, in deserving cases, the court </w:t>
      </w:r>
      <w:r>
        <w:t>can exercise its discretion</w:t>
      </w:r>
      <w:r w:rsidR="00530EA0">
        <w:t xml:space="preserve"> in favour of granting the relief sought. In this context, in </w:t>
      </w:r>
      <w:r w:rsidRPr="00CC2F94">
        <w:rPr>
          <w:i/>
        </w:rPr>
        <w:t xml:space="preserve">Munn Publishing (Pvt) Ltd </w:t>
      </w:r>
      <w:r w:rsidR="007D39D6">
        <w:t>v</w:t>
      </w:r>
      <w:r w:rsidRPr="00CC2F94">
        <w:rPr>
          <w:i/>
        </w:rPr>
        <w:t xml:space="preserve"> ZBC</w:t>
      </w:r>
      <w:r>
        <w:t xml:space="preserve"> 1994 (1) ZLR 337 (S)</w:t>
      </w:r>
      <w:r w:rsidR="00D51AA7">
        <w:t xml:space="preserve"> at 343</w:t>
      </w:r>
      <w:r w:rsidR="00530EA0">
        <w:t>, the Supreme Court</w:t>
      </w:r>
      <w:r w:rsidR="00D51AA7">
        <w:t xml:space="preserve"> held that:</w:t>
      </w:r>
    </w:p>
    <w:p w14:paraId="346CA3F7" w14:textId="77777777" w:rsidR="00C82382" w:rsidRPr="008B666A" w:rsidRDefault="00C82382" w:rsidP="00C37D51">
      <w:pPr>
        <w:spacing w:line="360" w:lineRule="auto"/>
        <w:ind w:firstLine="720"/>
        <w:jc w:val="both"/>
        <w:rPr>
          <w:sz w:val="12"/>
          <w:szCs w:val="12"/>
        </w:rPr>
      </w:pPr>
    </w:p>
    <w:p w14:paraId="45197B87" w14:textId="0FDC98D4" w:rsidR="00D51AA7" w:rsidRPr="00FA1245" w:rsidRDefault="00D51AA7" w:rsidP="00C82382">
      <w:pPr>
        <w:ind w:left="1440"/>
        <w:jc w:val="both"/>
        <w:rPr>
          <w:sz w:val="22"/>
          <w:szCs w:val="22"/>
        </w:rPr>
      </w:pPr>
      <w:r w:rsidRPr="00FA1245">
        <w:rPr>
          <w:sz w:val="22"/>
          <w:szCs w:val="22"/>
        </w:rPr>
        <w:t>“</w:t>
      </w:r>
      <w:r w:rsidR="001C6AAC">
        <w:rPr>
          <w:sz w:val="22"/>
          <w:szCs w:val="22"/>
        </w:rPr>
        <w:t xml:space="preserve">… </w:t>
      </w:r>
      <w:r w:rsidRPr="00FA1245">
        <w:rPr>
          <w:sz w:val="22"/>
          <w:szCs w:val="22"/>
        </w:rPr>
        <w:t>any interested person with a direct and substantial interest may approach the court for determination of an existing, future and contingent right which could prejudicially affected by the decision of the court as the first step. The second rung of the test, is that the court must decide whether or not the case in question is one it should properly exercise its discretion.”</w:t>
      </w:r>
    </w:p>
    <w:p w14:paraId="7DA4C90C" w14:textId="77777777" w:rsidR="00EB1A47" w:rsidRPr="008B666A" w:rsidRDefault="00EB1A47" w:rsidP="00D51AA7">
      <w:pPr>
        <w:spacing w:line="360" w:lineRule="auto"/>
        <w:ind w:left="1440"/>
        <w:jc w:val="both"/>
        <w:rPr>
          <w:sz w:val="18"/>
          <w:szCs w:val="18"/>
        </w:rPr>
      </w:pPr>
    </w:p>
    <w:p w14:paraId="35C1DDDA" w14:textId="77284681" w:rsidR="00892FA3" w:rsidRDefault="008A6728" w:rsidP="00EB1A47">
      <w:pPr>
        <w:spacing w:line="360" w:lineRule="auto"/>
        <w:ind w:firstLine="720"/>
        <w:jc w:val="both"/>
      </w:pPr>
      <w:r>
        <w:t xml:space="preserve">In </w:t>
      </w:r>
      <w:r w:rsidRPr="00277F60">
        <w:rPr>
          <w:i/>
        </w:rPr>
        <w:t>casu</w:t>
      </w:r>
      <w:r>
        <w:t>, the applicant</w:t>
      </w:r>
      <w:r w:rsidR="00F859AB">
        <w:t>’s</w:t>
      </w:r>
      <w:r>
        <w:t xml:space="preserve"> </w:t>
      </w:r>
      <w:r w:rsidR="00EB1A47">
        <w:t xml:space="preserve">property </w:t>
      </w:r>
      <w:r>
        <w:t>was purportedly declared forfeited to the State by an official not authorized at law to perform such a function. As argued on behalf of the applicant</w:t>
      </w:r>
      <w:r w:rsidR="00FA6A39">
        <w:t xml:space="preserve">, it is only the Commissioner-General of the first </w:t>
      </w:r>
      <w:r>
        <w:t xml:space="preserve">respondent who has the power to declare a forfeiture of property seized. </w:t>
      </w:r>
      <w:r w:rsidR="00892FA3">
        <w:t>Wit</w:t>
      </w:r>
      <w:r w:rsidR="00B34CE4">
        <w:t xml:space="preserve">h this in mind, it is incumbent upon </w:t>
      </w:r>
      <w:r w:rsidR="00892FA3">
        <w:t xml:space="preserve">this court </w:t>
      </w:r>
      <w:r w:rsidR="00B34CE4">
        <w:t xml:space="preserve">to </w:t>
      </w:r>
      <w:r w:rsidR="00081D8C">
        <w:t>determine</w:t>
      </w:r>
      <w:r w:rsidR="00892FA3">
        <w:t xml:space="preserve"> the rights of the applicant with regard</w:t>
      </w:r>
      <w:r w:rsidR="00081D8C">
        <w:t>s to the property. This approach was adopted</w:t>
      </w:r>
      <w:r w:rsidR="00712BEB">
        <w:t xml:space="preserve"> in</w:t>
      </w:r>
      <w:r w:rsidR="00892FA3">
        <w:t xml:space="preserve"> </w:t>
      </w:r>
      <w:r w:rsidR="00081D8C">
        <w:rPr>
          <w:i/>
        </w:rPr>
        <w:t xml:space="preserve">Mushishi </w:t>
      </w:r>
      <w:r w:rsidR="00081D8C" w:rsidRPr="007D39D6">
        <w:t>v</w:t>
      </w:r>
      <w:r w:rsidR="00892FA3" w:rsidRPr="007D39D6">
        <w:t xml:space="preserve"> </w:t>
      </w:r>
      <w:r w:rsidR="00892FA3" w:rsidRPr="00892FA3">
        <w:rPr>
          <w:i/>
        </w:rPr>
        <w:t>Lifeline Syndicate &amp; Anor</w:t>
      </w:r>
      <w:r w:rsidR="00892FA3">
        <w:t xml:space="preserve"> 1990 (1) ZLR 289 (H) at 289</w:t>
      </w:r>
      <w:r w:rsidR="00081D8C">
        <w:t>, where</w:t>
      </w:r>
      <w:r w:rsidR="00892FA3">
        <w:t xml:space="preserve"> </w:t>
      </w:r>
      <w:r w:rsidR="00892FA3" w:rsidRPr="007D39D6">
        <w:rPr>
          <w:smallCaps/>
        </w:rPr>
        <w:t>Greenland</w:t>
      </w:r>
      <w:r w:rsidR="00892FA3">
        <w:t xml:space="preserve"> J, enunciated that:</w:t>
      </w:r>
    </w:p>
    <w:p w14:paraId="151708AE" w14:textId="77777777" w:rsidR="007D39D6" w:rsidRDefault="007D39D6" w:rsidP="00081D8C">
      <w:pPr>
        <w:ind w:left="1440"/>
        <w:jc w:val="both"/>
        <w:rPr>
          <w:sz w:val="16"/>
          <w:szCs w:val="16"/>
        </w:rPr>
      </w:pPr>
    </w:p>
    <w:p w14:paraId="6968BDD9" w14:textId="77777777" w:rsidR="00892FA3" w:rsidRPr="00081D8C" w:rsidRDefault="00892FA3" w:rsidP="00081D8C">
      <w:pPr>
        <w:ind w:left="1440"/>
        <w:jc w:val="both"/>
        <w:rPr>
          <w:sz w:val="22"/>
          <w:szCs w:val="22"/>
        </w:rPr>
      </w:pPr>
      <w:r w:rsidRPr="00081D8C">
        <w:rPr>
          <w:sz w:val="22"/>
          <w:szCs w:val="22"/>
        </w:rPr>
        <w:t>“…still as the facts reveal a competition for rights in respect of claims, justice, common sense, and good order require judicial confirmation as this issue and the seeking of a declaratory order was indicated.”</w:t>
      </w:r>
    </w:p>
    <w:p w14:paraId="72481CDF" w14:textId="77777777" w:rsidR="00892FA3" w:rsidRDefault="00892FA3" w:rsidP="00892FA3">
      <w:pPr>
        <w:spacing w:line="360" w:lineRule="auto"/>
        <w:ind w:firstLine="720"/>
        <w:jc w:val="both"/>
      </w:pPr>
    </w:p>
    <w:p w14:paraId="5FB74B36" w14:textId="3488B6BF" w:rsidR="00766A26" w:rsidRDefault="00F2413A" w:rsidP="00B56FAE">
      <w:pPr>
        <w:spacing w:line="360" w:lineRule="auto"/>
        <w:ind w:firstLine="720"/>
        <w:jc w:val="both"/>
      </w:pPr>
      <w:r>
        <w:t xml:space="preserve">I also note that </w:t>
      </w:r>
      <w:r w:rsidR="00712BEB">
        <w:t xml:space="preserve">the cases of </w:t>
      </w:r>
      <w:r>
        <w:rPr>
          <w:i/>
        </w:rPr>
        <w:t xml:space="preserve">Adbro Investments Co. Ltd </w:t>
      </w:r>
      <w:r w:rsidRPr="007D39D6">
        <w:t>v</w:t>
      </w:r>
      <w:r w:rsidR="00892FA3" w:rsidRPr="007D39D6">
        <w:t xml:space="preserve"> </w:t>
      </w:r>
      <w:r w:rsidR="00892FA3" w:rsidRPr="00CE30FC">
        <w:rPr>
          <w:i/>
        </w:rPr>
        <w:t xml:space="preserve">Minister of the Interior and Ors </w:t>
      </w:r>
      <w:r w:rsidR="00892FA3">
        <w:t>1961 (3)</w:t>
      </w:r>
      <w:r w:rsidR="00712BEB">
        <w:t xml:space="preserve"> SA 283 (T) at 285B-C </w:t>
      </w:r>
      <w:r w:rsidR="00CE30FC">
        <w:t xml:space="preserve">and </w:t>
      </w:r>
      <w:r>
        <w:rPr>
          <w:i/>
        </w:rPr>
        <w:t xml:space="preserve">Johnsen </w:t>
      </w:r>
      <w:r w:rsidRPr="007D39D6">
        <w:t>v</w:t>
      </w:r>
      <w:r w:rsidR="00CE30FC" w:rsidRPr="007D39D6">
        <w:t xml:space="preserve"> </w:t>
      </w:r>
      <w:r w:rsidR="00CE30FC" w:rsidRPr="00CE30FC">
        <w:rPr>
          <w:i/>
        </w:rPr>
        <w:t>AFC</w:t>
      </w:r>
      <w:r w:rsidR="00CE30FC">
        <w:t xml:space="preserve"> 1995 (1) ZLR 65 (H) are illustrative of this position, that, despite the fact that no consequential relief is sought, justice or convenience demands that a declaration be made as to the existence of or the nature of a legal right claimed by the applicant. </w:t>
      </w:r>
      <w:r w:rsidR="008A6728">
        <w:t>In terms of the Customs and Excise Act, seizure and forfeiture are two distinct acts. Section 193</w:t>
      </w:r>
      <w:r w:rsidR="00EF4017">
        <w:t xml:space="preserve"> </w:t>
      </w:r>
      <w:r w:rsidR="008A6728">
        <w:t>(1) of the Act states that an officer may seize an article on reasonable grounds of believing the article is liable to se</w:t>
      </w:r>
      <w:r w:rsidR="002569BF">
        <w:t>izure, while</w:t>
      </w:r>
      <w:r w:rsidR="008A6728">
        <w:t xml:space="preserve"> </w:t>
      </w:r>
      <w:r w:rsidR="007D39D6">
        <w:t>s</w:t>
      </w:r>
      <w:r w:rsidR="008A6728">
        <w:t xml:space="preserve"> 193</w:t>
      </w:r>
      <w:r w:rsidR="00EF4017">
        <w:t xml:space="preserve"> </w:t>
      </w:r>
      <w:r w:rsidR="008A6728">
        <w:t xml:space="preserve">(5) </w:t>
      </w:r>
      <w:r w:rsidR="0052431D">
        <w:t xml:space="preserve">provides that after the seizure, the officer </w:t>
      </w:r>
      <w:r w:rsidR="009239FB">
        <w:t>is required to report</w:t>
      </w:r>
      <w:r w:rsidR="0052431D">
        <w:t xml:space="preserve"> the fact of seizure to the Commissioner. </w:t>
      </w:r>
      <w:r w:rsidR="003F31DD">
        <w:t xml:space="preserve">Then, </w:t>
      </w:r>
      <w:r w:rsidR="007D39D6">
        <w:t xml:space="preserve">s </w:t>
      </w:r>
      <w:r w:rsidR="0052431D">
        <w:t>193</w:t>
      </w:r>
      <w:r w:rsidR="00AA6FF0">
        <w:t xml:space="preserve"> </w:t>
      </w:r>
      <w:r w:rsidR="0052431D">
        <w:t>(6)</w:t>
      </w:r>
      <w:r w:rsidR="003F31DD">
        <w:t>,</w:t>
      </w:r>
      <w:r w:rsidR="0052431D">
        <w:t xml:space="preserve"> </w:t>
      </w:r>
      <w:r w:rsidR="0052431D" w:rsidRPr="002569BF">
        <w:rPr>
          <w:i/>
        </w:rPr>
        <w:t>inter alia</w:t>
      </w:r>
      <w:r w:rsidR="003F31DD">
        <w:rPr>
          <w:i/>
        </w:rPr>
        <w:t>,</w:t>
      </w:r>
      <w:r w:rsidR="003F31DD">
        <w:t xml:space="preserve"> requires the Commissioner</w:t>
      </w:r>
      <w:r w:rsidR="0052431D">
        <w:t xml:space="preserve"> on receipt of the report </w:t>
      </w:r>
      <w:r w:rsidR="00C75912">
        <w:t xml:space="preserve">of seizure, to do one three things. First, he may </w:t>
      </w:r>
      <w:r w:rsidR="0052431D">
        <w:t xml:space="preserve">order </w:t>
      </w:r>
      <w:r w:rsidR="0052431D">
        <w:lastRenderedPageBreak/>
        <w:t>releas</w:t>
      </w:r>
      <w:r w:rsidR="00C75912">
        <w:t>e of the article from seizure. The second option is to</w:t>
      </w:r>
      <w:r w:rsidR="0052431D">
        <w:t xml:space="preserve"> declare </w:t>
      </w:r>
      <w:r w:rsidR="00C75912">
        <w:t xml:space="preserve">the </w:t>
      </w:r>
      <w:r w:rsidR="0052431D">
        <w:t xml:space="preserve">article forfeited </w:t>
      </w:r>
      <w:r w:rsidR="00C75912">
        <w:t xml:space="preserve">to the State. Finally, if the article cannot </w:t>
      </w:r>
      <w:r w:rsidR="0052431D">
        <w:t xml:space="preserve">be found, </w:t>
      </w:r>
      <w:r w:rsidR="0055325F">
        <w:t xml:space="preserve">the Commissioner may </w:t>
      </w:r>
      <w:r w:rsidR="0052431D">
        <w:t>declare that the person concerned pa</w:t>
      </w:r>
      <w:r w:rsidR="0055325F">
        <w:t>ys an amount equal to the duty-</w:t>
      </w:r>
      <w:r w:rsidR="0052431D">
        <w:t xml:space="preserve">paid value of such article. It is clear from the law that only the Commissioner may declare an article forfeited. </w:t>
      </w:r>
      <w:r w:rsidR="00CE30FC">
        <w:t xml:space="preserve">Therefore, the declaration made by the Regional Manager was in the circumstances unlawful and null and void. </w:t>
      </w:r>
      <w:r w:rsidR="00766A26">
        <w:t>In my view the pr</w:t>
      </w:r>
      <w:r w:rsidR="00B56FAE">
        <w:t>esent application ought to succeed and,</w:t>
      </w:r>
      <w:r w:rsidR="00766A26">
        <w:t xml:space="preserve"> according</w:t>
      </w:r>
      <w:r w:rsidR="00B56FAE">
        <w:t>ly, the</w:t>
      </w:r>
      <w:r w:rsidR="00766A26">
        <w:t xml:space="preserve"> or</w:t>
      </w:r>
      <w:r w:rsidR="00B56FAE">
        <w:t>der that I grant is as</w:t>
      </w:r>
      <w:r w:rsidR="00766A26">
        <w:t xml:space="preserve"> follows:</w:t>
      </w:r>
    </w:p>
    <w:p w14:paraId="15CD4570" w14:textId="77777777" w:rsidR="00766A26" w:rsidRPr="00B56FAE" w:rsidRDefault="00766A26" w:rsidP="00766A26">
      <w:pPr>
        <w:spacing w:line="360" w:lineRule="auto"/>
        <w:ind w:firstLine="720"/>
        <w:jc w:val="both"/>
        <w:rPr>
          <w:sz w:val="16"/>
          <w:szCs w:val="16"/>
        </w:rPr>
      </w:pPr>
    </w:p>
    <w:p w14:paraId="7EEDA5F6" w14:textId="104A6684" w:rsidR="00B57EE0" w:rsidRDefault="007E0058" w:rsidP="00B57EE0">
      <w:pPr>
        <w:pStyle w:val="ListParagraph"/>
        <w:numPr>
          <w:ilvl w:val="0"/>
          <w:numId w:val="20"/>
        </w:numPr>
        <w:spacing w:line="360" w:lineRule="auto"/>
        <w:jc w:val="both"/>
      </w:pPr>
      <w:r>
        <w:t>T</w:t>
      </w:r>
      <w:r w:rsidR="00B56FAE">
        <w:t xml:space="preserve">he decision of the </w:t>
      </w:r>
      <w:r w:rsidR="00D7587E">
        <w:t>r</w:t>
      </w:r>
      <w:r w:rsidR="00260432">
        <w:t xml:space="preserve">espondent declaring forfeited to the State property belonging to the applicant, the property </w:t>
      </w:r>
      <w:r w:rsidR="00B57EE0">
        <w:t>in question being four motor vehicles and their trailers, namely TRUCK HLH056FS (TAILER TVH294GP); TRUCK HLH051FS (TRAILER FZ25WGGP); TRUCK HLH049FS (TRAILER VDW723GP) and TRUCK HJZ 717FS (TRAILER JF58CWGP), be and is hereby declared null and void and of no force or effect.</w:t>
      </w:r>
    </w:p>
    <w:p w14:paraId="60A20F9E" w14:textId="77777777" w:rsidR="00200B06" w:rsidRPr="00200B06" w:rsidRDefault="00200B06" w:rsidP="00200B06">
      <w:pPr>
        <w:pStyle w:val="ListParagraph"/>
        <w:spacing w:line="360" w:lineRule="auto"/>
        <w:ind w:left="1080"/>
        <w:jc w:val="both"/>
        <w:rPr>
          <w:sz w:val="8"/>
          <w:szCs w:val="8"/>
        </w:rPr>
      </w:pPr>
    </w:p>
    <w:p w14:paraId="7E04CB1F" w14:textId="77777777" w:rsidR="00B57EE0" w:rsidRDefault="00B57EE0" w:rsidP="00B57EE0">
      <w:pPr>
        <w:spacing w:line="360" w:lineRule="auto"/>
        <w:ind w:left="720"/>
        <w:jc w:val="both"/>
      </w:pPr>
      <w:r>
        <w:t xml:space="preserve">AS CONSEQUENTIAL RELIEF, IT IS ORDERED </w:t>
      </w:r>
    </w:p>
    <w:p w14:paraId="18F14EBD" w14:textId="085D620E" w:rsidR="00B57EE0" w:rsidRDefault="00681D5D" w:rsidP="00766A26">
      <w:pPr>
        <w:pStyle w:val="ListParagraph"/>
        <w:numPr>
          <w:ilvl w:val="0"/>
          <w:numId w:val="20"/>
        </w:numPr>
        <w:spacing w:line="360" w:lineRule="auto"/>
        <w:jc w:val="both"/>
      </w:pPr>
      <w:r>
        <w:t>T</w:t>
      </w:r>
      <w:r w:rsidR="00607C9D">
        <w:t>he decision of the first r</w:t>
      </w:r>
      <w:r w:rsidR="00B57EE0">
        <w:t>espondent declaring forfeited to the State property belonging to the applicant, the property in question being four motor vehic</w:t>
      </w:r>
      <w:r w:rsidR="00CA089E">
        <w:t xml:space="preserve">les and their trailers, namely </w:t>
      </w:r>
      <w:r w:rsidR="00B57EE0">
        <w:t>TRUCK HLH056FS (TAILER TVH294GP); TRUCK HLH051FS (TRAILER FZ25WGGP); TRUCK HLH049FS (TRAILER VDW723GP) and TRUCK HJZ 717FS (TRAILER JF58CWGP), must be released to the applicant subject to the following conditions:</w:t>
      </w:r>
    </w:p>
    <w:p w14:paraId="018768BD" w14:textId="77777777" w:rsidR="005151BA" w:rsidRPr="005151BA" w:rsidRDefault="005151BA" w:rsidP="005151BA">
      <w:pPr>
        <w:pStyle w:val="ListParagraph"/>
        <w:spacing w:line="360" w:lineRule="auto"/>
        <w:ind w:left="1080"/>
        <w:jc w:val="both"/>
        <w:rPr>
          <w:sz w:val="8"/>
          <w:szCs w:val="8"/>
        </w:rPr>
      </w:pPr>
    </w:p>
    <w:p w14:paraId="7C66607A" w14:textId="77777777" w:rsidR="00B57EE0" w:rsidRDefault="00B57EE0" w:rsidP="00B57EE0">
      <w:pPr>
        <w:pStyle w:val="ListParagraph"/>
        <w:numPr>
          <w:ilvl w:val="0"/>
          <w:numId w:val="22"/>
        </w:numPr>
        <w:spacing w:line="360" w:lineRule="auto"/>
        <w:jc w:val="both"/>
      </w:pPr>
      <w:r>
        <w:t>Payment of a fine as determined by the respondent.</w:t>
      </w:r>
    </w:p>
    <w:p w14:paraId="7E9034E2" w14:textId="5A1C1C6A" w:rsidR="00B57EE0" w:rsidRDefault="00B56FAE" w:rsidP="00B57EE0">
      <w:pPr>
        <w:pStyle w:val="ListParagraph"/>
        <w:numPr>
          <w:ilvl w:val="0"/>
          <w:numId w:val="22"/>
        </w:numPr>
        <w:spacing w:line="360" w:lineRule="auto"/>
        <w:jc w:val="both"/>
      </w:pPr>
      <w:r>
        <w:t>Payment of storage charges.</w:t>
      </w:r>
    </w:p>
    <w:p w14:paraId="037AE26E" w14:textId="77777777" w:rsidR="00B56FAE" w:rsidRPr="00B56FAE" w:rsidRDefault="00B56FAE" w:rsidP="00B56FAE">
      <w:pPr>
        <w:pStyle w:val="ListParagraph"/>
        <w:spacing w:line="360" w:lineRule="auto"/>
        <w:ind w:left="1440"/>
        <w:jc w:val="both"/>
        <w:rPr>
          <w:sz w:val="8"/>
          <w:szCs w:val="8"/>
        </w:rPr>
      </w:pPr>
    </w:p>
    <w:p w14:paraId="7D49B902" w14:textId="3E2978B3" w:rsidR="0078604C" w:rsidRDefault="00B57EE0" w:rsidP="00B57EE0">
      <w:pPr>
        <w:pStyle w:val="ListParagraph"/>
        <w:numPr>
          <w:ilvl w:val="0"/>
          <w:numId w:val="20"/>
        </w:numPr>
        <w:spacing w:line="360" w:lineRule="auto"/>
        <w:jc w:val="both"/>
      </w:pPr>
      <w:r>
        <w:t xml:space="preserve">Each party shall bear its own costs. </w:t>
      </w:r>
    </w:p>
    <w:p w14:paraId="58084E9B" w14:textId="7CE537FB" w:rsidR="007438DE" w:rsidRDefault="007438DE" w:rsidP="007438DE">
      <w:pPr>
        <w:spacing w:line="360" w:lineRule="auto"/>
        <w:jc w:val="both"/>
      </w:pPr>
    </w:p>
    <w:p w14:paraId="2E145D4F" w14:textId="77777777" w:rsidR="00C44560" w:rsidRDefault="00C44560" w:rsidP="00C44560">
      <w:pPr>
        <w:jc w:val="both"/>
        <w:rPr>
          <w:i/>
        </w:rPr>
      </w:pPr>
    </w:p>
    <w:p w14:paraId="4FD146D3" w14:textId="77777777" w:rsidR="00C44560" w:rsidRDefault="00C44560" w:rsidP="00C44560">
      <w:pPr>
        <w:jc w:val="both"/>
        <w:rPr>
          <w:i/>
        </w:rPr>
      </w:pPr>
    </w:p>
    <w:p w14:paraId="282DBBBE" w14:textId="77777777" w:rsidR="00C44560" w:rsidRDefault="00C44560" w:rsidP="00C44560">
      <w:pPr>
        <w:jc w:val="both"/>
        <w:rPr>
          <w:i/>
        </w:rPr>
      </w:pPr>
    </w:p>
    <w:p w14:paraId="7BD77E59" w14:textId="77777777" w:rsidR="007D39D6" w:rsidRDefault="007D39D6" w:rsidP="00C44560">
      <w:pPr>
        <w:jc w:val="both"/>
        <w:rPr>
          <w:i/>
        </w:rPr>
      </w:pPr>
    </w:p>
    <w:p w14:paraId="00A1891B" w14:textId="0EBA9D35" w:rsidR="007438DE" w:rsidRDefault="007438DE" w:rsidP="00C44560">
      <w:pPr>
        <w:jc w:val="both"/>
      </w:pPr>
      <w:r w:rsidRPr="007438DE">
        <w:rPr>
          <w:i/>
        </w:rPr>
        <w:t>E Gijima Attorneys</w:t>
      </w:r>
      <w:r>
        <w:t>, applicant’s legal practitioners</w:t>
      </w:r>
    </w:p>
    <w:p w14:paraId="6067BBF4" w14:textId="5D13E916" w:rsidR="007438DE" w:rsidRPr="007C7786" w:rsidRDefault="007438DE" w:rsidP="00C44560">
      <w:pPr>
        <w:jc w:val="both"/>
      </w:pPr>
      <w:r w:rsidRPr="003D3ED0">
        <w:rPr>
          <w:i/>
        </w:rPr>
        <w:t>Z</w:t>
      </w:r>
      <w:r w:rsidR="003D3ED0" w:rsidRPr="003D3ED0">
        <w:rPr>
          <w:i/>
        </w:rPr>
        <w:t>IMRA Legal Division</w:t>
      </w:r>
      <w:r>
        <w:t xml:space="preserve">, </w:t>
      </w:r>
      <w:r w:rsidR="00C44560">
        <w:t>the first respondent’s legal practitioners</w:t>
      </w:r>
    </w:p>
    <w:sectPr w:rsidR="007438DE" w:rsidRPr="007C7786" w:rsidSect="00500A5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AF92A" w14:textId="77777777" w:rsidR="001E218B" w:rsidRDefault="001E218B" w:rsidP="005A4D7A">
      <w:r>
        <w:separator/>
      </w:r>
    </w:p>
  </w:endnote>
  <w:endnote w:type="continuationSeparator" w:id="0">
    <w:p w14:paraId="1D4A6072" w14:textId="77777777" w:rsidR="001E218B" w:rsidRDefault="001E218B" w:rsidP="005A4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BD7289" w14:textId="77777777" w:rsidR="001E218B" w:rsidRDefault="001E218B" w:rsidP="005A4D7A">
      <w:r>
        <w:separator/>
      </w:r>
    </w:p>
  </w:footnote>
  <w:footnote w:type="continuationSeparator" w:id="0">
    <w:p w14:paraId="39897842" w14:textId="77777777" w:rsidR="001E218B" w:rsidRDefault="001E218B" w:rsidP="005A4D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5997687"/>
      <w:docPartObj>
        <w:docPartGallery w:val="Page Numbers (Top of Page)"/>
        <w:docPartUnique/>
      </w:docPartObj>
    </w:sdtPr>
    <w:sdtEndPr>
      <w:rPr>
        <w:noProof/>
      </w:rPr>
    </w:sdtEndPr>
    <w:sdtContent>
      <w:p w14:paraId="175FBB8E" w14:textId="393C7A3A" w:rsidR="006C09CB" w:rsidRDefault="000A32A9">
        <w:pPr>
          <w:pStyle w:val="Header"/>
          <w:jc w:val="right"/>
          <w:rPr>
            <w:noProof/>
          </w:rPr>
        </w:pPr>
        <w:r>
          <w:fldChar w:fldCharType="begin"/>
        </w:r>
        <w:r>
          <w:instrText xml:space="preserve"> PAGE   \* MERGEFORMAT </w:instrText>
        </w:r>
        <w:r>
          <w:fldChar w:fldCharType="separate"/>
        </w:r>
        <w:r w:rsidR="005C3B4B">
          <w:rPr>
            <w:noProof/>
          </w:rPr>
          <w:t>1</w:t>
        </w:r>
        <w:r>
          <w:rPr>
            <w:noProof/>
          </w:rPr>
          <w:fldChar w:fldCharType="end"/>
        </w:r>
      </w:p>
      <w:p w14:paraId="48D8A0F7" w14:textId="01D4F4EE" w:rsidR="006C09CB" w:rsidRDefault="006C09CB">
        <w:pPr>
          <w:pStyle w:val="Header"/>
          <w:jc w:val="right"/>
          <w:rPr>
            <w:noProof/>
          </w:rPr>
        </w:pPr>
        <w:r>
          <w:rPr>
            <w:noProof/>
          </w:rPr>
          <w:t>HH</w:t>
        </w:r>
        <w:r w:rsidR="00EF7715">
          <w:rPr>
            <w:noProof/>
          </w:rPr>
          <w:t xml:space="preserve"> 520-23</w:t>
        </w:r>
      </w:p>
      <w:p w14:paraId="0ED1F94F" w14:textId="635A9AAD" w:rsidR="000A32A9" w:rsidRDefault="006C09CB">
        <w:pPr>
          <w:pStyle w:val="Header"/>
          <w:jc w:val="right"/>
        </w:pPr>
        <w:r>
          <w:rPr>
            <w:noProof/>
          </w:rPr>
          <w:t>HC 4941/22</w:t>
        </w:r>
      </w:p>
    </w:sdtContent>
  </w:sdt>
  <w:p w14:paraId="64ACDE86" w14:textId="77777777" w:rsidR="005A4D7A" w:rsidRDefault="005A4D7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1DFA"/>
    <w:multiLevelType w:val="hybridMultilevel"/>
    <w:tmpl w:val="1A160BE4"/>
    <w:lvl w:ilvl="0" w:tplc="AAECC55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3451B24"/>
    <w:multiLevelType w:val="hybridMultilevel"/>
    <w:tmpl w:val="C45A3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32837"/>
    <w:multiLevelType w:val="hybridMultilevel"/>
    <w:tmpl w:val="E946B29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2E048CD"/>
    <w:multiLevelType w:val="hybridMultilevel"/>
    <w:tmpl w:val="ADC25D5A"/>
    <w:lvl w:ilvl="0" w:tplc="380EE75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76402EF"/>
    <w:multiLevelType w:val="hybridMultilevel"/>
    <w:tmpl w:val="9848A35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1B280812"/>
    <w:multiLevelType w:val="hybridMultilevel"/>
    <w:tmpl w:val="06122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66D01"/>
    <w:multiLevelType w:val="hybridMultilevel"/>
    <w:tmpl w:val="A9D0178A"/>
    <w:lvl w:ilvl="0" w:tplc="1194D95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245F0DA7"/>
    <w:multiLevelType w:val="hybridMultilevel"/>
    <w:tmpl w:val="027CBE7C"/>
    <w:lvl w:ilvl="0" w:tplc="C7B0226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32FE6911"/>
    <w:multiLevelType w:val="hybridMultilevel"/>
    <w:tmpl w:val="223E0B8C"/>
    <w:lvl w:ilvl="0" w:tplc="638A22BE">
      <w:start w:val="1"/>
      <w:numFmt w:val="decimal"/>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373A7594"/>
    <w:multiLevelType w:val="hybridMultilevel"/>
    <w:tmpl w:val="24F40968"/>
    <w:lvl w:ilvl="0" w:tplc="ACE8E2C4">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15:restartNumberingAfterBreak="0">
    <w:nsid w:val="44F53390"/>
    <w:multiLevelType w:val="hybridMultilevel"/>
    <w:tmpl w:val="EEA282FA"/>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44F94F51"/>
    <w:multiLevelType w:val="hybridMultilevel"/>
    <w:tmpl w:val="3E0E0702"/>
    <w:lvl w:ilvl="0" w:tplc="C58621CE">
      <w:start w:val="1"/>
      <w:numFmt w:val="bullet"/>
      <w:lvlText w:val=""/>
      <w:lvlJc w:val="left"/>
      <w:pPr>
        <w:ind w:left="1800" w:hanging="360"/>
      </w:pPr>
      <w:rPr>
        <w:rFonts w:ascii="Symbol" w:eastAsiaTheme="minorHAnsi" w:hAnsi="Symbol" w:cs="Times New Roman" w:hint="default"/>
      </w:rPr>
    </w:lvl>
    <w:lvl w:ilvl="1" w:tplc="30090003" w:tentative="1">
      <w:start w:val="1"/>
      <w:numFmt w:val="bullet"/>
      <w:lvlText w:val="o"/>
      <w:lvlJc w:val="left"/>
      <w:pPr>
        <w:ind w:left="2520" w:hanging="360"/>
      </w:pPr>
      <w:rPr>
        <w:rFonts w:ascii="Courier New" w:hAnsi="Courier New" w:cs="Courier New" w:hint="default"/>
      </w:rPr>
    </w:lvl>
    <w:lvl w:ilvl="2" w:tplc="30090005" w:tentative="1">
      <w:start w:val="1"/>
      <w:numFmt w:val="bullet"/>
      <w:lvlText w:val=""/>
      <w:lvlJc w:val="left"/>
      <w:pPr>
        <w:ind w:left="3240" w:hanging="360"/>
      </w:pPr>
      <w:rPr>
        <w:rFonts w:ascii="Wingdings" w:hAnsi="Wingdings" w:hint="default"/>
      </w:rPr>
    </w:lvl>
    <w:lvl w:ilvl="3" w:tplc="30090001" w:tentative="1">
      <w:start w:val="1"/>
      <w:numFmt w:val="bullet"/>
      <w:lvlText w:val=""/>
      <w:lvlJc w:val="left"/>
      <w:pPr>
        <w:ind w:left="3960" w:hanging="360"/>
      </w:pPr>
      <w:rPr>
        <w:rFonts w:ascii="Symbol" w:hAnsi="Symbol" w:hint="default"/>
      </w:rPr>
    </w:lvl>
    <w:lvl w:ilvl="4" w:tplc="30090003" w:tentative="1">
      <w:start w:val="1"/>
      <w:numFmt w:val="bullet"/>
      <w:lvlText w:val="o"/>
      <w:lvlJc w:val="left"/>
      <w:pPr>
        <w:ind w:left="4680" w:hanging="360"/>
      </w:pPr>
      <w:rPr>
        <w:rFonts w:ascii="Courier New" w:hAnsi="Courier New" w:cs="Courier New" w:hint="default"/>
      </w:rPr>
    </w:lvl>
    <w:lvl w:ilvl="5" w:tplc="30090005" w:tentative="1">
      <w:start w:val="1"/>
      <w:numFmt w:val="bullet"/>
      <w:lvlText w:val=""/>
      <w:lvlJc w:val="left"/>
      <w:pPr>
        <w:ind w:left="5400" w:hanging="360"/>
      </w:pPr>
      <w:rPr>
        <w:rFonts w:ascii="Wingdings" w:hAnsi="Wingdings" w:hint="default"/>
      </w:rPr>
    </w:lvl>
    <w:lvl w:ilvl="6" w:tplc="30090001" w:tentative="1">
      <w:start w:val="1"/>
      <w:numFmt w:val="bullet"/>
      <w:lvlText w:val=""/>
      <w:lvlJc w:val="left"/>
      <w:pPr>
        <w:ind w:left="6120" w:hanging="360"/>
      </w:pPr>
      <w:rPr>
        <w:rFonts w:ascii="Symbol" w:hAnsi="Symbol" w:hint="default"/>
      </w:rPr>
    </w:lvl>
    <w:lvl w:ilvl="7" w:tplc="30090003" w:tentative="1">
      <w:start w:val="1"/>
      <w:numFmt w:val="bullet"/>
      <w:lvlText w:val="o"/>
      <w:lvlJc w:val="left"/>
      <w:pPr>
        <w:ind w:left="6840" w:hanging="360"/>
      </w:pPr>
      <w:rPr>
        <w:rFonts w:ascii="Courier New" w:hAnsi="Courier New" w:cs="Courier New" w:hint="default"/>
      </w:rPr>
    </w:lvl>
    <w:lvl w:ilvl="8" w:tplc="30090005" w:tentative="1">
      <w:start w:val="1"/>
      <w:numFmt w:val="bullet"/>
      <w:lvlText w:val=""/>
      <w:lvlJc w:val="left"/>
      <w:pPr>
        <w:ind w:left="7560" w:hanging="360"/>
      </w:pPr>
      <w:rPr>
        <w:rFonts w:ascii="Wingdings" w:hAnsi="Wingdings" w:hint="default"/>
      </w:rPr>
    </w:lvl>
  </w:abstractNum>
  <w:abstractNum w:abstractNumId="12" w15:restartNumberingAfterBreak="0">
    <w:nsid w:val="46D10756"/>
    <w:multiLevelType w:val="hybridMultilevel"/>
    <w:tmpl w:val="39863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E6236B"/>
    <w:multiLevelType w:val="hybridMultilevel"/>
    <w:tmpl w:val="D2603F36"/>
    <w:lvl w:ilvl="0" w:tplc="AC7461B4">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4" w15:restartNumberingAfterBreak="0">
    <w:nsid w:val="54366E14"/>
    <w:multiLevelType w:val="hybridMultilevel"/>
    <w:tmpl w:val="7390EA22"/>
    <w:lvl w:ilvl="0" w:tplc="C85AB00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565F4204"/>
    <w:multiLevelType w:val="hybridMultilevel"/>
    <w:tmpl w:val="BB3C769E"/>
    <w:lvl w:ilvl="0" w:tplc="A99A273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5C2070AE"/>
    <w:multiLevelType w:val="hybridMultilevel"/>
    <w:tmpl w:val="F266F6B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62FB7A68"/>
    <w:multiLevelType w:val="hybridMultilevel"/>
    <w:tmpl w:val="BDF60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C94474"/>
    <w:multiLevelType w:val="hybridMultilevel"/>
    <w:tmpl w:val="232A74FA"/>
    <w:lvl w:ilvl="0" w:tplc="1ECA92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0304263"/>
    <w:multiLevelType w:val="hybridMultilevel"/>
    <w:tmpl w:val="6964899E"/>
    <w:lvl w:ilvl="0" w:tplc="150CE5D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77097021"/>
    <w:multiLevelType w:val="hybridMultilevel"/>
    <w:tmpl w:val="FA1E077C"/>
    <w:lvl w:ilvl="0" w:tplc="9C0610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E9E4F49"/>
    <w:multiLevelType w:val="hybridMultilevel"/>
    <w:tmpl w:val="75B8A838"/>
    <w:lvl w:ilvl="0" w:tplc="BD9445E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1"/>
  </w:num>
  <w:num w:numId="2">
    <w:abstractNumId w:val="12"/>
  </w:num>
  <w:num w:numId="3">
    <w:abstractNumId w:val="21"/>
  </w:num>
  <w:num w:numId="4">
    <w:abstractNumId w:val="13"/>
  </w:num>
  <w:num w:numId="5">
    <w:abstractNumId w:val="8"/>
  </w:num>
  <w:num w:numId="6">
    <w:abstractNumId w:val="11"/>
  </w:num>
  <w:num w:numId="7">
    <w:abstractNumId w:val="10"/>
  </w:num>
  <w:num w:numId="8">
    <w:abstractNumId w:val="9"/>
  </w:num>
  <w:num w:numId="9">
    <w:abstractNumId w:val="0"/>
  </w:num>
  <w:num w:numId="10">
    <w:abstractNumId w:val="6"/>
  </w:num>
  <w:num w:numId="11">
    <w:abstractNumId w:val="14"/>
  </w:num>
  <w:num w:numId="12">
    <w:abstractNumId w:val="4"/>
  </w:num>
  <w:num w:numId="13">
    <w:abstractNumId w:val="19"/>
  </w:num>
  <w:num w:numId="14">
    <w:abstractNumId w:val="7"/>
  </w:num>
  <w:num w:numId="15">
    <w:abstractNumId w:val="15"/>
  </w:num>
  <w:num w:numId="16">
    <w:abstractNumId w:val="16"/>
  </w:num>
  <w:num w:numId="17">
    <w:abstractNumId w:val="2"/>
  </w:num>
  <w:num w:numId="18">
    <w:abstractNumId w:val="17"/>
  </w:num>
  <w:num w:numId="19">
    <w:abstractNumId w:val="5"/>
  </w:num>
  <w:num w:numId="20">
    <w:abstractNumId w:val="18"/>
  </w:num>
  <w:num w:numId="21">
    <w:abstractNumId w:val="2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DAxMbEwtbA0MjEzNzRV0lEKTi0uzszPAykwqgUA6odNvCwAAAA="/>
  </w:docVars>
  <w:rsids>
    <w:rsidRoot w:val="005A4D7A"/>
    <w:rsid w:val="0000187D"/>
    <w:rsid w:val="00003953"/>
    <w:rsid w:val="00005A33"/>
    <w:rsid w:val="000108D9"/>
    <w:rsid w:val="00014283"/>
    <w:rsid w:val="00015011"/>
    <w:rsid w:val="000178BC"/>
    <w:rsid w:val="00020014"/>
    <w:rsid w:val="0002003E"/>
    <w:rsid w:val="00024984"/>
    <w:rsid w:val="0002538E"/>
    <w:rsid w:val="00036F12"/>
    <w:rsid w:val="0003708D"/>
    <w:rsid w:val="00037D35"/>
    <w:rsid w:val="00040C2D"/>
    <w:rsid w:val="000437A6"/>
    <w:rsid w:val="00047457"/>
    <w:rsid w:val="00051BCE"/>
    <w:rsid w:val="000571B7"/>
    <w:rsid w:val="00060409"/>
    <w:rsid w:val="000611E9"/>
    <w:rsid w:val="0006233A"/>
    <w:rsid w:val="000642DE"/>
    <w:rsid w:val="00066EA2"/>
    <w:rsid w:val="000672F9"/>
    <w:rsid w:val="00067E90"/>
    <w:rsid w:val="00080A17"/>
    <w:rsid w:val="00080CB4"/>
    <w:rsid w:val="00081C16"/>
    <w:rsid w:val="00081D8C"/>
    <w:rsid w:val="00085B7B"/>
    <w:rsid w:val="00086001"/>
    <w:rsid w:val="000865EA"/>
    <w:rsid w:val="00090A23"/>
    <w:rsid w:val="000952B7"/>
    <w:rsid w:val="000965BC"/>
    <w:rsid w:val="0009791D"/>
    <w:rsid w:val="000A32A9"/>
    <w:rsid w:val="000A3431"/>
    <w:rsid w:val="000A59D6"/>
    <w:rsid w:val="000A5B71"/>
    <w:rsid w:val="000A6E82"/>
    <w:rsid w:val="000A77C6"/>
    <w:rsid w:val="000B67D7"/>
    <w:rsid w:val="000B7869"/>
    <w:rsid w:val="000C2DF8"/>
    <w:rsid w:val="000D04FF"/>
    <w:rsid w:val="000D059C"/>
    <w:rsid w:val="000D0B80"/>
    <w:rsid w:val="000D0D48"/>
    <w:rsid w:val="000D534A"/>
    <w:rsid w:val="000D58E2"/>
    <w:rsid w:val="000D71D6"/>
    <w:rsid w:val="000E04DE"/>
    <w:rsid w:val="000E0734"/>
    <w:rsid w:val="000E158A"/>
    <w:rsid w:val="000E203B"/>
    <w:rsid w:val="000E2799"/>
    <w:rsid w:val="000E4218"/>
    <w:rsid w:val="000F0104"/>
    <w:rsid w:val="000F17BB"/>
    <w:rsid w:val="000F1A58"/>
    <w:rsid w:val="000F1D04"/>
    <w:rsid w:val="000F26B8"/>
    <w:rsid w:val="000F2A05"/>
    <w:rsid w:val="000F3663"/>
    <w:rsid w:val="000F4196"/>
    <w:rsid w:val="000F5D3E"/>
    <w:rsid w:val="000F5F75"/>
    <w:rsid w:val="00102516"/>
    <w:rsid w:val="0010433B"/>
    <w:rsid w:val="00104513"/>
    <w:rsid w:val="00111097"/>
    <w:rsid w:val="00111262"/>
    <w:rsid w:val="00116A7B"/>
    <w:rsid w:val="00116E32"/>
    <w:rsid w:val="001204CB"/>
    <w:rsid w:val="00122F4E"/>
    <w:rsid w:val="001237E6"/>
    <w:rsid w:val="001243E4"/>
    <w:rsid w:val="00134BA3"/>
    <w:rsid w:val="00136D44"/>
    <w:rsid w:val="00141FC5"/>
    <w:rsid w:val="00146041"/>
    <w:rsid w:val="00150076"/>
    <w:rsid w:val="001510B4"/>
    <w:rsid w:val="00151BAF"/>
    <w:rsid w:val="0015244A"/>
    <w:rsid w:val="001528F8"/>
    <w:rsid w:val="001532D5"/>
    <w:rsid w:val="00153963"/>
    <w:rsid w:val="001550E0"/>
    <w:rsid w:val="00155A31"/>
    <w:rsid w:val="00160404"/>
    <w:rsid w:val="0016302F"/>
    <w:rsid w:val="0016794A"/>
    <w:rsid w:val="00171E1D"/>
    <w:rsid w:val="00175A5E"/>
    <w:rsid w:val="00193712"/>
    <w:rsid w:val="00196891"/>
    <w:rsid w:val="00197BA6"/>
    <w:rsid w:val="001A0769"/>
    <w:rsid w:val="001A0DED"/>
    <w:rsid w:val="001A36C2"/>
    <w:rsid w:val="001A4C1C"/>
    <w:rsid w:val="001B19B6"/>
    <w:rsid w:val="001B783A"/>
    <w:rsid w:val="001C1FD5"/>
    <w:rsid w:val="001C2442"/>
    <w:rsid w:val="001C5CAC"/>
    <w:rsid w:val="001C6AAC"/>
    <w:rsid w:val="001D0246"/>
    <w:rsid w:val="001D681C"/>
    <w:rsid w:val="001D69CA"/>
    <w:rsid w:val="001E218B"/>
    <w:rsid w:val="001E2CB7"/>
    <w:rsid w:val="001E3A2E"/>
    <w:rsid w:val="001E3F92"/>
    <w:rsid w:val="001E4D55"/>
    <w:rsid w:val="001E67D3"/>
    <w:rsid w:val="001F09AE"/>
    <w:rsid w:val="001F26A1"/>
    <w:rsid w:val="001F66F3"/>
    <w:rsid w:val="00200B06"/>
    <w:rsid w:val="00202EB6"/>
    <w:rsid w:val="002070F9"/>
    <w:rsid w:val="00210AA3"/>
    <w:rsid w:val="0021311B"/>
    <w:rsid w:val="002135CB"/>
    <w:rsid w:val="00214036"/>
    <w:rsid w:val="00216164"/>
    <w:rsid w:val="0021673D"/>
    <w:rsid w:val="00222C3C"/>
    <w:rsid w:val="0022768B"/>
    <w:rsid w:val="002320CE"/>
    <w:rsid w:val="002327DD"/>
    <w:rsid w:val="00232A80"/>
    <w:rsid w:val="0024550C"/>
    <w:rsid w:val="00245C7E"/>
    <w:rsid w:val="002506EF"/>
    <w:rsid w:val="00254367"/>
    <w:rsid w:val="002569BF"/>
    <w:rsid w:val="00256EB3"/>
    <w:rsid w:val="00260432"/>
    <w:rsid w:val="00260491"/>
    <w:rsid w:val="002610EF"/>
    <w:rsid w:val="0026143F"/>
    <w:rsid w:val="00261F3E"/>
    <w:rsid w:val="00264E2F"/>
    <w:rsid w:val="00272EAD"/>
    <w:rsid w:val="00277F60"/>
    <w:rsid w:val="0028493F"/>
    <w:rsid w:val="002850F5"/>
    <w:rsid w:val="00285E64"/>
    <w:rsid w:val="002862F4"/>
    <w:rsid w:val="002912A6"/>
    <w:rsid w:val="002918E2"/>
    <w:rsid w:val="00293088"/>
    <w:rsid w:val="00293B8C"/>
    <w:rsid w:val="002955E3"/>
    <w:rsid w:val="00296E9E"/>
    <w:rsid w:val="002A0A83"/>
    <w:rsid w:val="002A3CB3"/>
    <w:rsid w:val="002A6F91"/>
    <w:rsid w:val="002B640A"/>
    <w:rsid w:val="002D1397"/>
    <w:rsid w:val="002D1758"/>
    <w:rsid w:val="002D2D9C"/>
    <w:rsid w:val="002D34A3"/>
    <w:rsid w:val="002E6FBD"/>
    <w:rsid w:val="002F05E9"/>
    <w:rsid w:val="002F183A"/>
    <w:rsid w:val="002F1AA2"/>
    <w:rsid w:val="002F286B"/>
    <w:rsid w:val="002F60DF"/>
    <w:rsid w:val="0030244B"/>
    <w:rsid w:val="003024FA"/>
    <w:rsid w:val="00302E9F"/>
    <w:rsid w:val="00306E52"/>
    <w:rsid w:val="0031037A"/>
    <w:rsid w:val="00310778"/>
    <w:rsid w:val="003119D2"/>
    <w:rsid w:val="0031216D"/>
    <w:rsid w:val="003126EF"/>
    <w:rsid w:val="003128D2"/>
    <w:rsid w:val="00312EB5"/>
    <w:rsid w:val="00315360"/>
    <w:rsid w:val="00316234"/>
    <w:rsid w:val="0031791A"/>
    <w:rsid w:val="003269B4"/>
    <w:rsid w:val="0032732D"/>
    <w:rsid w:val="00332E56"/>
    <w:rsid w:val="00337377"/>
    <w:rsid w:val="00337DAA"/>
    <w:rsid w:val="003414FF"/>
    <w:rsid w:val="00345AEE"/>
    <w:rsid w:val="003463B3"/>
    <w:rsid w:val="0034645B"/>
    <w:rsid w:val="00350971"/>
    <w:rsid w:val="00350B7A"/>
    <w:rsid w:val="00350E8E"/>
    <w:rsid w:val="00355D5A"/>
    <w:rsid w:val="00356BD2"/>
    <w:rsid w:val="003612A4"/>
    <w:rsid w:val="00363C81"/>
    <w:rsid w:val="003648FB"/>
    <w:rsid w:val="003713EA"/>
    <w:rsid w:val="0037364A"/>
    <w:rsid w:val="00375350"/>
    <w:rsid w:val="00376C8F"/>
    <w:rsid w:val="0038358D"/>
    <w:rsid w:val="00384ACD"/>
    <w:rsid w:val="003919A9"/>
    <w:rsid w:val="00391D01"/>
    <w:rsid w:val="003937C0"/>
    <w:rsid w:val="0039522E"/>
    <w:rsid w:val="0039564B"/>
    <w:rsid w:val="00395ACD"/>
    <w:rsid w:val="00397C25"/>
    <w:rsid w:val="003A0463"/>
    <w:rsid w:val="003A20F2"/>
    <w:rsid w:val="003A67B7"/>
    <w:rsid w:val="003A7DFB"/>
    <w:rsid w:val="003B04C6"/>
    <w:rsid w:val="003B089D"/>
    <w:rsid w:val="003B46C1"/>
    <w:rsid w:val="003B6F5C"/>
    <w:rsid w:val="003B7670"/>
    <w:rsid w:val="003C00A5"/>
    <w:rsid w:val="003C2769"/>
    <w:rsid w:val="003D16C4"/>
    <w:rsid w:val="003D2D31"/>
    <w:rsid w:val="003D38D1"/>
    <w:rsid w:val="003D3A9D"/>
    <w:rsid w:val="003D3ED0"/>
    <w:rsid w:val="003E2799"/>
    <w:rsid w:val="003E2A69"/>
    <w:rsid w:val="003E3469"/>
    <w:rsid w:val="003E3FBE"/>
    <w:rsid w:val="003F16BA"/>
    <w:rsid w:val="003F1C94"/>
    <w:rsid w:val="003F1C99"/>
    <w:rsid w:val="003F2510"/>
    <w:rsid w:val="003F31DD"/>
    <w:rsid w:val="003F46E1"/>
    <w:rsid w:val="003F6A14"/>
    <w:rsid w:val="003F7E0D"/>
    <w:rsid w:val="004006A1"/>
    <w:rsid w:val="00400F8F"/>
    <w:rsid w:val="00401C12"/>
    <w:rsid w:val="00402955"/>
    <w:rsid w:val="00405423"/>
    <w:rsid w:val="00406705"/>
    <w:rsid w:val="0041120D"/>
    <w:rsid w:val="00412871"/>
    <w:rsid w:val="00413410"/>
    <w:rsid w:val="0041384D"/>
    <w:rsid w:val="0041406F"/>
    <w:rsid w:val="004169FF"/>
    <w:rsid w:val="004233D1"/>
    <w:rsid w:val="0042356D"/>
    <w:rsid w:val="00426038"/>
    <w:rsid w:val="00427E63"/>
    <w:rsid w:val="00430154"/>
    <w:rsid w:val="00434024"/>
    <w:rsid w:val="004348C6"/>
    <w:rsid w:val="00434DA7"/>
    <w:rsid w:val="00436BCA"/>
    <w:rsid w:val="00437249"/>
    <w:rsid w:val="00440149"/>
    <w:rsid w:val="00440FE6"/>
    <w:rsid w:val="0044147E"/>
    <w:rsid w:val="00442BE2"/>
    <w:rsid w:val="0044340E"/>
    <w:rsid w:val="00446C70"/>
    <w:rsid w:val="00447503"/>
    <w:rsid w:val="0045012B"/>
    <w:rsid w:val="0045356E"/>
    <w:rsid w:val="00457FF7"/>
    <w:rsid w:val="00461487"/>
    <w:rsid w:val="0046215A"/>
    <w:rsid w:val="004633DB"/>
    <w:rsid w:val="004655E0"/>
    <w:rsid w:val="0047026A"/>
    <w:rsid w:val="00472847"/>
    <w:rsid w:val="00480ADB"/>
    <w:rsid w:val="0048216B"/>
    <w:rsid w:val="00483E55"/>
    <w:rsid w:val="00486278"/>
    <w:rsid w:val="004906BC"/>
    <w:rsid w:val="0049394A"/>
    <w:rsid w:val="00494246"/>
    <w:rsid w:val="0049730D"/>
    <w:rsid w:val="004A3FB2"/>
    <w:rsid w:val="004A61A8"/>
    <w:rsid w:val="004B10DD"/>
    <w:rsid w:val="004B317E"/>
    <w:rsid w:val="004B56B5"/>
    <w:rsid w:val="004B6342"/>
    <w:rsid w:val="004B682A"/>
    <w:rsid w:val="004B6F2C"/>
    <w:rsid w:val="004B73BD"/>
    <w:rsid w:val="004C01D6"/>
    <w:rsid w:val="004C6E2F"/>
    <w:rsid w:val="004D0E53"/>
    <w:rsid w:val="004D1790"/>
    <w:rsid w:val="004D20EB"/>
    <w:rsid w:val="004D3C5A"/>
    <w:rsid w:val="004D529D"/>
    <w:rsid w:val="004E1ABB"/>
    <w:rsid w:val="004E1CA6"/>
    <w:rsid w:val="004E2DB6"/>
    <w:rsid w:val="004E6230"/>
    <w:rsid w:val="004F0D00"/>
    <w:rsid w:val="004F10AC"/>
    <w:rsid w:val="004F3423"/>
    <w:rsid w:val="00500A5F"/>
    <w:rsid w:val="00503F0D"/>
    <w:rsid w:val="00510068"/>
    <w:rsid w:val="005131BA"/>
    <w:rsid w:val="005151BA"/>
    <w:rsid w:val="005179AE"/>
    <w:rsid w:val="00522AE8"/>
    <w:rsid w:val="005235E2"/>
    <w:rsid w:val="0052431D"/>
    <w:rsid w:val="00530CAF"/>
    <w:rsid w:val="00530EA0"/>
    <w:rsid w:val="0053162E"/>
    <w:rsid w:val="00536DD0"/>
    <w:rsid w:val="00541304"/>
    <w:rsid w:val="00541615"/>
    <w:rsid w:val="0054216A"/>
    <w:rsid w:val="00544AB3"/>
    <w:rsid w:val="005455BF"/>
    <w:rsid w:val="00545E10"/>
    <w:rsid w:val="00550006"/>
    <w:rsid w:val="00551199"/>
    <w:rsid w:val="00551345"/>
    <w:rsid w:val="0055325F"/>
    <w:rsid w:val="005542E0"/>
    <w:rsid w:val="005573DA"/>
    <w:rsid w:val="0055781E"/>
    <w:rsid w:val="00565C43"/>
    <w:rsid w:val="005663B5"/>
    <w:rsid w:val="00570DA7"/>
    <w:rsid w:val="00572285"/>
    <w:rsid w:val="0057514A"/>
    <w:rsid w:val="00576AB1"/>
    <w:rsid w:val="00577F3E"/>
    <w:rsid w:val="00582248"/>
    <w:rsid w:val="00582299"/>
    <w:rsid w:val="0058439D"/>
    <w:rsid w:val="00585ADB"/>
    <w:rsid w:val="005907B6"/>
    <w:rsid w:val="0059196D"/>
    <w:rsid w:val="005A3112"/>
    <w:rsid w:val="005A4988"/>
    <w:rsid w:val="005A4D7A"/>
    <w:rsid w:val="005A7000"/>
    <w:rsid w:val="005A7777"/>
    <w:rsid w:val="005B0A12"/>
    <w:rsid w:val="005B1138"/>
    <w:rsid w:val="005B7086"/>
    <w:rsid w:val="005C3B4B"/>
    <w:rsid w:val="005C4004"/>
    <w:rsid w:val="005C4C0C"/>
    <w:rsid w:val="005C70F6"/>
    <w:rsid w:val="005D29EF"/>
    <w:rsid w:val="005D37E8"/>
    <w:rsid w:val="005D5403"/>
    <w:rsid w:val="005E3DC3"/>
    <w:rsid w:val="005E4C41"/>
    <w:rsid w:val="005E53B8"/>
    <w:rsid w:val="005E5CDB"/>
    <w:rsid w:val="005F3CDC"/>
    <w:rsid w:val="00602A43"/>
    <w:rsid w:val="00603CBA"/>
    <w:rsid w:val="006066D7"/>
    <w:rsid w:val="00607C9D"/>
    <w:rsid w:val="00607D87"/>
    <w:rsid w:val="006126E2"/>
    <w:rsid w:val="006133AF"/>
    <w:rsid w:val="0061454C"/>
    <w:rsid w:val="00617518"/>
    <w:rsid w:val="006212E7"/>
    <w:rsid w:val="00624989"/>
    <w:rsid w:val="00625475"/>
    <w:rsid w:val="00630348"/>
    <w:rsid w:val="006312A6"/>
    <w:rsid w:val="006334B3"/>
    <w:rsid w:val="006358B4"/>
    <w:rsid w:val="00635CC0"/>
    <w:rsid w:val="00637856"/>
    <w:rsid w:val="00643EFC"/>
    <w:rsid w:val="00646519"/>
    <w:rsid w:val="00650456"/>
    <w:rsid w:val="00651661"/>
    <w:rsid w:val="00651C0C"/>
    <w:rsid w:val="006522CB"/>
    <w:rsid w:val="00654D61"/>
    <w:rsid w:val="00656189"/>
    <w:rsid w:val="0065777F"/>
    <w:rsid w:val="006621C8"/>
    <w:rsid w:val="0066397C"/>
    <w:rsid w:val="00664246"/>
    <w:rsid w:val="00664375"/>
    <w:rsid w:val="0066779B"/>
    <w:rsid w:val="00671F28"/>
    <w:rsid w:val="006777B2"/>
    <w:rsid w:val="00681D5D"/>
    <w:rsid w:val="0068294A"/>
    <w:rsid w:val="00682E5A"/>
    <w:rsid w:val="00684658"/>
    <w:rsid w:val="00684BCF"/>
    <w:rsid w:val="00686691"/>
    <w:rsid w:val="006871EE"/>
    <w:rsid w:val="00687741"/>
    <w:rsid w:val="00690749"/>
    <w:rsid w:val="00690812"/>
    <w:rsid w:val="00690BD4"/>
    <w:rsid w:val="00692503"/>
    <w:rsid w:val="00693119"/>
    <w:rsid w:val="00693980"/>
    <w:rsid w:val="00694EE5"/>
    <w:rsid w:val="006967A1"/>
    <w:rsid w:val="006A3152"/>
    <w:rsid w:val="006B2068"/>
    <w:rsid w:val="006B30B6"/>
    <w:rsid w:val="006C09CB"/>
    <w:rsid w:val="006C4C49"/>
    <w:rsid w:val="006D7540"/>
    <w:rsid w:val="006D7B81"/>
    <w:rsid w:val="006E3078"/>
    <w:rsid w:val="006E4F06"/>
    <w:rsid w:val="006E58AE"/>
    <w:rsid w:val="006E65FF"/>
    <w:rsid w:val="006E7A16"/>
    <w:rsid w:val="006F1C05"/>
    <w:rsid w:val="006F4D38"/>
    <w:rsid w:val="006F623A"/>
    <w:rsid w:val="00707C19"/>
    <w:rsid w:val="00712BEB"/>
    <w:rsid w:val="00717EC6"/>
    <w:rsid w:val="00725659"/>
    <w:rsid w:val="00726400"/>
    <w:rsid w:val="007356A8"/>
    <w:rsid w:val="00735D94"/>
    <w:rsid w:val="00743437"/>
    <w:rsid w:val="00743671"/>
    <w:rsid w:val="007438DE"/>
    <w:rsid w:val="00744F95"/>
    <w:rsid w:val="00745A88"/>
    <w:rsid w:val="00745DDE"/>
    <w:rsid w:val="00751708"/>
    <w:rsid w:val="00751B16"/>
    <w:rsid w:val="0075667E"/>
    <w:rsid w:val="007604BD"/>
    <w:rsid w:val="0076159A"/>
    <w:rsid w:val="00763074"/>
    <w:rsid w:val="007645BC"/>
    <w:rsid w:val="00766A26"/>
    <w:rsid w:val="00771BAA"/>
    <w:rsid w:val="007732FE"/>
    <w:rsid w:val="00773898"/>
    <w:rsid w:val="00774077"/>
    <w:rsid w:val="00781B19"/>
    <w:rsid w:val="00782208"/>
    <w:rsid w:val="00782EBD"/>
    <w:rsid w:val="0078604C"/>
    <w:rsid w:val="00797CDD"/>
    <w:rsid w:val="007A4D77"/>
    <w:rsid w:val="007A7354"/>
    <w:rsid w:val="007B2FED"/>
    <w:rsid w:val="007C2602"/>
    <w:rsid w:val="007C5075"/>
    <w:rsid w:val="007C5FC8"/>
    <w:rsid w:val="007C6ADB"/>
    <w:rsid w:val="007C707A"/>
    <w:rsid w:val="007C7407"/>
    <w:rsid w:val="007D021B"/>
    <w:rsid w:val="007D39D6"/>
    <w:rsid w:val="007D3D7E"/>
    <w:rsid w:val="007E0058"/>
    <w:rsid w:val="007E2071"/>
    <w:rsid w:val="007E4A9B"/>
    <w:rsid w:val="007E531D"/>
    <w:rsid w:val="007E61CA"/>
    <w:rsid w:val="007F13A7"/>
    <w:rsid w:val="007F548B"/>
    <w:rsid w:val="007F6C87"/>
    <w:rsid w:val="00800AA5"/>
    <w:rsid w:val="00804E6A"/>
    <w:rsid w:val="008059A6"/>
    <w:rsid w:val="00806DA7"/>
    <w:rsid w:val="0081551A"/>
    <w:rsid w:val="0082157B"/>
    <w:rsid w:val="008352B8"/>
    <w:rsid w:val="0084029F"/>
    <w:rsid w:val="00844078"/>
    <w:rsid w:val="00844403"/>
    <w:rsid w:val="00860691"/>
    <w:rsid w:val="00860AFC"/>
    <w:rsid w:val="00861F9C"/>
    <w:rsid w:val="0086470B"/>
    <w:rsid w:val="00865937"/>
    <w:rsid w:val="00866CC9"/>
    <w:rsid w:val="00867D65"/>
    <w:rsid w:val="00870ED5"/>
    <w:rsid w:val="0087256C"/>
    <w:rsid w:val="00880747"/>
    <w:rsid w:val="00890055"/>
    <w:rsid w:val="00890C2B"/>
    <w:rsid w:val="00892FA3"/>
    <w:rsid w:val="0089437C"/>
    <w:rsid w:val="008978E6"/>
    <w:rsid w:val="008A0B77"/>
    <w:rsid w:val="008A13E0"/>
    <w:rsid w:val="008A4817"/>
    <w:rsid w:val="008A6728"/>
    <w:rsid w:val="008B5ABF"/>
    <w:rsid w:val="008B666A"/>
    <w:rsid w:val="008B6914"/>
    <w:rsid w:val="008C0425"/>
    <w:rsid w:val="008C362C"/>
    <w:rsid w:val="008D1F31"/>
    <w:rsid w:val="008E05A8"/>
    <w:rsid w:val="008E7622"/>
    <w:rsid w:val="008F3CED"/>
    <w:rsid w:val="008F555E"/>
    <w:rsid w:val="009000AB"/>
    <w:rsid w:val="0090407F"/>
    <w:rsid w:val="00916FBE"/>
    <w:rsid w:val="0092009B"/>
    <w:rsid w:val="0092043A"/>
    <w:rsid w:val="009239FB"/>
    <w:rsid w:val="00931837"/>
    <w:rsid w:val="009371D8"/>
    <w:rsid w:val="00944FD8"/>
    <w:rsid w:val="009537B3"/>
    <w:rsid w:val="00955031"/>
    <w:rsid w:val="00955404"/>
    <w:rsid w:val="00956603"/>
    <w:rsid w:val="009649BC"/>
    <w:rsid w:val="009662B4"/>
    <w:rsid w:val="00970CB3"/>
    <w:rsid w:val="009746E4"/>
    <w:rsid w:val="0097512A"/>
    <w:rsid w:val="009771F7"/>
    <w:rsid w:val="009856EF"/>
    <w:rsid w:val="00994144"/>
    <w:rsid w:val="009A304E"/>
    <w:rsid w:val="009A35C7"/>
    <w:rsid w:val="009A3715"/>
    <w:rsid w:val="009A3D40"/>
    <w:rsid w:val="009A5E66"/>
    <w:rsid w:val="009A7838"/>
    <w:rsid w:val="009B2188"/>
    <w:rsid w:val="009B4BAB"/>
    <w:rsid w:val="009B77C1"/>
    <w:rsid w:val="009C0AD8"/>
    <w:rsid w:val="009C18C8"/>
    <w:rsid w:val="009D3EE1"/>
    <w:rsid w:val="009D4C6C"/>
    <w:rsid w:val="009E026D"/>
    <w:rsid w:val="009E057B"/>
    <w:rsid w:val="009E0ABA"/>
    <w:rsid w:val="009E136D"/>
    <w:rsid w:val="009E2C74"/>
    <w:rsid w:val="009E41AC"/>
    <w:rsid w:val="009F1254"/>
    <w:rsid w:val="009F1EE6"/>
    <w:rsid w:val="009F328A"/>
    <w:rsid w:val="009F5882"/>
    <w:rsid w:val="00A113D8"/>
    <w:rsid w:val="00A15259"/>
    <w:rsid w:val="00A17652"/>
    <w:rsid w:val="00A264C8"/>
    <w:rsid w:val="00A34C5A"/>
    <w:rsid w:val="00A43366"/>
    <w:rsid w:val="00A51299"/>
    <w:rsid w:val="00A55111"/>
    <w:rsid w:val="00A55D96"/>
    <w:rsid w:val="00A61D81"/>
    <w:rsid w:val="00A648DF"/>
    <w:rsid w:val="00A679A0"/>
    <w:rsid w:val="00A72B47"/>
    <w:rsid w:val="00A77B68"/>
    <w:rsid w:val="00A77D68"/>
    <w:rsid w:val="00A800BF"/>
    <w:rsid w:val="00A81FE3"/>
    <w:rsid w:val="00A831D8"/>
    <w:rsid w:val="00A83860"/>
    <w:rsid w:val="00A83ECD"/>
    <w:rsid w:val="00A87CA1"/>
    <w:rsid w:val="00AA243F"/>
    <w:rsid w:val="00AA30A6"/>
    <w:rsid w:val="00AA6FF0"/>
    <w:rsid w:val="00AB12FC"/>
    <w:rsid w:val="00AB2732"/>
    <w:rsid w:val="00AB66E0"/>
    <w:rsid w:val="00AB6AAC"/>
    <w:rsid w:val="00AC1FE7"/>
    <w:rsid w:val="00AC6CF4"/>
    <w:rsid w:val="00AC719A"/>
    <w:rsid w:val="00AC74B0"/>
    <w:rsid w:val="00AD233D"/>
    <w:rsid w:val="00AD2F06"/>
    <w:rsid w:val="00AD4C7B"/>
    <w:rsid w:val="00AD5601"/>
    <w:rsid w:val="00AD681C"/>
    <w:rsid w:val="00AE1292"/>
    <w:rsid w:val="00AE2D98"/>
    <w:rsid w:val="00AE480F"/>
    <w:rsid w:val="00AE7184"/>
    <w:rsid w:val="00AE7A15"/>
    <w:rsid w:val="00AF3D0A"/>
    <w:rsid w:val="00AF4811"/>
    <w:rsid w:val="00AF4DB5"/>
    <w:rsid w:val="00AF549A"/>
    <w:rsid w:val="00AF5526"/>
    <w:rsid w:val="00B01F42"/>
    <w:rsid w:val="00B03919"/>
    <w:rsid w:val="00B1049C"/>
    <w:rsid w:val="00B11A35"/>
    <w:rsid w:val="00B11FF9"/>
    <w:rsid w:val="00B1216B"/>
    <w:rsid w:val="00B17373"/>
    <w:rsid w:val="00B22029"/>
    <w:rsid w:val="00B223FE"/>
    <w:rsid w:val="00B22F30"/>
    <w:rsid w:val="00B22F3F"/>
    <w:rsid w:val="00B2319D"/>
    <w:rsid w:val="00B23941"/>
    <w:rsid w:val="00B33738"/>
    <w:rsid w:val="00B34CE4"/>
    <w:rsid w:val="00B3518D"/>
    <w:rsid w:val="00B40A62"/>
    <w:rsid w:val="00B41DB3"/>
    <w:rsid w:val="00B43B15"/>
    <w:rsid w:val="00B44BAA"/>
    <w:rsid w:val="00B45D95"/>
    <w:rsid w:val="00B45F49"/>
    <w:rsid w:val="00B51E62"/>
    <w:rsid w:val="00B52494"/>
    <w:rsid w:val="00B568E0"/>
    <w:rsid w:val="00B56FAE"/>
    <w:rsid w:val="00B57BE2"/>
    <w:rsid w:val="00B57EE0"/>
    <w:rsid w:val="00B602F2"/>
    <w:rsid w:val="00B61C12"/>
    <w:rsid w:val="00B61E1C"/>
    <w:rsid w:val="00B628A5"/>
    <w:rsid w:val="00B631EE"/>
    <w:rsid w:val="00B6330D"/>
    <w:rsid w:val="00B65351"/>
    <w:rsid w:val="00B678AE"/>
    <w:rsid w:val="00B75FCD"/>
    <w:rsid w:val="00B802E2"/>
    <w:rsid w:val="00B80E31"/>
    <w:rsid w:val="00B83F70"/>
    <w:rsid w:val="00B8536B"/>
    <w:rsid w:val="00B869D8"/>
    <w:rsid w:val="00B87B13"/>
    <w:rsid w:val="00B90284"/>
    <w:rsid w:val="00BA55BE"/>
    <w:rsid w:val="00BB03DD"/>
    <w:rsid w:val="00BC1321"/>
    <w:rsid w:val="00BC5352"/>
    <w:rsid w:val="00BD2C84"/>
    <w:rsid w:val="00BD2FF4"/>
    <w:rsid w:val="00BD6E43"/>
    <w:rsid w:val="00BD7955"/>
    <w:rsid w:val="00BE35E8"/>
    <w:rsid w:val="00BE36FF"/>
    <w:rsid w:val="00BE5E41"/>
    <w:rsid w:val="00BF2527"/>
    <w:rsid w:val="00BF43C2"/>
    <w:rsid w:val="00BF7893"/>
    <w:rsid w:val="00BF7BFC"/>
    <w:rsid w:val="00C03FF2"/>
    <w:rsid w:val="00C06CD9"/>
    <w:rsid w:val="00C06DF5"/>
    <w:rsid w:val="00C1322C"/>
    <w:rsid w:val="00C13DF8"/>
    <w:rsid w:val="00C14F18"/>
    <w:rsid w:val="00C15C85"/>
    <w:rsid w:val="00C16E9B"/>
    <w:rsid w:val="00C20D4D"/>
    <w:rsid w:val="00C22B57"/>
    <w:rsid w:val="00C301FD"/>
    <w:rsid w:val="00C37D51"/>
    <w:rsid w:val="00C44560"/>
    <w:rsid w:val="00C45974"/>
    <w:rsid w:val="00C45AD7"/>
    <w:rsid w:val="00C52288"/>
    <w:rsid w:val="00C57737"/>
    <w:rsid w:val="00C62A45"/>
    <w:rsid w:val="00C63D1E"/>
    <w:rsid w:val="00C659C4"/>
    <w:rsid w:val="00C65BAF"/>
    <w:rsid w:val="00C704A0"/>
    <w:rsid w:val="00C70678"/>
    <w:rsid w:val="00C71FB5"/>
    <w:rsid w:val="00C75912"/>
    <w:rsid w:val="00C77795"/>
    <w:rsid w:val="00C821E4"/>
    <w:rsid w:val="00C82382"/>
    <w:rsid w:val="00C82738"/>
    <w:rsid w:val="00C83510"/>
    <w:rsid w:val="00C835A5"/>
    <w:rsid w:val="00C87CDA"/>
    <w:rsid w:val="00C91487"/>
    <w:rsid w:val="00C9237D"/>
    <w:rsid w:val="00CA089E"/>
    <w:rsid w:val="00CA4A61"/>
    <w:rsid w:val="00CA68DA"/>
    <w:rsid w:val="00CA6CCD"/>
    <w:rsid w:val="00CC074F"/>
    <w:rsid w:val="00CC2F94"/>
    <w:rsid w:val="00CC3CCE"/>
    <w:rsid w:val="00CD1DCF"/>
    <w:rsid w:val="00CD205D"/>
    <w:rsid w:val="00CD2266"/>
    <w:rsid w:val="00CD551B"/>
    <w:rsid w:val="00CD67B2"/>
    <w:rsid w:val="00CE188E"/>
    <w:rsid w:val="00CE30FC"/>
    <w:rsid w:val="00CE37B8"/>
    <w:rsid w:val="00CE42F4"/>
    <w:rsid w:val="00CE4CCA"/>
    <w:rsid w:val="00CE6CD3"/>
    <w:rsid w:val="00CE71F7"/>
    <w:rsid w:val="00CF03B8"/>
    <w:rsid w:val="00CF2C19"/>
    <w:rsid w:val="00CF2F9C"/>
    <w:rsid w:val="00CF3048"/>
    <w:rsid w:val="00CF3683"/>
    <w:rsid w:val="00CF514A"/>
    <w:rsid w:val="00CF7486"/>
    <w:rsid w:val="00D0115D"/>
    <w:rsid w:val="00D03DA6"/>
    <w:rsid w:val="00D0549C"/>
    <w:rsid w:val="00D11D6C"/>
    <w:rsid w:val="00D1468B"/>
    <w:rsid w:val="00D17074"/>
    <w:rsid w:val="00D229F7"/>
    <w:rsid w:val="00D22B29"/>
    <w:rsid w:val="00D233F5"/>
    <w:rsid w:val="00D256EE"/>
    <w:rsid w:val="00D27A4B"/>
    <w:rsid w:val="00D34EB7"/>
    <w:rsid w:val="00D3556F"/>
    <w:rsid w:val="00D375C6"/>
    <w:rsid w:val="00D411BC"/>
    <w:rsid w:val="00D442D8"/>
    <w:rsid w:val="00D454A3"/>
    <w:rsid w:val="00D4619C"/>
    <w:rsid w:val="00D47D22"/>
    <w:rsid w:val="00D50D83"/>
    <w:rsid w:val="00D51AA7"/>
    <w:rsid w:val="00D52F95"/>
    <w:rsid w:val="00D53AC2"/>
    <w:rsid w:val="00D546E2"/>
    <w:rsid w:val="00D5556E"/>
    <w:rsid w:val="00D56C36"/>
    <w:rsid w:val="00D60C39"/>
    <w:rsid w:val="00D610A0"/>
    <w:rsid w:val="00D67CA0"/>
    <w:rsid w:val="00D7118C"/>
    <w:rsid w:val="00D73B56"/>
    <w:rsid w:val="00D7587E"/>
    <w:rsid w:val="00D8078C"/>
    <w:rsid w:val="00D8336B"/>
    <w:rsid w:val="00D85FA4"/>
    <w:rsid w:val="00D91253"/>
    <w:rsid w:val="00D931C5"/>
    <w:rsid w:val="00D94006"/>
    <w:rsid w:val="00D952FF"/>
    <w:rsid w:val="00D9603F"/>
    <w:rsid w:val="00D96C7F"/>
    <w:rsid w:val="00DA3D80"/>
    <w:rsid w:val="00DA487D"/>
    <w:rsid w:val="00DA4CCD"/>
    <w:rsid w:val="00DA67EF"/>
    <w:rsid w:val="00DA68EE"/>
    <w:rsid w:val="00DB3F3F"/>
    <w:rsid w:val="00DC02B4"/>
    <w:rsid w:val="00DC2391"/>
    <w:rsid w:val="00DC31A1"/>
    <w:rsid w:val="00DC67DE"/>
    <w:rsid w:val="00DC75ED"/>
    <w:rsid w:val="00DD0051"/>
    <w:rsid w:val="00DD316A"/>
    <w:rsid w:val="00DD53F9"/>
    <w:rsid w:val="00DD5F5C"/>
    <w:rsid w:val="00DD6155"/>
    <w:rsid w:val="00DD6400"/>
    <w:rsid w:val="00DD6846"/>
    <w:rsid w:val="00DD7ABA"/>
    <w:rsid w:val="00DE07AE"/>
    <w:rsid w:val="00DE0E4F"/>
    <w:rsid w:val="00DE1A4B"/>
    <w:rsid w:val="00DE4B06"/>
    <w:rsid w:val="00DE72E7"/>
    <w:rsid w:val="00DF0BEC"/>
    <w:rsid w:val="00DF1C6B"/>
    <w:rsid w:val="00DF4D16"/>
    <w:rsid w:val="00E00E80"/>
    <w:rsid w:val="00E01CA5"/>
    <w:rsid w:val="00E0317A"/>
    <w:rsid w:val="00E03199"/>
    <w:rsid w:val="00E04456"/>
    <w:rsid w:val="00E104FA"/>
    <w:rsid w:val="00E120FB"/>
    <w:rsid w:val="00E125DD"/>
    <w:rsid w:val="00E13D2B"/>
    <w:rsid w:val="00E169E5"/>
    <w:rsid w:val="00E24E67"/>
    <w:rsid w:val="00E26252"/>
    <w:rsid w:val="00E265C2"/>
    <w:rsid w:val="00E3427A"/>
    <w:rsid w:val="00E41BA7"/>
    <w:rsid w:val="00E426B2"/>
    <w:rsid w:val="00E43CF6"/>
    <w:rsid w:val="00E44C2B"/>
    <w:rsid w:val="00E468F7"/>
    <w:rsid w:val="00E529ED"/>
    <w:rsid w:val="00E56569"/>
    <w:rsid w:val="00E63094"/>
    <w:rsid w:val="00E631D6"/>
    <w:rsid w:val="00E6468D"/>
    <w:rsid w:val="00E658BB"/>
    <w:rsid w:val="00E65C65"/>
    <w:rsid w:val="00E673AC"/>
    <w:rsid w:val="00E708FC"/>
    <w:rsid w:val="00E7504A"/>
    <w:rsid w:val="00E76A2A"/>
    <w:rsid w:val="00E7721E"/>
    <w:rsid w:val="00E809B8"/>
    <w:rsid w:val="00E8133B"/>
    <w:rsid w:val="00E813FF"/>
    <w:rsid w:val="00E8221E"/>
    <w:rsid w:val="00E82BEA"/>
    <w:rsid w:val="00E84888"/>
    <w:rsid w:val="00E85328"/>
    <w:rsid w:val="00E85449"/>
    <w:rsid w:val="00E85474"/>
    <w:rsid w:val="00E86990"/>
    <w:rsid w:val="00E910DB"/>
    <w:rsid w:val="00E91E91"/>
    <w:rsid w:val="00EA0B2D"/>
    <w:rsid w:val="00EA4B21"/>
    <w:rsid w:val="00EA54ED"/>
    <w:rsid w:val="00EA6B9F"/>
    <w:rsid w:val="00EA6D42"/>
    <w:rsid w:val="00EB09DB"/>
    <w:rsid w:val="00EB0C7E"/>
    <w:rsid w:val="00EB17A0"/>
    <w:rsid w:val="00EB1A47"/>
    <w:rsid w:val="00EB1F7C"/>
    <w:rsid w:val="00EB408C"/>
    <w:rsid w:val="00EB7941"/>
    <w:rsid w:val="00EB7F34"/>
    <w:rsid w:val="00EC2011"/>
    <w:rsid w:val="00EC704D"/>
    <w:rsid w:val="00ED1097"/>
    <w:rsid w:val="00ED46AD"/>
    <w:rsid w:val="00ED4F11"/>
    <w:rsid w:val="00EE0370"/>
    <w:rsid w:val="00EE11FB"/>
    <w:rsid w:val="00EE7F03"/>
    <w:rsid w:val="00EF1459"/>
    <w:rsid w:val="00EF26A1"/>
    <w:rsid w:val="00EF4017"/>
    <w:rsid w:val="00EF542B"/>
    <w:rsid w:val="00EF7715"/>
    <w:rsid w:val="00F04108"/>
    <w:rsid w:val="00F05724"/>
    <w:rsid w:val="00F05EBA"/>
    <w:rsid w:val="00F116E5"/>
    <w:rsid w:val="00F118C4"/>
    <w:rsid w:val="00F118D2"/>
    <w:rsid w:val="00F12BF1"/>
    <w:rsid w:val="00F14FD6"/>
    <w:rsid w:val="00F1526A"/>
    <w:rsid w:val="00F21581"/>
    <w:rsid w:val="00F218E9"/>
    <w:rsid w:val="00F2413A"/>
    <w:rsid w:val="00F3136C"/>
    <w:rsid w:val="00F32BA5"/>
    <w:rsid w:val="00F42E41"/>
    <w:rsid w:val="00F43344"/>
    <w:rsid w:val="00F44761"/>
    <w:rsid w:val="00F450C2"/>
    <w:rsid w:val="00F569B2"/>
    <w:rsid w:val="00F632E0"/>
    <w:rsid w:val="00F67590"/>
    <w:rsid w:val="00F707A7"/>
    <w:rsid w:val="00F71DAB"/>
    <w:rsid w:val="00F7408D"/>
    <w:rsid w:val="00F76DE1"/>
    <w:rsid w:val="00F859AB"/>
    <w:rsid w:val="00F926A8"/>
    <w:rsid w:val="00FA1245"/>
    <w:rsid w:val="00FA4869"/>
    <w:rsid w:val="00FA6A39"/>
    <w:rsid w:val="00FB14D5"/>
    <w:rsid w:val="00FB4552"/>
    <w:rsid w:val="00FB762D"/>
    <w:rsid w:val="00FB7AA7"/>
    <w:rsid w:val="00FC1427"/>
    <w:rsid w:val="00FC2863"/>
    <w:rsid w:val="00FC2AF6"/>
    <w:rsid w:val="00FC30B9"/>
    <w:rsid w:val="00FC3D61"/>
    <w:rsid w:val="00FC70A6"/>
    <w:rsid w:val="00FD00F3"/>
    <w:rsid w:val="00FD1B1A"/>
    <w:rsid w:val="00FD1BB0"/>
    <w:rsid w:val="00FD5E8E"/>
    <w:rsid w:val="00FD5FDC"/>
    <w:rsid w:val="00FE0D64"/>
    <w:rsid w:val="00FE23F2"/>
    <w:rsid w:val="00FE2D6C"/>
    <w:rsid w:val="00FE37F9"/>
    <w:rsid w:val="00FE3D99"/>
    <w:rsid w:val="00FE7983"/>
    <w:rsid w:val="00FE7EAA"/>
    <w:rsid w:val="00FF17A2"/>
    <w:rsid w:val="00FF2DDE"/>
    <w:rsid w:val="00FF50D1"/>
    <w:rsid w:val="00FF657B"/>
    <w:rsid w:val="00FF72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A0707"/>
  <w15:docId w15:val="{ED2D98B7-FF0E-4E83-86DB-FDB12E5FF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D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4D7A"/>
    <w:pPr>
      <w:tabs>
        <w:tab w:val="center" w:pos="4680"/>
        <w:tab w:val="right" w:pos="9360"/>
      </w:tabs>
    </w:pPr>
  </w:style>
  <w:style w:type="character" w:customStyle="1" w:styleId="HeaderChar">
    <w:name w:val="Header Char"/>
    <w:basedOn w:val="DefaultParagraphFont"/>
    <w:link w:val="Header"/>
    <w:uiPriority w:val="99"/>
    <w:rsid w:val="005A4D7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A4D7A"/>
    <w:pPr>
      <w:tabs>
        <w:tab w:val="center" w:pos="4680"/>
        <w:tab w:val="right" w:pos="9360"/>
      </w:tabs>
    </w:pPr>
  </w:style>
  <w:style w:type="character" w:customStyle="1" w:styleId="FooterChar">
    <w:name w:val="Footer Char"/>
    <w:basedOn w:val="DefaultParagraphFont"/>
    <w:link w:val="Footer"/>
    <w:uiPriority w:val="99"/>
    <w:rsid w:val="005A4D7A"/>
    <w:rPr>
      <w:rFonts w:ascii="Times New Roman" w:eastAsia="Times New Roman" w:hAnsi="Times New Roman" w:cs="Times New Roman"/>
      <w:sz w:val="24"/>
      <w:szCs w:val="24"/>
    </w:rPr>
  </w:style>
  <w:style w:type="paragraph" w:styleId="ListParagraph">
    <w:name w:val="List Paragraph"/>
    <w:basedOn w:val="Normal"/>
    <w:uiPriority w:val="34"/>
    <w:qFormat/>
    <w:rsid w:val="004A61A8"/>
    <w:pPr>
      <w:ind w:left="720"/>
      <w:contextualSpacing/>
    </w:pPr>
  </w:style>
  <w:style w:type="paragraph" w:styleId="BalloonText">
    <w:name w:val="Balloon Text"/>
    <w:basedOn w:val="Normal"/>
    <w:link w:val="BalloonTextChar"/>
    <w:uiPriority w:val="99"/>
    <w:semiHidden/>
    <w:unhideWhenUsed/>
    <w:rsid w:val="00B121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16B"/>
    <w:rPr>
      <w:rFonts w:ascii="Segoe UI" w:eastAsia="Times New Roman" w:hAnsi="Segoe UI" w:cs="Segoe UI"/>
      <w:sz w:val="18"/>
      <w:szCs w:val="18"/>
    </w:rPr>
  </w:style>
  <w:style w:type="paragraph" w:customStyle="1" w:styleId="nl--1-">
    <w:name w:val="nl--1-"/>
    <w:basedOn w:val="Normal"/>
    <w:rsid w:val="00B678AE"/>
    <w:pPr>
      <w:spacing w:before="100" w:beforeAutospacing="1" w:after="100" w:afterAutospacing="1"/>
    </w:pPr>
    <w:rPr>
      <w:lang w:val="en-ZW" w:eastAsia="en-ZW"/>
    </w:rPr>
  </w:style>
  <w:style w:type="paragraph" w:customStyle="1" w:styleId="ll">
    <w:name w:val="ll"/>
    <w:basedOn w:val="Normal"/>
    <w:rsid w:val="00B678AE"/>
    <w:pPr>
      <w:spacing w:before="100" w:beforeAutospacing="1" w:after="100" w:afterAutospacing="1"/>
    </w:pPr>
    <w:rPr>
      <w:lang w:val="en-ZW" w:eastAsia="en-ZW"/>
    </w:rPr>
  </w:style>
  <w:style w:type="paragraph" w:customStyle="1" w:styleId="test">
    <w:name w:val="test"/>
    <w:basedOn w:val="Normal"/>
    <w:rsid w:val="00B678AE"/>
    <w:pPr>
      <w:spacing w:before="100" w:beforeAutospacing="1" w:after="100" w:afterAutospacing="1"/>
    </w:pPr>
    <w:rPr>
      <w:lang w:val="en-ZW" w:eastAsia="en-ZW"/>
    </w:rPr>
  </w:style>
  <w:style w:type="paragraph" w:customStyle="1" w:styleId="h1">
    <w:name w:val="h1"/>
    <w:basedOn w:val="Normal"/>
    <w:rsid w:val="00160404"/>
    <w:pPr>
      <w:spacing w:before="100" w:beforeAutospacing="1" w:after="100" w:afterAutospacing="1"/>
    </w:pPr>
    <w:rPr>
      <w:lang w:val="en-ZW" w:eastAsia="en-ZW"/>
    </w:rPr>
  </w:style>
  <w:style w:type="character" w:customStyle="1" w:styleId="bold">
    <w:name w:val="bold"/>
    <w:basedOn w:val="DefaultParagraphFont"/>
    <w:rsid w:val="00160404"/>
  </w:style>
  <w:style w:type="paragraph" w:customStyle="1" w:styleId="text">
    <w:name w:val="text"/>
    <w:basedOn w:val="Normal"/>
    <w:rsid w:val="00160404"/>
    <w:pPr>
      <w:spacing w:before="100" w:beforeAutospacing="1" w:after="100" w:afterAutospacing="1"/>
    </w:pPr>
    <w:rPr>
      <w:lang w:val="en-ZW" w:eastAsia="en-ZW"/>
    </w:rPr>
  </w:style>
  <w:style w:type="paragraph" w:styleId="NormalWeb">
    <w:name w:val="Normal (Web)"/>
    <w:basedOn w:val="Normal"/>
    <w:uiPriority w:val="99"/>
    <w:semiHidden/>
    <w:unhideWhenUsed/>
    <w:rsid w:val="009E026D"/>
    <w:pPr>
      <w:spacing w:before="100" w:beforeAutospacing="1" w:after="100" w:afterAutospacing="1"/>
    </w:pPr>
    <w:rPr>
      <w:lang w:val="en-ZW" w:eastAsia="en-ZW"/>
    </w:rPr>
  </w:style>
  <w:style w:type="character" w:styleId="Emphasis">
    <w:name w:val="Emphasis"/>
    <w:basedOn w:val="DefaultParagraphFont"/>
    <w:uiPriority w:val="20"/>
    <w:qFormat/>
    <w:rsid w:val="009E02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676729">
      <w:bodyDiv w:val="1"/>
      <w:marLeft w:val="0"/>
      <w:marRight w:val="0"/>
      <w:marTop w:val="0"/>
      <w:marBottom w:val="0"/>
      <w:divBdr>
        <w:top w:val="none" w:sz="0" w:space="0" w:color="auto"/>
        <w:left w:val="none" w:sz="0" w:space="0" w:color="auto"/>
        <w:bottom w:val="none" w:sz="0" w:space="0" w:color="auto"/>
        <w:right w:val="none" w:sz="0" w:space="0" w:color="auto"/>
      </w:divBdr>
    </w:div>
    <w:div w:id="1113017618">
      <w:bodyDiv w:val="1"/>
      <w:marLeft w:val="0"/>
      <w:marRight w:val="0"/>
      <w:marTop w:val="0"/>
      <w:marBottom w:val="0"/>
      <w:divBdr>
        <w:top w:val="none" w:sz="0" w:space="0" w:color="auto"/>
        <w:left w:val="none" w:sz="0" w:space="0" w:color="auto"/>
        <w:bottom w:val="none" w:sz="0" w:space="0" w:color="auto"/>
        <w:right w:val="none" w:sz="0" w:space="0" w:color="auto"/>
      </w:divBdr>
    </w:div>
    <w:div w:id="202855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24750-43D5-4614-8412-B65BD9207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1613</Words>
  <Characters>9200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JSC</cp:lastModifiedBy>
  <cp:revision>2</cp:revision>
  <cp:lastPrinted>2021-11-03T07:39:00Z</cp:lastPrinted>
  <dcterms:created xsi:type="dcterms:W3CDTF">2023-09-15T08:53:00Z</dcterms:created>
  <dcterms:modified xsi:type="dcterms:W3CDTF">2023-09-15T08:53:00Z</dcterms:modified>
</cp:coreProperties>
</file>