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BEB87" w14:textId="3DCC0250" w:rsidR="0081580D" w:rsidRPr="007133A7" w:rsidRDefault="0081580D" w:rsidP="006D2DDE">
      <w:pPr>
        <w:spacing w:line="360" w:lineRule="auto"/>
        <w:jc w:val="both"/>
        <w:rPr>
          <w:rFonts w:ascii="Times New Roman" w:hAnsi="Times New Roman" w:cs="Times New Roman"/>
          <w:sz w:val="24"/>
          <w:szCs w:val="24"/>
        </w:rPr>
      </w:pPr>
      <w:bookmarkStart w:id="0" w:name="_GoBack"/>
      <w:bookmarkEnd w:id="0"/>
      <w:r w:rsidRPr="007133A7">
        <w:rPr>
          <w:rFonts w:ascii="Times New Roman" w:hAnsi="Times New Roman" w:cs="Times New Roman"/>
          <w:sz w:val="24"/>
          <w:szCs w:val="24"/>
        </w:rPr>
        <w:t>BAISHUN MINING COMPANY (PVT) LTD</w:t>
      </w:r>
    </w:p>
    <w:p w14:paraId="4410DA8C" w14:textId="539E29A7" w:rsidR="0081580D" w:rsidRPr="007133A7" w:rsidRDefault="0081580D" w:rsidP="006D2DDE">
      <w:pPr>
        <w:spacing w:line="360" w:lineRule="auto"/>
        <w:jc w:val="both"/>
        <w:rPr>
          <w:rFonts w:ascii="Times New Roman" w:hAnsi="Times New Roman" w:cs="Times New Roman"/>
          <w:sz w:val="24"/>
          <w:szCs w:val="24"/>
        </w:rPr>
      </w:pPr>
      <w:r w:rsidRPr="007133A7">
        <w:rPr>
          <w:rFonts w:ascii="Times New Roman" w:hAnsi="Times New Roman" w:cs="Times New Roman"/>
          <w:sz w:val="24"/>
          <w:szCs w:val="24"/>
        </w:rPr>
        <w:t>Versus</w:t>
      </w:r>
    </w:p>
    <w:p w14:paraId="1A98A0A6" w14:textId="0C9BC9D4" w:rsidR="0081580D" w:rsidRPr="007133A7" w:rsidRDefault="0081580D" w:rsidP="006D2DDE">
      <w:pPr>
        <w:spacing w:line="360" w:lineRule="auto"/>
        <w:jc w:val="both"/>
        <w:rPr>
          <w:rFonts w:ascii="Times New Roman" w:hAnsi="Times New Roman" w:cs="Times New Roman"/>
          <w:sz w:val="24"/>
          <w:szCs w:val="24"/>
        </w:rPr>
      </w:pPr>
      <w:r w:rsidRPr="007133A7">
        <w:rPr>
          <w:rFonts w:ascii="Times New Roman" w:hAnsi="Times New Roman" w:cs="Times New Roman"/>
          <w:sz w:val="24"/>
          <w:szCs w:val="24"/>
        </w:rPr>
        <w:t>CHINDA RESOURCES (PVT) LTD</w:t>
      </w:r>
    </w:p>
    <w:p w14:paraId="7465A119" w14:textId="77777777" w:rsidR="0081580D" w:rsidRPr="007133A7" w:rsidRDefault="0081580D" w:rsidP="006D2DDE">
      <w:pPr>
        <w:spacing w:line="360" w:lineRule="auto"/>
        <w:jc w:val="both"/>
        <w:rPr>
          <w:rFonts w:ascii="Times New Roman" w:hAnsi="Times New Roman" w:cs="Times New Roman"/>
          <w:sz w:val="24"/>
          <w:szCs w:val="24"/>
        </w:rPr>
      </w:pPr>
    </w:p>
    <w:p w14:paraId="765AD7D5" w14:textId="1B6FB71C" w:rsidR="0081580D" w:rsidRPr="006D2DDE" w:rsidRDefault="0081580D" w:rsidP="006D2DDE">
      <w:pPr>
        <w:pStyle w:val="NoSpacing"/>
        <w:rPr>
          <w:rFonts w:ascii="Times New Roman" w:hAnsi="Times New Roman" w:cs="Times New Roman"/>
          <w:sz w:val="24"/>
          <w:szCs w:val="24"/>
        </w:rPr>
      </w:pPr>
      <w:r w:rsidRPr="006D2DDE">
        <w:rPr>
          <w:rFonts w:ascii="Times New Roman" w:hAnsi="Times New Roman" w:cs="Times New Roman"/>
          <w:sz w:val="24"/>
          <w:szCs w:val="24"/>
        </w:rPr>
        <w:t>HIGH COURT OF ZIMBABWE</w:t>
      </w:r>
    </w:p>
    <w:p w14:paraId="42DD59AF" w14:textId="75D0BEE4" w:rsidR="0081580D" w:rsidRPr="006D2DDE" w:rsidRDefault="0081580D" w:rsidP="006D2DDE">
      <w:pPr>
        <w:pStyle w:val="NoSpacing"/>
        <w:rPr>
          <w:rFonts w:ascii="Times New Roman" w:hAnsi="Times New Roman" w:cs="Times New Roman"/>
          <w:sz w:val="24"/>
          <w:szCs w:val="24"/>
        </w:rPr>
      </w:pPr>
      <w:r w:rsidRPr="006D2DDE">
        <w:rPr>
          <w:rFonts w:ascii="Times New Roman" w:hAnsi="Times New Roman" w:cs="Times New Roman"/>
          <w:sz w:val="24"/>
          <w:szCs w:val="24"/>
        </w:rPr>
        <w:t>CHILIMBE J</w:t>
      </w:r>
    </w:p>
    <w:p w14:paraId="016BC2B8" w14:textId="5867AEF3" w:rsidR="0081580D" w:rsidRPr="006D2DDE" w:rsidRDefault="0081580D" w:rsidP="006D2DDE">
      <w:pPr>
        <w:pStyle w:val="NoSpacing"/>
        <w:rPr>
          <w:rFonts w:ascii="Times New Roman" w:hAnsi="Times New Roman" w:cs="Times New Roman"/>
          <w:sz w:val="24"/>
          <w:szCs w:val="24"/>
        </w:rPr>
      </w:pPr>
      <w:r w:rsidRPr="006D2DDE">
        <w:rPr>
          <w:rFonts w:ascii="Times New Roman" w:hAnsi="Times New Roman" w:cs="Times New Roman"/>
          <w:sz w:val="24"/>
          <w:szCs w:val="24"/>
        </w:rPr>
        <w:t xml:space="preserve">HARARE 7 March 2023 and </w:t>
      </w:r>
      <w:r w:rsidR="00C37069">
        <w:rPr>
          <w:rFonts w:ascii="Times New Roman" w:hAnsi="Times New Roman" w:cs="Times New Roman"/>
          <w:sz w:val="24"/>
          <w:szCs w:val="24"/>
        </w:rPr>
        <w:t xml:space="preserve">30 August </w:t>
      </w:r>
      <w:r w:rsidRPr="006D2DDE">
        <w:rPr>
          <w:rFonts w:ascii="Times New Roman" w:hAnsi="Times New Roman" w:cs="Times New Roman"/>
          <w:sz w:val="24"/>
          <w:szCs w:val="24"/>
        </w:rPr>
        <w:t>2023</w:t>
      </w:r>
    </w:p>
    <w:p w14:paraId="56E17078" w14:textId="77777777" w:rsidR="007133A7" w:rsidRPr="007133A7" w:rsidRDefault="007133A7" w:rsidP="006D2DDE">
      <w:pPr>
        <w:pStyle w:val="NoSpacing"/>
        <w:spacing w:line="360" w:lineRule="auto"/>
        <w:jc w:val="both"/>
        <w:rPr>
          <w:rFonts w:ascii="Times New Roman" w:hAnsi="Times New Roman" w:cs="Times New Roman"/>
          <w:sz w:val="24"/>
          <w:szCs w:val="24"/>
        </w:rPr>
      </w:pPr>
    </w:p>
    <w:p w14:paraId="49A85111" w14:textId="7C524A37" w:rsidR="0081580D" w:rsidRPr="007133A7" w:rsidRDefault="0081580D" w:rsidP="006D2DDE">
      <w:pPr>
        <w:spacing w:line="360" w:lineRule="auto"/>
        <w:jc w:val="both"/>
        <w:rPr>
          <w:rFonts w:ascii="Times New Roman" w:hAnsi="Times New Roman" w:cs="Times New Roman"/>
          <w:b/>
          <w:bCs/>
          <w:sz w:val="24"/>
          <w:szCs w:val="24"/>
        </w:rPr>
      </w:pPr>
      <w:r w:rsidRPr="007133A7">
        <w:rPr>
          <w:rFonts w:ascii="Times New Roman" w:hAnsi="Times New Roman" w:cs="Times New Roman"/>
          <w:b/>
          <w:bCs/>
          <w:sz w:val="24"/>
          <w:szCs w:val="24"/>
        </w:rPr>
        <w:t>Trial cause as a stated case</w:t>
      </w:r>
    </w:p>
    <w:p w14:paraId="2DF548F6" w14:textId="59F8A926" w:rsidR="0081580D" w:rsidRPr="006D2DDE" w:rsidRDefault="007133A7" w:rsidP="006D2DDE">
      <w:pPr>
        <w:pStyle w:val="NoSpacing"/>
        <w:rPr>
          <w:rFonts w:ascii="Times New Roman" w:hAnsi="Times New Roman" w:cs="Times New Roman"/>
          <w:sz w:val="24"/>
          <w:szCs w:val="24"/>
        </w:rPr>
      </w:pPr>
      <w:r w:rsidRPr="006D2DDE">
        <w:rPr>
          <w:rFonts w:ascii="Times New Roman" w:hAnsi="Times New Roman" w:cs="Times New Roman"/>
          <w:i/>
          <w:iCs/>
          <w:sz w:val="24"/>
          <w:szCs w:val="24"/>
        </w:rPr>
        <w:t>C.P. Mafongoya</w:t>
      </w:r>
      <w:r w:rsidRPr="006D2DDE">
        <w:rPr>
          <w:rFonts w:ascii="Times New Roman" w:hAnsi="Times New Roman" w:cs="Times New Roman"/>
          <w:sz w:val="24"/>
          <w:szCs w:val="24"/>
        </w:rPr>
        <w:t xml:space="preserve"> for plaintiff</w:t>
      </w:r>
    </w:p>
    <w:p w14:paraId="01A6DC8D" w14:textId="3128946E" w:rsidR="007133A7" w:rsidRPr="006D2DDE" w:rsidRDefault="007133A7" w:rsidP="006D2DDE">
      <w:pPr>
        <w:pStyle w:val="NoSpacing"/>
        <w:rPr>
          <w:rFonts w:ascii="Times New Roman" w:hAnsi="Times New Roman" w:cs="Times New Roman"/>
          <w:sz w:val="24"/>
          <w:szCs w:val="24"/>
        </w:rPr>
      </w:pPr>
      <w:r w:rsidRPr="006D2DDE">
        <w:rPr>
          <w:rFonts w:ascii="Times New Roman" w:hAnsi="Times New Roman" w:cs="Times New Roman"/>
          <w:i/>
          <w:iCs/>
          <w:sz w:val="24"/>
          <w:szCs w:val="24"/>
        </w:rPr>
        <w:t>T. Runganga</w:t>
      </w:r>
      <w:r w:rsidRPr="006D2DDE">
        <w:rPr>
          <w:rFonts w:ascii="Times New Roman" w:hAnsi="Times New Roman" w:cs="Times New Roman"/>
          <w:sz w:val="24"/>
          <w:szCs w:val="24"/>
        </w:rPr>
        <w:t xml:space="preserve"> for defendant</w:t>
      </w:r>
    </w:p>
    <w:p w14:paraId="48978A65" w14:textId="77777777" w:rsidR="007133A7" w:rsidRPr="007133A7" w:rsidRDefault="007133A7" w:rsidP="006D2DDE">
      <w:pPr>
        <w:spacing w:line="360" w:lineRule="auto"/>
        <w:jc w:val="both"/>
        <w:rPr>
          <w:rFonts w:ascii="Times New Roman" w:hAnsi="Times New Roman" w:cs="Times New Roman"/>
          <w:sz w:val="24"/>
          <w:szCs w:val="24"/>
        </w:rPr>
      </w:pPr>
    </w:p>
    <w:p w14:paraId="7BA95C7B" w14:textId="4616882F" w:rsidR="007133A7" w:rsidRPr="007133A7" w:rsidRDefault="007133A7" w:rsidP="006D2DDE">
      <w:pPr>
        <w:spacing w:line="360" w:lineRule="auto"/>
        <w:jc w:val="both"/>
        <w:rPr>
          <w:rFonts w:ascii="Times New Roman" w:hAnsi="Times New Roman" w:cs="Times New Roman"/>
          <w:sz w:val="24"/>
          <w:szCs w:val="24"/>
        </w:rPr>
      </w:pPr>
      <w:r w:rsidRPr="007133A7">
        <w:rPr>
          <w:rFonts w:ascii="Times New Roman" w:hAnsi="Times New Roman" w:cs="Times New Roman"/>
          <w:sz w:val="24"/>
          <w:szCs w:val="24"/>
        </w:rPr>
        <w:t>CHILIMBE J</w:t>
      </w:r>
    </w:p>
    <w:p w14:paraId="50AE227A" w14:textId="5ADD9589" w:rsidR="007133A7" w:rsidRPr="007133A7" w:rsidRDefault="007133A7" w:rsidP="006D2DDE">
      <w:pPr>
        <w:spacing w:line="360" w:lineRule="auto"/>
        <w:jc w:val="both"/>
        <w:rPr>
          <w:rFonts w:ascii="Times New Roman" w:hAnsi="Times New Roman" w:cs="Times New Roman"/>
          <w:sz w:val="24"/>
          <w:szCs w:val="24"/>
        </w:rPr>
      </w:pPr>
      <w:r w:rsidRPr="007133A7">
        <w:rPr>
          <w:rFonts w:ascii="Times New Roman" w:hAnsi="Times New Roman" w:cs="Times New Roman"/>
          <w:sz w:val="24"/>
          <w:szCs w:val="24"/>
        </w:rPr>
        <w:t>BACKGROUND</w:t>
      </w:r>
    </w:p>
    <w:p w14:paraId="5A1E841E" w14:textId="1C8F4EBD" w:rsidR="007133A7" w:rsidRDefault="007133A7" w:rsidP="006D2DDE">
      <w:pPr>
        <w:spacing w:line="360" w:lineRule="auto"/>
        <w:jc w:val="both"/>
        <w:rPr>
          <w:rFonts w:ascii="Times New Roman" w:hAnsi="Times New Roman" w:cs="Times New Roman"/>
          <w:sz w:val="24"/>
          <w:szCs w:val="24"/>
        </w:rPr>
      </w:pPr>
      <w:r w:rsidRPr="007133A7">
        <w:rPr>
          <w:rFonts w:ascii="Times New Roman" w:hAnsi="Times New Roman" w:cs="Times New Roman"/>
          <w:sz w:val="24"/>
          <w:szCs w:val="24"/>
        </w:rPr>
        <w:t xml:space="preserve">[1] </w:t>
      </w:r>
      <w:r w:rsidR="003A27B3">
        <w:rPr>
          <w:rFonts w:ascii="Times New Roman" w:hAnsi="Times New Roman" w:cs="Times New Roman"/>
          <w:sz w:val="24"/>
          <w:szCs w:val="24"/>
        </w:rPr>
        <w:t>Before the court is a mining dispute. The parties herein elected to pro</w:t>
      </w:r>
      <w:r w:rsidR="00C05909">
        <w:rPr>
          <w:rFonts w:ascii="Times New Roman" w:hAnsi="Times New Roman" w:cs="Times New Roman"/>
          <w:sz w:val="24"/>
          <w:szCs w:val="24"/>
        </w:rPr>
        <w:t>gress</w:t>
      </w:r>
      <w:r w:rsidR="003A27B3">
        <w:rPr>
          <w:rFonts w:ascii="Times New Roman" w:hAnsi="Times New Roman" w:cs="Times New Roman"/>
          <w:sz w:val="24"/>
          <w:szCs w:val="24"/>
        </w:rPr>
        <w:t xml:space="preserve"> their trial cause as a special case in terms of r 52 of the High Court Rules 2021.The agreed statement of facts recorded the following events; -</w:t>
      </w:r>
    </w:p>
    <w:p w14:paraId="1D0D63EE" w14:textId="48CB2318" w:rsidR="003A27B3" w:rsidRDefault="006D2DDE"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3A27B3">
        <w:rPr>
          <w:rFonts w:ascii="Times New Roman" w:hAnsi="Times New Roman" w:cs="Times New Roman"/>
          <w:sz w:val="24"/>
          <w:szCs w:val="24"/>
        </w:rPr>
        <w:t xml:space="preserve">The defendant sold </w:t>
      </w:r>
      <w:r w:rsidR="00160B8D">
        <w:rPr>
          <w:rFonts w:ascii="Times New Roman" w:hAnsi="Times New Roman" w:cs="Times New Roman"/>
          <w:sz w:val="24"/>
          <w:szCs w:val="24"/>
        </w:rPr>
        <w:t>to plaintiff, by agreement dated 11 October 2021, its</w:t>
      </w:r>
      <w:r w:rsidR="003A27B3">
        <w:rPr>
          <w:rFonts w:ascii="Times New Roman" w:hAnsi="Times New Roman" w:cs="Times New Roman"/>
          <w:sz w:val="24"/>
          <w:szCs w:val="24"/>
        </w:rPr>
        <w:t xml:space="preserve"> rights </w:t>
      </w:r>
      <w:r w:rsidR="00160B8D">
        <w:rPr>
          <w:rFonts w:ascii="Times New Roman" w:hAnsi="Times New Roman" w:cs="Times New Roman"/>
          <w:sz w:val="24"/>
          <w:szCs w:val="24"/>
        </w:rPr>
        <w:t xml:space="preserve">and interest </w:t>
      </w:r>
      <w:r w:rsidR="003A27B3">
        <w:rPr>
          <w:rFonts w:ascii="Times New Roman" w:hAnsi="Times New Roman" w:cs="Times New Roman"/>
          <w:sz w:val="24"/>
          <w:szCs w:val="24"/>
        </w:rPr>
        <w:t>in a set of mining blocks</w:t>
      </w:r>
      <w:r w:rsidR="00160B8D">
        <w:rPr>
          <w:rFonts w:ascii="Times New Roman" w:hAnsi="Times New Roman" w:cs="Times New Roman"/>
          <w:sz w:val="24"/>
          <w:szCs w:val="24"/>
        </w:rPr>
        <w:t xml:space="preserve"> for a total consideration of US$ 2</w:t>
      </w:r>
      <w:r w:rsidR="00645BFD">
        <w:rPr>
          <w:rFonts w:ascii="Times New Roman" w:hAnsi="Times New Roman" w:cs="Times New Roman"/>
          <w:sz w:val="24"/>
          <w:szCs w:val="24"/>
        </w:rPr>
        <w:t>,</w:t>
      </w:r>
      <w:r w:rsidR="00160B8D">
        <w:rPr>
          <w:rFonts w:ascii="Times New Roman" w:hAnsi="Times New Roman" w:cs="Times New Roman"/>
          <w:sz w:val="24"/>
          <w:szCs w:val="24"/>
        </w:rPr>
        <w:t>050,000.</w:t>
      </w:r>
      <w:r w:rsidR="005B31FE">
        <w:rPr>
          <w:rFonts w:ascii="Times New Roman" w:hAnsi="Times New Roman" w:cs="Times New Roman"/>
          <w:sz w:val="24"/>
          <w:szCs w:val="24"/>
        </w:rPr>
        <w:t xml:space="preserve"> The blocks were r</w:t>
      </w:r>
      <w:r w:rsidR="00160B8D">
        <w:rPr>
          <w:rFonts w:ascii="Times New Roman" w:hAnsi="Times New Roman" w:cs="Times New Roman"/>
          <w:sz w:val="24"/>
          <w:szCs w:val="24"/>
        </w:rPr>
        <w:t xml:space="preserve">egistered under </w:t>
      </w:r>
      <w:r w:rsidR="00160B8D" w:rsidRPr="00160B8D">
        <w:rPr>
          <w:rFonts w:ascii="Times New Roman" w:hAnsi="Times New Roman" w:cs="Times New Roman"/>
          <w:sz w:val="24"/>
          <w:szCs w:val="24"/>
        </w:rPr>
        <w:t>number 41356BM, 41357B, 41358BM and 41359M</w:t>
      </w:r>
      <w:r w:rsidR="005B31FE">
        <w:rPr>
          <w:rFonts w:ascii="Times New Roman" w:hAnsi="Times New Roman" w:cs="Times New Roman"/>
          <w:sz w:val="24"/>
          <w:szCs w:val="24"/>
        </w:rPr>
        <w:t xml:space="preserve"> and located</w:t>
      </w:r>
      <w:r w:rsidR="00016182">
        <w:rPr>
          <w:rFonts w:ascii="Times New Roman" w:hAnsi="Times New Roman" w:cs="Times New Roman"/>
          <w:sz w:val="24"/>
          <w:szCs w:val="24"/>
        </w:rPr>
        <w:t xml:space="preserve"> at a place </w:t>
      </w:r>
      <w:r w:rsidR="00160B8D">
        <w:rPr>
          <w:rFonts w:ascii="Times New Roman" w:hAnsi="Times New Roman" w:cs="Times New Roman"/>
          <w:sz w:val="24"/>
          <w:szCs w:val="24"/>
        </w:rPr>
        <w:t>described as Berryl</w:t>
      </w:r>
      <w:r w:rsidR="00B159CB">
        <w:rPr>
          <w:rFonts w:ascii="Times New Roman" w:hAnsi="Times New Roman" w:cs="Times New Roman"/>
          <w:sz w:val="24"/>
          <w:szCs w:val="24"/>
        </w:rPr>
        <w:t xml:space="preserve">-Rose </w:t>
      </w:r>
      <w:r w:rsidR="00160B8D">
        <w:rPr>
          <w:rFonts w:ascii="Times New Roman" w:hAnsi="Times New Roman" w:cs="Times New Roman"/>
          <w:sz w:val="24"/>
          <w:szCs w:val="24"/>
        </w:rPr>
        <w:t xml:space="preserve">in the </w:t>
      </w:r>
      <w:r w:rsidR="00160B8D" w:rsidRPr="00160B8D">
        <w:rPr>
          <w:rFonts w:ascii="Times New Roman" w:hAnsi="Times New Roman" w:cs="Times New Roman"/>
          <w:sz w:val="24"/>
          <w:szCs w:val="24"/>
        </w:rPr>
        <w:t>Mfurudzi Safari Area</w:t>
      </w:r>
      <w:r w:rsidR="00160B8D">
        <w:rPr>
          <w:rFonts w:ascii="Times New Roman" w:hAnsi="Times New Roman" w:cs="Times New Roman"/>
          <w:sz w:val="24"/>
          <w:szCs w:val="24"/>
        </w:rPr>
        <w:t xml:space="preserve"> of </w:t>
      </w:r>
      <w:r w:rsidR="00160B8D" w:rsidRPr="00160B8D">
        <w:rPr>
          <w:rFonts w:ascii="Times New Roman" w:hAnsi="Times New Roman" w:cs="Times New Roman"/>
          <w:sz w:val="24"/>
          <w:szCs w:val="24"/>
        </w:rPr>
        <w:t>Shamva</w:t>
      </w:r>
      <w:r w:rsidR="00160B8D">
        <w:rPr>
          <w:rFonts w:ascii="Times New Roman" w:hAnsi="Times New Roman" w:cs="Times New Roman"/>
          <w:sz w:val="24"/>
          <w:szCs w:val="24"/>
        </w:rPr>
        <w:t xml:space="preserve"> District. </w:t>
      </w:r>
      <w:r w:rsidR="00645BFD">
        <w:rPr>
          <w:rFonts w:ascii="Times New Roman" w:hAnsi="Times New Roman" w:cs="Times New Roman"/>
          <w:sz w:val="24"/>
          <w:szCs w:val="24"/>
        </w:rPr>
        <w:t xml:space="preserve">I shall refer to them as the </w:t>
      </w:r>
      <w:r w:rsidR="00016182">
        <w:rPr>
          <w:rFonts w:ascii="Times New Roman" w:hAnsi="Times New Roman" w:cs="Times New Roman"/>
          <w:sz w:val="24"/>
          <w:szCs w:val="24"/>
        </w:rPr>
        <w:t>“</w:t>
      </w:r>
      <w:r w:rsidR="00645BFD">
        <w:rPr>
          <w:rFonts w:ascii="Times New Roman" w:hAnsi="Times New Roman" w:cs="Times New Roman"/>
          <w:sz w:val="24"/>
          <w:szCs w:val="24"/>
        </w:rPr>
        <w:t>Berryl</w:t>
      </w:r>
      <w:r w:rsidR="00B159CB">
        <w:rPr>
          <w:rFonts w:ascii="Times New Roman" w:hAnsi="Times New Roman" w:cs="Times New Roman"/>
          <w:sz w:val="24"/>
          <w:szCs w:val="24"/>
        </w:rPr>
        <w:t>-</w:t>
      </w:r>
      <w:r w:rsidR="00645BFD">
        <w:rPr>
          <w:rFonts w:ascii="Times New Roman" w:hAnsi="Times New Roman" w:cs="Times New Roman"/>
          <w:sz w:val="24"/>
          <w:szCs w:val="24"/>
        </w:rPr>
        <w:t xml:space="preserve"> Rose </w:t>
      </w:r>
      <w:r w:rsidR="00B159CB">
        <w:rPr>
          <w:rFonts w:ascii="Times New Roman" w:hAnsi="Times New Roman" w:cs="Times New Roman"/>
          <w:sz w:val="24"/>
          <w:szCs w:val="24"/>
        </w:rPr>
        <w:t>B</w:t>
      </w:r>
      <w:r w:rsidR="00645BFD">
        <w:rPr>
          <w:rFonts w:ascii="Times New Roman" w:hAnsi="Times New Roman" w:cs="Times New Roman"/>
          <w:sz w:val="24"/>
          <w:szCs w:val="24"/>
        </w:rPr>
        <w:t>locks</w:t>
      </w:r>
      <w:r w:rsidR="00016182">
        <w:rPr>
          <w:rFonts w:ascii="Times New Roman" w:hAnsi="Times New Roman" w:cs="Times New Roman"/>
          <w:sz w:val="24"/>
          <w:szCs w:val="24"/>
        </w:rPr>
        <w:t>”</w:t>
      </w:r>
      <w:r w:rsidR="00645BFD">
        <w:rPr>
          <w:rFonts w:ascii="Times New Roman" w:hAnsi="Times New Roman" w:cs="Times New Roman"/>
          <w:sz w:val="24"/>
          <w:szCs w:val="24"/>
        </w:rPr>
        <w:t>.</w:t>
      </w:r>
    </w:p>
    <w:p w14:paraId="2103E1D5" w14:textId="140B535B" w:rsidR="006D2DDE" w:rsidRDefault="006D2DDE"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31FE">
        <w:rPr>
          <w:rFonts w:ascii="Times New Roman" w:hAnsi="Times New Roman" w:cs="Times New Roman"/>
          <w:sz w:val="24"/>
          <w:szCs w:val="24"/>
        </w:rPr>
        <w:t>3</w:t>
      </w:r>
      <w:r w:rsidR="000C2832">
        <w:rPr>
          <w:rFonts w:ascii="Times New Roman" w:hAnsi="Times New Roman" w:cs="Times New Roman"/>
          <w:sz w:val="24"/>
          <w:szCs w:val="24"/>
        </w:rPr>
        <w:t>]</w:t>
      </w:r>
      <w:r>
        <w:rPr>
          <w:rFonts w:ascii="Times New Roman" w:hAnsi="Times New Roman" w:cs="Times New Roman"/>
          <w:sz w:val="24"/>
          <w:szCs w:val="24"/>
        </w:rPr>
        <w:t xml:space="preserve"> The arrangement ran aground. The parties resolved that defendants reimburses plaintiff an amount of US$100,000. The defendant however, insisted on settling this obligation in ZWL rather than the United States Dollars which plaintiff demanded. </w:t>
      </w:r>
    </w:p>
    <w:p w14:paraId="463E9FFD" w14:textId="0E98894A" w:rsidR="000F10A5" w:rsidRDefault="006D2DDE"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THE LEGAL ISSUE</w:t>
      </w:r>
    </w:p>
    <w:p w14:paraId="46417B79" w14:textId="12E36184" w:rsidR="006D2DDE" w:rsidRDefault="006D2DDE"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31FE">
        <w:rPr>
          <w:rFonts w:ascii="Times New Roman" w:hAnsi="Times New Roman" w:cs="Times New Roman"/>
          <w:sz w:val="24"/>
          <w:szCs w:val="24"/>
        </w:rPr>
        <w:t>4]</w:t>
      </w:r>
      <w:r>
        <w:rPr>
          <w:rFonts w:ascii="Times New Roman" w:hAnsi="Times New Roman" w:cs="Times New Roman"/>
          <w:sz w:val="24"/>
          <w:szCs w:val="24"/>
        </w:rPr>
        <w:t xml:space="preserve"> The sole issue to be determined was framed in the following terms by the consensus of the parties; -</w:t>
      </w:r>
    </w:p>
    <w:p w14:paraId="38773D60" w14:textId="78DDF3DC" w:rsidR="006D2DDE" w:rsidRDefault="006D2DDE" w:rsidP="005B4F1E">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w:t>
      </w:r>
      <w:r w:rsidRPr="006D2DDE">
        <w:rPr>
          <w:rFonts w:ascii="Times New Roman" w:hAnsi="Times New Roman" w:cs="Times New Roman"/>
          <w:sz w:val="24"/>
          <w:szCs w:val="24"/>
        </w:rPr>
        <w:t>As such the parties shall procced to argue only on whether the compensation of the refund shall be paid as United States Dollars cash or payable at the interbank rate as at the date of payment.</w:t>
      </w:r>
      <w:r>
        <w:rPr>
          <w:rFonts w:ascii="Times New Roman" w:hAnsi="Times New Roman" w:cs="Times New Roman"/>
          <w:sz w:val="24"/>
          <w:szCs w:val="24"/>
        </w:rPr>
        <w:t>”</w:t>
      </w:r>
    </w:p>
    <w:p w14:paraId="08372FA4" w14:textId="63A7BFBB" w:rsidR="000F10A5" w:rsidRDefault="006D2DDE"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THE SUBMISSIONS</w:t>
      </w:r>
      <w:r w:rsidR="005B4F1E">
        <w:rPr>
          <w:rFonts w:ascii="Times New Roman" w:hAnsi="Times New Roman" w:cs="Times New Roman"/>
          <w:sz w:val="24"/>
          <w:szCs w:val="24"/>
        </w:rPr>
        <w:t xml:space="preserve"> PER PLAINTIFF </w:t>
      </w:r>
    </w:p>
    <w:p w14:paraId="0DD7FCAD" w14:textId="5CE827C2" w:rsidR="006D2DDE" w:rsidRDefault="006D2DDE"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31FE">
        <w:rPr>
          <w:rFonts w:ascii="Times New Roman" w:hAnsi="Times New Roman" w:cs="Times New Roman"/>
          <w:sz w:val="24"/>
          <w:szCs w:val="24"/>
        </w:rPr>
        <w:t>5</w:t>
      </w:r>
      <w:r>
        <w:rPr>
          <w:rFonts w:ascii="Times New Roman" w:hAnsi="Times New Roman" w:cs="Times New Roman"/>
          <w:sz w:val="24"/>
          <w:szCs w:val="24"/>
        </w:rPr>
        <w:t xml:space="preserve">] Ms </w:t>
      </w:r>
      <w:r w:rsidRPr="009B1318">
        <w:rPr>
          <w:rFonts w:ascii="Times New Roman" w:hAnsi="Times New Roman" w:cs="Times New Roman"/>
          <w:i/>
          <w:iCs/>
          <w:sz w:val="24"/>
          <w:szCs w:val="24"/>
        </w:rPr>
        <w:t>Mafongoya</w:t>
      </w:r>
      <w:r>
        <w:rPr>
          <w:rFonts w:ascii="Times New Roman" w:hAnsi="Times New Roman" w:cs="Times New Roman"/>
          <w:sz w:val="24"/>
          <w:szCs w:val="24"/>
        </w:rPr>
        <w:t xml:space="preserve"> for the plaintiff urged the court to look no further than the classical contract law principles. She adverted to the operative part of the contract being clause 3 thereof providing as </w:t>
      </w:r>
      <w:r w:rsidR="000C2832">
        <w:rPr>
          <w:rFonts w:ascii="Times New Roman" w:hAnsi="Times New Roman" w:cs="Times New Roman"/>
          <w:sz w:val="24"/>
          <w:szCs w:val="24"/>
        </w:rPr>
        <w:t>follows; -</w:t>
      </w:r>
    </w:p>
    <w:p w14:paraId="0C6DF339" w14:textId="63082437" w:rsidR="006D2DDE" w:rsidRPr="00365828" w:rsidRDefault="000C2832" w:rsidP="000C2832">
      <w:pPr>
        <w:spacing w:line="360" w:lineRule="auto"/>
        <w:ind w:left="1134"/>
        <w:jc w:val="both"/>
        <w:rPr>
          <w:rFonts w:ascii="Times New Roman" w:hAnsi="Times New Roman" w:cs="Times New Roman"/>
          <w:i/>
          <w:iCs/>
          <w:sz w:val="24"/>
          <w:szCs w:val="24"/>
        </w:rPr>
      </w:pPr>
      <w:r w:rsidRPr="00365828">
        <w:rPr>
          <w:rFonts w:ascii="Times New Roman" w:hAnsi="Times New Roman" w:cs="Times New Roman"/>
          <w:i/>
          <w:iCs/>
          <w:sz w:val="24"/>
          <w:szCs w:val="24"/>
        </w:rPr>
        <w:t>“Payment, refund, compensation, etc shall be paid in USD cash.”</w:t>
      </w:r>
    </w:p>
    <w:p w14:paraId="4567E0EE" w14:textId="5AC8E589" w:rsidR="006D2DDE" w:rsidRDefault="000C2832"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31FE">
        <w:rPr>
          <w:rFonts w:ascii="Times New Roman" w:hAnsi="Times New Roman" w:cs="Times New Roman"/>
          <w:sz w:val="24"/>
          <w:szCs w:val="24"/>
        </w:rPr>
        <w:t>6]</w:t>
      </w:r>
      <w:r>
        <w:rPr>
          <w:rFonts w:ascii="Times New Roman" w:hAnsi="Times New Roman" w:cs="Times New Roman"/>
          <w:sz w:val="24"/>
          <w:szCs w:val="24"/>
        </w:rPr>
        <w:t xml:space="preserve"> Counsel submitted that (a) th</w:t>
      </w:r>
      <w:r w:rsidR="006D2DDE">
        <w:rPr>
          <w:rFonts w:ascii="Times New Roman" w:hAnsi="Times New Roman" w:cs="Times New Roman"/>
          <w:sz w:val="24"/>
          <w:szCs w:val="24"/>
        </w:rPr>
        <w:t xml:space="preserve">e parties had concluded a contract whose terms were set out with clarity. As such </w:t>
      </w:r>
      <w:r>
        <w:rPr>
          <w:rFonts w:ascii="Times New Roman" w:hAnsi="Times New Roman" w:cs="Times New Roman"/>
          <w:sz w:val="24"/>
          <w:szCs w:val="24"/>
        </w:rPr>
        <w:t>(b)</w:t>
      </w:r>
      <w:r w:rsidR="003C117A">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6D2DDE">
        <w:rPr>
          <w:rFonts w:ascii="Times New Roman" w:hAnsi="Times New Roman" w:cs="Times New Roman"/>
          <w:sz w:val="24"/>
          <w:szCs w:val="24"/>
        </w:rPr>
        <w:t xml:space="preserve">there was no need to consider any extraneous evidence </w:t>
      </w:r>
      <w:r>
        <w:rPr>
          <w:rFonts w:ascii="Times New Roman" w:hAnsi="Times New Roman" w:cs="Times New Roman"/>
          <w:sz w:val="24"/>
          <w:szCs w:val="24"/>
        </w:rPr>
        <w:t>in interpreting the agreement. Indisputably, (c)</w:t>
      </w:r>
      <w:r w:rsidR="005B4F1E">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defendant had appended its signature to the contract and was bound to the terms </w:t>
      </w:r>
      <w:r w:rsidR="005B31FE">
        <w:rPr>
          <w:rFonts w:ascii="Times New Roman" w:hAnsi="Times New Roman" w:cs="Times New Roman"/>
          <w:sz w:val="24"/>
          <w:szCs w:val="24"/>
        </w:rPr>
        <w:t>therein. In</w:t>
      </w:r>
      <w:r w:rsidR="005B4F1E">
        <w:rPr>
          <w:rFonts w:ascii="Times New Roman" w:hAnsi="Times New Roman" w:cs="Times New Roman"/>
          <w:sz w:val="24"/>
          <w:szCs w:val="24"/>
        </w:rPr>
        <w:t xml:space="preserve"> particular, </w:t>
      </w:r>
      <w:r w:rsidR="003C117A">
        <w:rPr>
          <w:rFonts w:ascii="Times New Roman" w:hAnsi="Times New Roman" w:cs="Times New Roman"/>
          <w:sz w:val="24"/>
          <w:szCs w:val="24"/>
        </w:rPr>
        <w:t>(d)</w:t>
      </w:r>
      <w:r w:rsidR="003C117A">
        <w:rPr>
          <w:rStyle w:val="FootnoteReference"/>
          <w:rFonts w:ascii="Times New Roman" w:hAnsi="Times New Roman" w:cs="Times New Roman"/>
          <w:sz w:val="24"/>
          <w:szCs w:val="24"/>
        </w:rPr>
        <w:footnoteReference w:id="3"/>
      </w:r>
      <w:r w:rsidR="003C117A">
        <w:rPr>
          <w:rFonts w:ascii="Times New Roman" w:hAnsi="Times New Roman" w:cs="Times New Roman"/>
          <w:sz w:val="24"/>
          <w:szCs w:val="24"/>
        </w:rPr>
        <w:t xml:space="preserve"> ,</w:t>
      </w:r>
      <w:r w:rsidR="005B4F1E">
        <w:rPr>
          <w:rFonts w:ascii="Times New Roman" w:hAnsi="Times New Roman" w:cs="Times New Roman"/>
          <w:sz w:val="24"/>
          <w:szCs w:val="24"/>
        </w:rPr>
        <w:t>the operative phrase “</w:t>
      </w:r>
      <w:r w:rsidR="005B4F1E" w:rsidRPr="003C117A">
        <w:rPr>
          <w:rFonts w:ascii="Times New Roman" w:hAnsi="Times New Roman" w:cs="Times New Roman"/>
          <w:i/>
          <w:iCs/>
          <w:sz w:val="24"/>
          <w:szCs w:val="24"/>
        </w:rPr>
        <w:t>Payment, refund, compensation, etc shall be paid in USD cash</w:t>
      </w:r>
      <w:r w:rsidR="005B4F1E">
        <w:rPr>
          <w:rFonts w:ascii="Times New Roman" w:hAnsi="Times New Roman" w:cs="Times New Roman"/>
          <w:sz w:val="24"/>
          <w:szCs w:val="24"/>
        </w:rPr>
        <w:t>”, carried the peremptory word “</w:t>
      </w:r>
      <w:r w:rsidR="005B4F1E" w:rsidRPr="003C117A">
        <w:rPr>
          <w:rFonts w:ascii="Times New Roman" w:hAnsi="Times New Roman" w:cs="Times New Roman"/>
          <w:i/>
          <w:iCs/>
          <w:sz w:val="24"/>
          <w:szCs w:val="24"/>
        </w:rPr>
        <w:t>shall”</w:t>
      </w:r>
      <w:r w:rsidR="005B4F1E">
        <w:rPr>
          <w:rFonts w:ascii="Times New Roman" w:hAnsi="Times New Roman" w:cs="Times New Roman"/>
          <w:sz w:val="24"/>
          <w:szCs w:val="24"/>
        </w:rPr>
        <w:t>. This placed the inescapable obligation on defendant to pay the US$100,000 in the exact currency and amount stated.</w:t>
      </w:r>
      <w:r>
        <w:rPr>
          <w:rFonts w:ascii="Times New Roman" w:hAnsi="Times New Roman" w:cs="Times New Roman"/>
          <w:sz w:val="24"/>
          <w:szCs w:val="24"/>
        </w:rPr>
        <w:t xml:space="preserve"> It was </w:t>
      </w:r>
      <w:r w:rsidR="005B4F1E">
        <w:rPr>
          <w:rFonts w:ascii="Times New Roman" w:hAnsi="Times New Roman" w:cs="Times New Roman"/>
          <w:sz w:val="24"/>
          <w:szCs w:val="24"/>
        </w:rPr>
        <w:t xml:space="preserve">therefore </w:t>
      </w:r>
      <w:r>
        <w:rPr>
          <w:rFonts w:ascii="Times New Roman" w:hAnsi="Times New Roman" w:cs="Times New Roman"/>
          <w:sz w:val="24"/>
          <w:szCs w:val="24"/>
        </w:rPr>
        <w:t>(</w:t>
      </w:r>
      <w:r w:rsidR="005B4F1E">
        <w:rPr>
          <w:rFonts w:ascii="Times New Roman" w:hAnsi="Times New Roman" w:cs="Times New Roman"/>
          <w:sz w:val="24"/>
          <w:szCs w:val="24"/>
        </w:rPr>
        <w:t>e</w:t>
      </w:r>
      <w:r>
        <w:rPr>
          <w:rFonts w:ascii="Times New Roman" w:hAnsi="Times New Roman" w:cs="Times New Roman"/>
          <w:sz w:val="24"/>
          <w:szCs w:val="24"/>
        </w:rPr>
        <w:t>)</w:t>
      </w:r>
      <w:r w:rsidR="005B4F1E">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court`s duty to uphold the will of the parties, and (</w:t>
      </w:r>
      <w:r w:rsidR="005B4F1E">
        <w:rPr>
          <w:rFonts w:ascii="Times New Roman" w:hAnsi="Times New Roman" w:cs="Times New Roman"/>
          <w:sz w:val="24"/>
          <w:szCs w:val="24"/>
        </w:rPr>
        <w:t>f</w:t>
      </w:r>
      <w:r>
        <w:rPr>
          <w:rFonts w:ascii="Times New Roman" w:hAnsi="Times New Roman" w:cs="Times New Roman"/>
          <w:sz w:val="24"/>
          <w:szCs w:val="24"/>
        </w:rPr>
        <w:t>) in doing so, ensure that the innocent party was not prejudiced by the other`s default.</w:t>
      </w:r>
    </w:p>
    <w:p w14:paraId="5F474392" w14:textId="59FE9B18" w:rsidR="00016182" w:rsidRDefault="003C117A"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THE SUBMISSIONS BY DEFENDANT</w:t>
      </w:r>
    </w:p>
    <w:p w14:paraId="29CB57B1" w14:textId="170B4996" w:rsidR="003C117A" w:rsidRDefault="003C117A" w:rsidP="006D2D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5828">
        <w:rPr>
          <w:rFonts w:ascii="Times New Roman" w:hAnsi="Times New Roman" w:cs="Times New Roman"/>
          <w:sz w:val="24"/>
          <w:szCs w:val="24"/>
        </w:rPr>
        <w:t>7]</w:t>
      </w:r>
      <w:r>
        <w:rPr>
          <w:rFonts w:ascii="Times New Roman" w:hAnsi="Times New Roman" w:cs="Times New Roman"/>
          <w:sz w:val="24"/>
          <w:szCs w:val="24"/>
        </w:rPr>
        <w:t xml:space="preserve"> </w:t>
      </w:r>
      <w:r w:rsidR="00051FE3">
        <w:rPr>
          <w:rFonts w:ascii="Times New Roman" w:hAnsi="Times New Roman" w:cs="Times New Roman"/>
          <w:sz w:val="24"/>
          <w:szCs w:val="24"/>
        </w:rPr>
        <w:t xml:space="preserve">Mr. </w:t>
      </w:r>
      <w:r w:rsidR="00051FE3" w:rsidRPr="00051FE3">
        <w:rPr>
          <w:rFonts w:ascii="Times New Roman" w:hAnsi="Times New Roman" w:cs="Times New Roman"/>
          <w:i/>
          <w:iCs/>
          <w:sz w:val="24"/>
          <w:szCs w:val="24"/>
        </w:rPr>
        <w:t>Runganga</w:t>
      </w:r>
      <w:r w:rsidR="00051FE3">
        <w:rPr>
          <w:rFonts w:ascii="Times New Roman" w:hAnsi="Times New Roman" w:cs="Times New Roman"/>
          <w:sz w:val="24"/>
          <w:szCs w:val="24"/>
        </w:rPr>
        <w:t xml:space="preserve"> for the defendant dismissed the contract as one </w:t>
      </w:r>
      <w:r w:rsidR="00051FE3" w:rsidRPr="009B1318">
        <w:rPr>
          <w:rFonts w:ascii="Times New Roman" w:hAnsi="Times New Roman" w:cs="Times New Roman"/>
          <w:i/>
          <w:iCs/>
          <w:sz w:val="24"/>
          <w:szCs w:val="24"/>
        </w:rPr>
        <w:t xml:space="preserve">in fraudem </w:t>
      </w:r>
      <w:r w:rsidR="00D173E8" w:rsidRPr="009B1318">
        <w:rPr>
          <w:rFonts w:ascii="Times New Roman" w:hAnsi="Times New Roman" w:cs="Times New Roman"/>
          <w:i/>
          <w:iCs/>
          <w:sz w:val="24"/>
          <w:szCs w:val="24"/>
        </w:rPr>
        <w:t>legis</w:t>
      </w:r>
      <w:r w:rsidR="00D173E8">
        <w:rPr>
          <w:rFonts w:ascii="Times New Roman" w:hAnsi="Times New Roman" w:cs="Times New Roman"/>
          <w:sz w:val="24"/>
          <w:szCs w:val="24"/>
        </w:rPr>
        <w:t>. As</w:t>
      </w:r>
      <w:r w:rsidR="00051FE3">
        <w:rPr>
          <w:rFonts w:ascii="Times New Roman" w:hAnsi="Times New Roman" w:cs="Times New Roman"/>
          <w:sz w:val="24"/>
          <w:szCs w:val="24"/>
        </w:rPr>
        <w:t xml:space="preserve"> </w:t>
      </w:r>
      <w:r w:rsidR="00D173E8">
        <w:rPr>
          <w:rFonts w:ascii="Times New Roman" w:hAnsi="Times New Roman" w:cs="Times New Roman"/>
          <w:sz w:val="24"/>
          <w:szCs w:val="24"/>
        </w:rPr>
        <w:t>such, the</w:t>
      </w:r>
      <w:r w:rsidR="00051FE3">
        <w:rPr>
          <w:rFonts w:ascii="Times New Roman" w:hAnsi="Times New Roman" w:cs="Times New Roman"/>
          <w:sz w:val="24"/>
          <w:szCs w:val="24"/>
        </w:rPr>
        <w:t xml:space="preserve"> agreement carried no legal </w:t>
      </w:r>
      <w:r w:rsidR="00D173E8">
        <w:rPr>
          <w:rFonts w:ascii="Times New Roman" w:hAnsi="Times New Roman" w:cs="Times New Roman"/>
          <w:sz w:val="24"/>
          <w:szCs w:val="24"/>
        </w:rPr>
        <w:t>effect. He raised the following arguments in support of this contention; -</w:t>
      </w:r>
    </w:p>
    <w:p w14:paraId="05BDEBC4" w14:textId="03451B54" w:rsidR="00D173E8" w:rsidRPr="00873656" w:rsidRDefault="00D173E8" w:rsidP="00873656">
      <w:pPr>
        <w:pStyle w:val="ListParagraph"/>
        <w:numPr>
          <w:ilvl w:val="0"/>
          <w:numId w:val="1"/>
        </w:numPr>
        <w:spacing w:line="360" w:lineRule="auto"/>
        <w:jc w:val="both"/>
        <w:rPr>
          <w:rFonts w:ascii="Times New Roman" w:hAnsi="Times New Roman" w:cs="Times New Roman"/>
          <w:sz w:val="24"/>
          <w:szCs w:val="24"/>
        </w:rPr>
      </w:pPr>
      <w:r w:rsidRPr="00873656">
        <w:rPr>
          <w:rFonts w:ascii="Times New Roman" w:hAnsi="Times New Roman" w:cs="Times New Roman"/>
          <w:sz w:val="24"/>
          <w:szCs w:val="24"/>
        </w:rPr>
        <w:t xml:space="preserve">Courts cannot enforce any rights pursued under an illegal contract. Such contract was void </w:t>
      </w:r>
      <w:r w:rsidRPr="00873656">
        <w:rPr>
          <w:rFonts w:ascii="Times New Roman" w:hAnsi="Times New Roman" w:cs="Times New Roman"/>
          <w:i/>
          <w:iCs/>
          <w:sz w:val="24"/>
          <w:szCs w:val="24"/>
        </w:rPr>
        <w:t>ab initio</w:t>
      </w:r>
      <w:r>
        <w:rPr>
          <w:rStyle w:val="FootnoteReference"/>
          <w:rFonts w:ascii="Times New Roman" w:hAnsi="Times New Roman" w:cs="Times New Roman"/>
          <w:sz w:val="24"/>
          <w:szCs w:val="24"/>
        </w:rPr>
        <w:footnoteReference w:id="5"/>
      </w:r>
      <w:r w:rsidRPr="00873656">
        <w:rPr>
          <w:rFonts w:ascii="Times New Roman" w:hAnsi="Times New Roman" w:cs="Times New Roman"/>
          <w:sz w:val="24"/>
          <w:szCs w:val="24"/>
        </w:rPr>
        <w:t>.</w:t>
      </w:r>
    </w:p>
    <w:p w14:paraId="2B6A32B7" w14:textId="05B69082" w:rsidR="00160B8D" w:rsidRDefault="00160B8D" w:rsidP="006D2DDE">
      <w:pPr>
        <w:spacing w:line="360" w:lineRule="auto"/>
        <w:jc w:val="both"/>
        <w:rPr>
          <w:rFonts w:ascii="Times New Roman" w:hAnsi="Times New Roman" w:cs="Times New Roman"/>
          <w:sz w:val="24"/>
          <w:szCs w:val="24"/>
        </w:rPr>
      </w:pPr>
    </w:p>
    <w:p w14:paraId="04B67D44" w14:textId="1F0EE312" w:rsidR="00D173E8" w:rsidRPr="00873656" w:rsidRDefault="00D173E8" w:rsidP="00873656">
      <w:pPr>
        <w:pStyle w:val="ListParagraph"/>
        <w:numPr>
          <w:ilvl w:val="0"/>
          <w:numId w:val="1"/>
        </w:numPr>
        <w:spacing w:line="360" w:lineRule="auto"/>
        <w:jc w:val="both"/>
        <w:rPr>
          <w:rFonts w:ascii="Times New Roman" w:hAnsi="Times New Roman" w:cs="Times New Roman"/>
          <w:sz w:val="24"/>
          <w:szCs w:val="24"/>
        </w:rPr>
      </w:pPr>
      <w:r w:rsidRPr="00873656">
        <w:rPr>
          <w:rFonts w:ascii="Times New Roman" w:hAnsi="Times New Roman" w:cs="Times New Roman"/>
          <w:sz w:val="24"/>
          <w:szCs w:val="24"/>
        </w:rPr>
        <w:t>Section 3 of the Exchange</w:t>
      </w:r>
      <w:r w:rsidRPr="00873656">
        <w:rPr>
          <w:rFonts w:ascii="Times New Roman" w:hAnsi="Times New Roman" w:cs="Times New Roman"/>
          <w:b/>
          <w:bCs/>
          <w:sz w:val="24"/>
          <w:szCs w:val="24"/>
        </w:rPr>
        <w:t xml:space="preserve"> </w:t>
      </w:r>
      <w:r w:rsidRPr="00873656">
        <w:rPr>
          <w:rFonts w:ascii="Times New Roman" w:hAnsi="Times New Roman" w:cs="Times New Roman"/>
          <w:sz w:val="24"/>
          <w:szCs w:val="24"/>
        </w:rPr>
        <w:t>Control (Exclusive Use of Zimbabwe Dollar for Domestic Transactions) Regulations, 2019 [Chapter 22:05</w:t>
      </w:r>
      <w:r w:rsidR="00955E20" w:rsidRPr="00873656">
        <w:rPr>
          <w:rFonts w:ascii="Times New Roman" w:hAnsi="Times New Roman" w:cs="Times New Roman"/>
          <w:sz w:val="24"/>
          <w:szCs w:val="24"/>
        </w:rPr>
        <w:t>] prohibited</w:t>
      </w:r>
      <w:r w:rsidRPr="00873656">
        <w:rPr>
          <w:rFonts w:ascii="Times New Roman" w:hAnsi="Times New Roman" w:cs="Times New Roman"/>
          <w:sz w:val="24"/>
          <w:szCs w:val="24"/>
        </w:rPr>
        <w:t xml:space="preserve"> the use of a currency other </w:t>
      </w:r>
      <w:r w:rsidRPr="00873656">
        <w:rPr>
          <w:rFonts w:ascii="Times New Roman" w:hAnsi="Times New Roman" w:cs="Times New Roman"/>
          <w:sz w:val="24"/>
          <w:szCs w:val="24"/>
        </w:rPr>
        <w:lastRenderedPageBreak/>
        <w:t xml:space="preserve">than the Zimbabwean </w:t>
      </w:r>
      <w:r w:rsidR="00955E20" w:rsidRPr="00873656">
        <w:rPr>
          <w:rFonts w:ascii="Times New Roman" w:hAnsi="Times New Roman" w:cs="Times New Roman"/>
          <w:sz w:val="24"/>
          <w:szCs w:val="24"/>
        </w:rPr>
        <w:t>Dollar, in</w:t>
      </w:r>
      <w:r w:rsidRPr="00873656">
        <w:rPr>
          <w:rFonts w:ascii="Times New Roman" w:hAnsi="Times New Roman" w:cs="Times New Roman"/>
          <w:sz w:val="24"/>
          <w:szCs w:val="24"/>
        </w:rPr>
        <w:t xml:space="preserve"> domestic transactions. </w:t>
      </w:r>
      <w:r w:rsidR="00C05909">
        <w:rPr>
          <w:rFonts w:ascii="Times New Roman" w:hAnsi="Times New Roman" w:cs="Times New Roman"/>
          <w:sz w:val="24"/>
          <w:szCs w:val="24"/>
        </w:rPr>
        <w:t>The Berryl-Rose Blocks agreement qualified as a domestic transaction.</w:t>
      </w:r>
      <w:r w:rsidR="00C05909" w:rsidRPr="00873656">
        <w:rPr>
          <w:rFonts w:ascii="Times New Roman" w:hAnsi="Times New Roman" w:cs="Times New Roman"/>
          <w:sz w:val="24"/>
          <w:szCs w:val="24"/>
        </w:rPr>
        <w:t xml:space="preserve"> Clause</w:t>
      </w:r>
      <w:r w:rsidRPr="00873656">
        <w:rPr>
          <w:rFonts w:ascii="Times New Roman" w:hAnsi="Times New Roman" w:cs="Times New Roman"/>
          <w:sz w:val="24"/>
          <w:szCs w:val="24"/>
        </w:rPr>
        <w:t xml:space="preserve"> 3 </w:t>
      </w:r>
      <w:r w:rsidR="00C05909">
        <w:rPr>
          <w:rFonts w:ascii="Times New Roman" w:hAnsi="Times New Roman" w:cs="Times New Roman"/>
          <w:sz w:val="24"/>
          <w:szCs w:val="24"/>
        </w:rPr>
        <w:t xml:space="preserve">thereof </w:t>
      </w:r>
      <w:r w:rsidR="00955E20" w:rsidRPr="00873656">
        <w:rPr>
          <w:rFonts w:ascii="Times New Roman" w:hAnsi="Times New Roman" w:cs="Times New Roman"/>
          <w:sz w:val="24"/>
          <w:szCs w:val="24"/>
        </w:rPr>
        <w:t xml:space="preserve">provided for payment in United States </w:t>
      </w:r>
      <w:r w:rsidR="00C05909" w:rsidRPr="00873656">
        <w:rPr>
          <w:rFonts w:ascii="Times New Roman" w:hAnsi="Times New Roman" w:cs="Times New Roman"/>
          <w:sz w:val="24"/>
          <w:szCs w:val="24"/>
        </w:rPr>
        <w:t>Dollars.</w:t>
      </w:r>
      <w:r w:rsidR="00C05909">
        <w:rPr>
          <w:rFonts w:ascii="Times New Roman" w:hAnsi="Times New Roman" w:cs="Times New Roman"/>
          <w:sz w:val="24"/>
          <w:szCs w:val="24"/>
        </w:rPr>
        <w:t xml:space="preserve"> It violated section 3 of SI 212 of 2019.</w:t>
      </w:r>
    </w:p>
    <w:p w14:paraId="71F63536" w14:textId="3731FC13" w:rsidR="00D173E8" w:rsidRPr="00873656" w:rsidRDefault="00C05909" w:rsidP="00873656">
      <w:pPr>
        <w:pStyle w:val="ListParagraph"/>
        <w:numPr>
          <w:ilvl w:val="0"/>
          <w:numId w:val="1"/>
        </w:numPr>
        <w:spacing w:line="360" w:lineRule="auto"/>
        <w:jc w:val="both"/>
        <w:rPr>
          <w:rFonts w:ascii="Times New Roman" w:hAnsi="Times New Roman" w:cs="Times New Roman"/>
          <w:sz w:val="24"/>
          <w:szCs w:val="24"/>
        </w:rPr>
      </w:pPr>
      <w:r w:rsidRPr="00873656">
        <w:rPr>
          <w:rFonts w:ascii="Times New Roman" w:hAnsi="Times New Roman" w:cs="Times New Roman"/>
          <w:sz w:val="24"/>
          <w:szCs w:val="24"/>
        </w:rPr>
        <w:t xml:space="preserve">The </w:t>
      </w:r>
      <w:r>
        <w:rPr>
          <w:rFonts w:ascii="Times New Roman" w:hAnsi="Times New Roman" w:cs="Times New Roman"/>
          <w:sz w:val="24"/>
          <w:szCs w:val="24"/>
        </w:rPr>
        <w:t>agreement was not exempted in that regard by the exceptions set out in section</w:t>
      </w:r>
      <w:r w:rsidR="00955E20" w:rsidRPr="00873656">
        <w:rPr>
          <w:rFonts w:ascii="Times New Roman" w:hAnsi="Times New Roman" w:cs="Times New Roman"/>
          <w:sz w:val="24"/>
          <w:szCs w:val="24"/>
        </w:rPr>
        <w:t xml:space="preserve">s 4 and 5 of the </w:t>
      </w:r>
      <w:r w:rsidRPr="00873656">
        <w:rPr>
          <w:rFonts w:ascii="Times New Roman" w:hAnsi="Times New Roman" w:cs="Times New Roman"/>
          <w:sz w:val="24"/>
          <w:szCs w:val="24"/>
        </w:rPr>
        <w:t xml:space="preserve">same </w:t>
      </w:r>
      <w:r>
        <w:rPr>
          <w:rFonts w:ascii="Times New Roman" w:hAnsi="Times New Roman" w:cs="Times New Roman"/>
          <w:sz w:val="24"/>
          <w:szCs w:val="24"/>
        </w:rPr>
        <w:t>statutory instruments.</w:t>
      </w:r>
    </w:p>
    <w:p w14:paraId="5F792B61" w14:textId="67FC9140" w:rsidR="00955E20" w:rsidRPr="00873656" w:rsidRDefault="00955E20" w:rsidP="00873656">
      <w:pPr>
        <w:pStyle w:val="ListParagraph"/>
        <w:numPr>
          <w:ilvl w:val="0"/>
          <w:numId w:val="1"/>
        </w:numPr>
        <w:spacing w:line="360" w:lineRule="auto"/>
        <w:jc w:val="both"/>
        <w:rPr>
          <w:rFonts w:ascii="Times New Roman" w:hAnsi="Times New Roman" w:cs="Times New Roman"/>
          <w:sz w:val="24"/>
          <w:szCs w:val="24"/>
        </w:rPr>
      </w:pPr>
      <w:r w:rsidRPr="00873656">
        <w:rPr>
          <w:rFonts w:ascii="Times New Roman" w:hAnsi="Times New Roman" w:cs="Times New Roman"/>
          <w:sz w:val="24"/>
          <w:szCs w:val="24"/>
        </w:rPr>
        <w:t xml:space="preserve">Additionally, s 23(1) and (2) of the Finance No. 2 Act of 2019 barred the use, in domestic transactions, of foreign currencies previously forming part of the “multi-currency basket”. </w:t>
      </w:r>
    </w:p>
    <w:p w14:paraId="669AD780" w14:textId="5140DA68" w:rsidR="00955E20" w:rsidRDefault="00C05909" w:rsidP="0087365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his argument that the transaction was void for violation of the law, counsel however extended a concession to settle the obligation in Zimbabwe Dollar </w:t>
      </w:r>
      <w:r w:rsidR="007667AE" w:rsidRPr="00873656">
        <w:rPr>
          <w:rFonts w:ascii="Times New Roman" w:hAnsi="Times New Roman" w:cs="Times New Roman"/>
          <w:sz w:val="24"/>
          <w:szCs w:val="24"/>
        </w:rPr>
        <w:t xml:space="preserve">at the prescribed </w:t>
      </w:r>
      <w:r w:rsidR="00873656" w:rsidRPr="00873656">
        <w:rPr>
          <w:rFonts w:ascii="Times New Roman" w:hAnsi="Times New Roman" w:cs="Times New Roman"/>
          <w:sz w:val="24"/>
          <w:szCs w:val="24"/>
        </w:rPr>
        <w:t>exchange</w:t>
      </w:r>
      <w:r w:rsidR="007667AE" w:rsidRPr="00873656">
        <w:rPr>
          <w:rFonts w:ascii="Times New Roman" w:hAnsi="Times New Roman" w:cs="Times New Roman"/>
          <w:sz w:val="24"/>
          <w:szCs w:val="24"/>
        </w:rPr>
        <w:t xml:space="preserve"> </w:t>
      </w:r>
      <w:r w:rsidR="00EB282F" w:rsidRPr="00873656">
        <w:rPr>
          <w:rFonts w:ascii="Times New Roman" w:hAnsi="Times New Roman" w:cs="Times New Roman"/>
          <w:sz w:val="24"/>
          <w:szCs w:val="24"/>
        </w:rPr>
        <w:t>rate.</w:t>
      </w:r>
      <w:r w:rsidR="00EB282F">
        <w:rPr>
          <w:rFonts w:ascii="Times New Roman" w:hAnsi="Times New Roman" w:cs="Times New Roman"/>
          <w:sz w:val="24"/>
          <w:szCs w:val="24"/>
        </w:rPr>
        <w:t xml:space="preserve"> Counsel sought support from the Supreme Court decision </w:t>
      </w:r>
      <w:r w:rsidR="00C02460">
        <w:rPr>
          <w:rFonts w:ascii="Times New Roman" w:hAnsi="Times New Roman" w:cs="Times New Roman"/>
          <w:sz w:val="24"/>
          <w:szCs w:val="24"/>
        </w:rPr>
        <w:t xml:space="preserve">of </w:t>
      </w:r>
      <w:r w:rsidR="00C02460" w:rsidRPr="00EB282F">
        <w:rPr>
          <w:rFonts w:ascii="Times New Roman" w:hAnsi="Times New Roman" w:cs="Times New Roman"/>
          <w:i/>
          <w:iCs/>
          <w:sz w:val="24"/>
          <w:szCs w:val="24"/>
        </w:rPr>
        <w:t>Church</w:t>
      </w:r>
      <w:r w:rsidR="00EB282F" w:rsidRPr="00EB282F">
        <w:rPr>
          <w:rFonts w:ascii="Times New Roman" w:hAnsi="Times New Roman" w:cs="Times New Roman"/>
          <w:i/>
          <w:iCs/>
          <w:sz w:val="24"/>
          <w:szCs w:val="24"/>
        </w:rPr>
        <w:t xml:space="preserve"> of The Province </w:t>
      </w:r>
      <w:r w:rsidR="00C02460" w:rsidRPr="00EB282F">
        <w:rPr>
          <w:rFonts w:ascii="Times New Roman" w:hAnsi="Times New Roman" w:cs="Times New Roman"/>
          <w:i/>
          <w:iCs/>
          <w:sz w:val="24"/>
          <w:szCs w:val="24"/>
        </w:rPr>
        <w:t>of</w:t>
      </w:r>
      <w:r w:rsidR="00EB282F" w:rsidRPr="00EB282F">
        <w:rPr>
          <w:rFonts w:ascii="Times New Roman" w:hAnsi="Times New Roman" w:cs="Times New Roman"/>
          <w:i/>
          <w:iCs/>
          <w:sz w:val="24"/>
          <w:szCs w:val="24"/>
        </w:rPr>
        <w:t xml:space="preserve"> Central Africa v Kunonga &amp; Anor</w:t>
      </w:r>
      <w:r w:rsidR="00EB282F" w:rsidRPr="00EB282F">
        <w:rPr>
          <w:rFonts w:ascii="Times New Roman" w:hAnsi="Times New Roman" w:cs="Times New Roman"/>
          <w:sz w:val="24"/>
          <w:szCs w:val="24"/>
        </w:rPr>
        <w:t xml:space="preserve"> 2008 (1) ZLR 413 (S)</w:t>
      </w:r>
      <w:r w:rsidR="00C02460">
        <w:rPr>
          <w:rFonts w:ascii="Times New Roman" w:hAnsi="Times New Roman" w:cs="Times New Roman"/>
          <w:sz w:val="24"/>
          <w:szCs w:val="24"/>
        </w:rPr>
        <w:t>.</w:t>
      </w:r>
    </w:p>
    <w:p w14:paraId="1DFEDDC5" w14:textId="241DAE50" w:rsidR="007B7AB0" w:rsidRDefault="00B159CB" w:rsidP="007B7A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8]</w:t>
      </w:r>
      <w:r>
        <w:rPr>
          <w:rFonts w:ascii="Times New Roman" w:hAnsi="Times New Roman" w:cs="Times New Roman"/>
          <w:sz w:val="24"/>
          <w:szCs w:val="24"/>
        </w:rPr>
        <w:t xml:space="preserve"> Ms </w:t>
      </w:r>
      <w:r w:rsidRPr="009B1318">
        <w:rPr>
          <w:rFonts w:ascii="Times New Roman" w:hAnsi="Times New Roman" w:cs="Times New Roman"/>
          <w:i/>
          <w:iCs/>
          <w:sz w:val="24"/>
          <w:szCs w:val="24"/>
        </w:rPr>
        <w:t>Mafongoya</w:t>
      </w:r>
      <w:r>
        <w:rPr>
          <w:rFonts w:ascii="Times New Roman" w:hAnsi="Times New Roman" w:cs="Times New Roman"/>
          <w:sz w:val="24"/>
          <w:szCs w:val="24"/>
        </w:rPr>
        <w:t xml:space="preserve"> responded to the above arguments through two points. Firstly, </w:t>
      </w:r>
      <w:r w:rsidR="00D46B03">
        <w:rPr>
          <w:rFonts w:ascii="Times New Roman" w:hAnsi="Times New Roman" w:cs="Times New Roman"/>
          <w:sz w:val="24"/>
          <w:szCs w:val="24"/>
        </w:rPr>
        <w:t>she submitted</w:t>
      </w:r>
      <w:r>
        <w:rPr>
          <w:rFonts w:ascii="Times New Roman" w:hAnsi="Times New Roman" w:cs="Times New Roman"/>
          <w:sz w:val="24"/>
          <w:szCs w:val="24"/>
        </w:rPr>
        <w:t xml:space="preserve"> that the </w:t>
      </w:r>
      <w:r w:rsidR="008E6078">
        <w:rPr>
          <w:rFonts w:ascii="Times New Roman" w:hAnsi="Times New Roman" w:cs="Times New Roman"/>
          <w:sz w:val="24"/>
          <w:szCs w:val="24"/>
        </w:rPr>
        <w:t>said restrictions</w:t>
      </w:r>
      <w:r>
        <w:rPr>
          <w:rFonts w:ascii="Times New Roman" w:hAnsi="Times New Roman" w:cs="Times New Roman"/>
          <w:sz w:val="24"/>
          <w:szCs w:val="24"/>
        </w:rPr>
        <w:t xml:space="preserve"> had been ameliorated </w:t>
      </w:r>
      <w:r w:rsidR="00D46B03">
        <w:rPr>
          <w:rFonts w:ascii="Times New Roman" w:hAnsi="Times New Roman" w:cs="Times New Roman"/>
          <w:sz w:val="24"/>
          <w:szCs w:val="24"/>
        </w:rPr>
        <w:t xml:space="preserve">by </w:t>
      </w:r>
      <w:r w:rsidR="00E27AA4">
        <w:rPr>
          <w:rFonts w:ascii="Times New Roman" w:hAnsi="Times New Roman" w:cs="Times New Roman"/>
          <w:sz w:val="24"/>
          <w:szCs w:val="24"/>
        </w:rPr>
        <w:t xml:space="preserve">exemptions introduced </w:t>
      </w:r>
      <w:r w:rsidR="00D46B03">
        <w:rPr>
          <w:rFonts w:ascii="Times New Roman" w:hAnsi="Times New Roman" w:cs="Times New Roman"/>
          <w:sz w:val="24"/>
          <w:szCs w:val="24"/>
        </w:rPr>
        <w:t xml:space="preserve">through </w:t>
      </w:r>
      <w:r>
        <w:rPr>
          <w:rFonts w:ascii="Times New Roman" w:hAnsi="Times New Roman" w:cs="Times New Roman"/>
          <w:sz w:val="24"/>
          <w:szCs w:val="24"/>
        </w:rPr>
        <w:t xml:space="preserve">the Presidential Powers (Temporary Measures) (Amendment of Exchange Control Act) Regulations,2022, SI 118A of 2022. </w:t>
      </w:r>
      <w:r w:rsidR="00117098">
        <w:rPr>
          <w:rFonts w:ascii="Times New Roman" w:hAnsi="Times New Roman" w:cs="Times New Roman"/>
          <w:sz w:val="24"/>
          <w:szCs w:val="24"/>
        </w:rPr>
        <w:t xml:space="preserve"> </w:t>
      </w:r>
      <w:r>
        <w:rPr>
          <w:rFonts w:ascii="Times New Roman" w:hAnsi="Times New Roman" w:cs="Times New Roman"/>
          <w:sz w:val="24"/>
          <w:szCs w:val="24"/>
        </w:rPr>
        <w:t xml:space="preserve">Secondly, she argued that </w:t>
      </w:r>
      <w:r w:rsidR="00E27AA4">
        <w:rPr>
          <w:rFonts w:ascii="Times New Roman" w:hAnsi="Times New Roman" w:cs="Times New Roman"/>
          <w:sz w:val="24"/>
          <w:szCs w:val="24"/>
        </w:rPr>
        <w:t xml:space="preserve">if the defendant </w:t>
      </w:r>
      <w:r w:rsidR="00C37069">
        <w:rPr>
          <w:rFonts w:ascii="Times New Roman" w:hAnsi="Times New Roman" w:cs="Times New Roman"/>
          <w:sz w:val="24"/>
          <w:szCs w:val="24"/>
        </w:rPr>
        <w:t xml:space="preserve">were to be </w:t>
      </w:r>
      <w:r w:rsidR="00E27AA4">
        <w:rPr>
          <w:rFonts w:ascii="Times New Roman" w:hAnsi="Times New Roman" w:cs="Times New Roman"/>
          <w:sz w:val="24"/>
          <w:szCs w:val="24"/>
        </w:rPr>
        <w:t xml:space="preserve">allowed to </w:t>
      </w:r>
      <w:r w:rsidR="00C37069">
        <w:rPr>
          <w:rFonts w:ascii="Times New Roman" w:hAnsi="Times New Roman" w:cs="Times New Roman"/>
          <w:sz w:val="24"/>
          <w:szCs w:val="24"/>
        </w:rPr>
        <w:t xml:space="preserve">settle </w:t>
      </w:r>
      <w:r w:rsidR="00E27AA4">
        <w:rPr>
          <w:rFonts w:ascii="Times New Roman" w:hAnsi="Times New Roman" w:cs="Times New Roman"/>
          <w:sz w:val="24"/>
          <w:szCs w:val="24"/>
        </w:rPr>
        <w:t xml:space="preserve">the refund </w:t>
      </w:r>
      <w:r>
        <w:rPr>
          <w:rFonts w:ascii="Times New Roman" w:hAnsi="Times New Roman" w:cs="Times New Roman"/>
          <w:sz w:val="24"/>
          <w:szCs w:val="24"/>
        </w:rPr>
        <w:t xml:space="preserve">in </w:t>
      </w:r>
      <w:r w:rsidR="00E27AA4">
        <w:rPr>
          <w:rFonts w:ascii="Times New Roman" w:hAnsi="Times New Roman" w:cs="Times New Roman"/>
          <w:sz w:val="24"/>
          <w:szCs w:val="24"/>
        </w:rPr>
        <w:t xml:space="preserve">the </w:t>
      </w:r>
      <w:r>
        <w:rPr>
          <w:rFonts w:ascii="Times New Roman" w:hAnsi="Times New Roman" w:cs="Times New Roman"/>
          <w:sz w:val="24"/>
          <w:szCs w:val="24"/>
        </w:rPr>
        <w:t xml:space="preserve">Zimbabwe </w:t>
      </w:r>
      <w:r w:rsidR="00416B5A">
        <w:rPr>
          <w:rFonts w:ascii="Times New Roman" w:hAnsi="Times New Roman" w:cs="Times New Roman"/>
          <w:sz w:val="24"/>
          <w:szCs w:val="24"/>
        </w:rPr>
        <w:t>Dollar, plaintiff</w:t>
      </w:r>
      <w:r w:rsidR="00E27AA4">
        <w:rPr>
          <w:rFonts w:ascii="Times New Roman" w:hAnsi="Times New Roman" w:cs="Times New Roman"/>
          <w:sz w:val="24"/>
          <w:szCs w:val="24"/>
        </w:rPr>
        <w:t xml:space="preserve"> would suffer a severe exchange </w:t>
      </w:r>
      <w:r w:rsidR="00416B5A">
        <w:rPr>
          <w:rFonts w:ascii="Times New Roman" w:hAnsi="Times New Roman" w:cs="Times New Roman"/>
          <w:sz w:val="24"/>
          <w:szCs w:val="24"/>
        </w:rPr>
        <w:t>loss. On</w:t>
      </w:r>
      <w:r w:rsidR="00E27AA4">
        <w:rPr>
          <w:rFonts w:ascii="Times New Roman" w:hAnsi="Times New Roman" w:cs="Times New Roman"/>
          <w:sz w:val="24"/>
          <w:szCs w:val="24"/>
        </w:rPr>
        <w:t xml:space="preserve"> the </w:t>
      </w:r>
      <w:r w:rsidR="00416B5A">
        <w:rPr>
          <w:rFonts w:ascii="Times New Roman" w:hAnsi="Times New Roman" w:cs="Times New Roman"/>
          <w:sz w:val="24"/>
          <w:szCs w:val="24"/>
        </w:rPr>
        <w:t>contrary, defendant</w:t>
      </w:r>
      <w:r w:rsidR="00E27AA4">
        <w:rPr>
          <w:rFonts w:ascii="Times New Roman" w:hAnsi="Times New Roman" w:cs="Times New Roman"/>
          <w:sz w:val="24"/>
          <w:szCs w:val="24"/>
        </w:rPr>
        <w:t xml:space="preserve"> would be </w:t>
      </w:r>
      <w:r>
        <w:rPr>
          <w:rFonts w:ascii="Times New Roman" w:hAnsi="Times New Roman" w:cs="Times New Roman"/>
          <w:sz w:val="24"/>
          <w:szCs w:val="24"/>
        </w:rPr>
        <w:t>unjust</w:t>
      </w:r>
      <w:r w:rsidR="00416B5A">
        <w:rPr>
          <w:rFonts w:ascii="Times New Roman" w:hAnsi="Times New Roman" w:cs="Times New Roman"/>
          <w:sz w:val="24"/>
          <w:szCs w:val="24"/>
        </w:rPr>
        <w:t>ly enriched</w:t>
      </w:r>
      <w:r>
        <w:rPr>
          <w:rFonts w:ascii="Times New Roman" w:hAnsi="Times New Roman" w:cs="Times New Roman"/>
          <w:sz w:val="24"/>
          <w:szCs w:val="24"/>
        </w:rPr>
        <w:t>. Such position was untenable at law.</w:t>
      </w:r>
    </w:p>
    <w:p w14:paraId="46864749" w14:textId="5E6C9BDC" w:rsidR="002A37FA" w:rsidRDefault="002A37FA" w:rsidP="007B7AB0">
      <w:pPr>
        <w:spacing w:line="360" w:lineRule="auto"/>
        <w:jc w:val="both"/>
        <w:rPr>
          <w:rFonts w:ascii="Times New Roman" w:hAnsi="Times New Roman" w:cs="Times New Roman"/>
          <w:sz w:val="24"/>
          <w:szCs w:val="24"/>
        </w:rPr>
      </w:pPr>
      <w:r>
        <w:rPr>
          <w:rFonts w:ascii="Times New Roman" w:hAnsi="Times New Roman" w:cs="Times New Roman"/>
          <w:sz w:val="24"/>
          <w:szCs w:val="24"/>
        </w:rPr>
        <w:t>THE LAW</w:t>
      </w:r>
      <w:r w:rsidR="00BC2C5E">
        <w:rPr>
          <w:rFonts w:ascii="Times New Roman" w:hAnsi="Times New Roman" w:cs="Times New Roman"/>
          <w:sz w:val="24"/>
          <w:szCs w:val="24"/>
        </w:rPr>
        <w:t xml:space="preserve"> AND BACKGROUND THERETO</w:t>
      </w:r>
    </w:p>
    <w:p w14:paraId="14DAB39D" w14:textId="2DFA979B" w:rsidR="00E27AA4" w:rsidRDefault="00B159CB" w:rsidP="007B7A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9]</w:t>
      </w:r>
      <w:r>
        <w:rPr>
          <w:rFonts w:ascii="Times New Roman" w:hAnsi="Times New Roman" w:cs="Times New Roman"/>
          <w:sz w:val="24"/>
          <w:szCs w:val="24"/>
        </w:rPr>
        <w:t xml:space="preserve"> </w:t>
      </w:r>
      <w:r w:rsidR="00551DA0">
        <w:rPr>
          <w:rFonts w:ascii="Times New Roman" w:hAnsi="Times New Roman" w:cs="Times New Roman"/>
          <w:sz w:val="24"/>
          <w:szCs w:val="24"/>
        </w:rPr>
        <w:t xml:space="preserve">The question of </w:t>
      </w:r>
      <w:r w:rsidR="008F1C14">
        <w:rPr>
          <w:rFonts w:ascii="Times New Roman" w:hAnsi="Times New Roman" w:cs="Times New Roman"/>
          <w:sz w:val="24"/>
          <w:szCs w:val="24"/>
        </w:rPr>
        <w:t xml:space="preserve">whether contractual (and </w:t>
      </w:r>
      <w:r w:rsidR="00DB43BC">
        <w:rPr>
          <w:rFonts w:ascii="Times New Roman" w:hAnsi="Times New Roman" w:cs="Times New Roman"/>
          <w:sz w:val="24"/>
          <w:szCs w:val="24"/>
        </w:rPr>
        <w:t>delictual)</w:t>
      </w:r>
      <w:r w:rsidR="008F1C14">
        <w:rPr>
          <w:rFonts w:ascii="Times New Roman" w:hAnsi="Times New Roman" w:cs="Times New Roman"/>
          <w:sz w:val="24"/>
          <w:szCs w:val="24"/>
        </w:rPr>
        <w:t xml:space="preserve"> </w:t>
      </w:r>
      <w:r w:rsidR="00551DA0">
        <w:rPr>
          <w:rFonts w:ascii="Times New Roman" w:hAnsi="Times New Roman" w:cs="Times New Roman"/>
          <w:sz w:val="24"/>
          <w:szCs w:val="24"/>
        </w:rPr>
        <w:t xml:space="preserve">obligations </w:t>
      </w:r>
      <w:r w:rsidR="008F1C14">
        <w:rPr>
          <w:rFonts w:ascii="Times New Roman" w:hAnsi="Times New Roman" w:cs="Times New Roman"/>
          <w:sz w:val="24"/>
          <w:szCs w:val="24"/>
        </w:rPr>
        <w:t xml:space="preserve">should be settled </w:t>
      </w:r>
      <w:r w:rsidR="00551DA0">
        <w:rPr>
          <w:rFonts w:ascii="Times New Roman" w:hAnsi="Times New Roman" w:cs="Times New Roman"/>
          <w:sz w:val="24"/>
          <w:szCs w:val="24"/>
        </w:rPr>
        <w:t xml:space="preserve">in local or foreign currency continues to </w:t>
      </w:r>
      <w:r w:rsidR="00C02460">
        <w:rPr>
          <w:rFonts w:ascii="Times New Roman" w:hAnsi="Times New Roman" w:cs="Times New Roman"/>
          <w:sz w:val="24"/>
          <w:szCs w:val="24"/>
        </w:rPr>
        <w:t xml:space="preserve">characterise disputes appearing </w:t>
      </w:r>
      <w:r w:rsidR="00551DA0">
        <w:rPr>
          <w:rFonts w:ascii="Times New Roman" w:hAnsi="Times New Roman" w:cs="Times New Roman"/>
          <w:sz w:val="24"/>
          <w:szCs w:val="24"/>
        </w:rPr>
        <w:t>before the courts. This notwithstanding the various decisions in this</w:t>
      </w:r>
      <w:r w:rsidR="00C37069">
        <w:rPr>
          <w:rFonts w:ascii="Times New Roman" w:hAnsi="Times New Roman" w:cs="Times New Roman"/>
          <w:sz w:val="24"/>
          <w:szCs w:val="24"/>
        </w:rPr>
        <w:t>,</w:t>
      </w:r>
      <w:r w:rsidR="00551DA0">
        <w:rPr>
          <w:rFonts w:ascii="Times New Roman" w:hAnsi="Times New Roman" w:cs="Times New Roman"/>
          <w:sz w:val="24"/>
          <w:szCs w:val="24"/>
        </w:rPr>
        <w:t xml:space="preserve"> and the Supreme Court setting </w:t>
      </w:r>
      <w:r w:rsidR="00C02460">
        <w:rPr>
          <w:rFonts w:ascii="Times New Roman" w:hAnsi="Times New Roman" w:cs="Times New Roman"/>
          <w:sz w:val="24"/>
          <w:szCs w:val="24"/>
        </w:rPr>
        <w:t>out guidelines</w:t>
      </w:r>
      <w:r w:rsidR="00551DA0">
        <w:rPr>
          <w:rFonts w:ascii="Times New Roman" w:hAnsi="Times New Roman" w:cs="Times New Roman"/>
          <w:sz w:val="24"/>
          <w:szCs w:val="24"/>
        </w:rPr>
        <w:t xml:space="preserve"> to consider in dealing with such debts or transactions</w:t>
      </w:r>
      <w:r w:rsidR="00F60B4B">
        <w:rPr>
          <w:rStyle w:val="FootnoteReference"/>
          <w:rFonts w:ascii="Times New Roman" w:hAnsi="Times New Roman" w:cs="Times New Roman"/>
          <w:sz w:val="24"/>
          <w:szCs w:val="24"/>
        </w:rPr>
        <w:footnoteReference w:id="6"/>
      </w:r>
      <w:r w:rsidR="00551DA0">
        <w:rPr>
          <w:rFonts w:ascii="Times New Roman" w:hAnsi="Times New Roman" w:cs="Times New Roman"/>
          <w:sz w:val="24"/>
          <w:szCs w:val="24"/>
        </w:rPr>
        <w:t>.</w:t>
      </w:r>
      <w:r w:rsidR="00E27AA4">
        <w:rPr>
          <w:rFonts w:ascii="Times New Roman" w:hAnsi="Times New Roman" w:cs="Times New Roman"/>
          <w:sz w:val="24"/>
          <w:szCs w:val="24"/>
        </w:rPr>
        <w:t>These authorities address both contractual and delictual claims.</w:t>
      </w:r>
    </w:p>
    <w:p w14:paraId="212C7402" w14:textId="7FBAE7A9" w:rsidR="00975784" w:rsidRPr="00975784" w:rsidRDefault="00E27AA4" w:rsidP="00975784">
      <w:pPr>
        <w:spacing w:line="360" w:lineRule="auto"/>
        <w:jc w:val="both"/>
        <w:rPr>
          <w:rFonts w:ascii="Times New Roman" w:hAnsi="Times New Roman" w:cs="Times New Roman"/>
          <w:i/>
          <w:sz w:val="24"/>
          <w:szCs w:val="24"/>
        </w:rPr>
      </w:pPr>
      <w:r>
        <w:rPr>
          <w:rFonts w:ascii="Times New Roman" w:hAnsi="Times New Roman" w:cs="Times New Roman"/>
          <w:sz w:val="24"/>
          <w:szCs w:val="24"/>
        </w:rPr>
        <w:t>[</w:t>
      </w:r>
      <w:r w:rsidR="008E6078">
        <w:rPr>
          <w:rFonts w:ascii="Times New Roman" w:hAnsi="Times New Roman" w:cs="Times New Roman"/>
          <w:sz w:val="24"/>
          <w:szCs w:val="24"/>
        </w:rPr>
        <w:t>10]</w:t>
      </w:r>
      <w:r>
        <w:rPr>
          <w:rFonts w:ascii="Times New Roman" w:hAnsi="Times New Roman" w:cs="Times New Roman"/>
          <w:sz w:val="24"/>
          <w:szCs w:val="24"/>
        </w:rPr>
        <w:t xml:space="preserve"> In</w:t>
      </w:r>
      <w:r w:rsidR="00547305">
        <w:rPr>
          <w:rFonts w:ascii="Times New Roman" w:hAnsi="Times New Roman" w:cs="Times New Roman"/>
          <w:sz w:val="24"/>
          <w:szCs w:val="24"/>
        </w:rPr>
        <w:t xml:space="preserve"> essence, the </w:t>
      </w:r>
      <w:r>
        <w:rPr>
          <w:rFonts w:ascii="Times New Roman" w:hAnsi="Times New Roman" w:cs="Times New Roman"/>
          <w:sz w:val="24"/>
          <w:szCs w:val="24"/>
        </w:rPr>
        <w:t xml:space="preserve">position at law is that the </w:t>
      </w:r>
      <w:r w:rsidR="00547305">
        <w:rPr>
          <w:rFonts w:ascii="Times New Roman" w:hAnsi="Times New Roman" w:cs="Times New Roman"/>
          <w:sz w:val="24"/>
          <w:szCs w:val="24"/>
        </w:rPr>
        <w:t xml:space="preserve">default currency for settlement of local transactions </w:t>
      </w:r>
      <w:r w:rsidR="00416B5A">
        <w:rPr>
          <w:rFonts w:ascii="Times New Roman" w:hAnsi="Times New Roman" w:cs="Times New Roman"/>
          <w:sz w:val="24"/>
          <w:szCs w:val="24"/>
        </w:rPr>
        <w:t xml:space="preserve">should be </w:t>
      </w:r>
      <w:r w:rsidR="00547305">
        <w:rPr>
          <w:rFonts w:ascii="Times New Roman" w:hAnsi="Times New Roman" w:cs="Times New Roman"/>
          <w:sz w:val="24"/>
          <w:szCs w:val="24"/>
        </w:rPr>
        <w:t xml:space="preserve">the Zimbabwe Dollar. Other currencies, especially the United States </w:t>
      </w:r>
      <w:r w:rsidR="00547305">
        <w:rPr>
          <w:rFonts w:ascii="Times New Roman" w:hAnsi="Times New Roman" w:cs="Times New Roman"/>
          <w:sz w:val="24"/>
          <w:szCs w:val="24"/>
        </w:rPr>
        <w:lastRenderedPageBreak/>
        <w:t>Dollar</w:t>
      </w:r>
      <w:r w:rsidR="00416B5A">
        <w:rPr>
          <w:rFonts w:ascii="Times New Roman" w:hAnsi="Times New Roman" w:cs="Times New Roman"/>
          <w:sz w:val="24"/>
          <w:szCs w:val="24"/>
        </w:rPr>
        <w:t>,</w:t>
      </w:r>
      <w:r w:rsidR="00547305">
        <w:rPr>
          <w:rFonts w:ascii="Times New Roman" w:hAnsi="Times New Roman" w:cs="Times New Roman"/>
          <w:sz w:val="24"/>
          <w:szCs w:val="24"/>
        </w:rPr>
        <w:t xml:space="preserve"> have restricted </w:t>
      </w:r>
      <w:r w:rsidR="00C02460">
        <w:rPr>
          <w:rFonts w:ascii="Times New Roman" w:hAnsi="Times New Roman" w:cs="Times New Roman"/>
          <w:sz w:val="24"/>
          <w:szCs w:val="24"/>
        </w:rPr>
        <w:t>application. Those exempted situations are stipulated by law</w:t>
      </w:r>
      <w:r w:rsidR="00547305">
        <w:rPr>
          <w:rFonts w:ascii="Times New Roman" w:hAnsi="Times New Roman" w:cs="Times New Roman"/>
          <w:sz w:val="24"/>
          <w:szCs w:val="24"/>
        </w:rPr>
        <w:t>.</w:t>
      </w:r>
      <w:r w:rsidR="003C6C8E">
        <w:rPr>
          <w:rFonts w:ascii="Times New Roman" w:hAnsi="Times New Roman" w:cs="Times New Roman"/>
          <w:sz w:val="24"/>
          <w:szCs w:val="24"/>
        </w:rPr>
        <w:t xml:space="preserve"> </w:t>
      </w:r>
      <w:r w:rsidR="008F1C14">
        <w:rPr>
          <w:rFonts w:ascii="Times New Roman" w:hAnsi="Times New Roman" w:cs="Times New Roman"/>
          <w:sz w:val="24"/>
          <w:szCs w:val="24"/>
        </w:rPr>
        <w:t xml:space="preserve">There is a history to all this. And </w:t>
      </w:r>
      <w:r w:rsidR="00AE2FD2">
        <w:rPr>
          <w:rFonts w:ascii="Times New Roman" w:hAnsi="Times New Roman" w:cs="Times New Roman"/>
          <w:sz w:val="24"/>
          <w:szCs w:val="24"/>
        </w:rPr>
        <w:t>it traces,</w:t>
      </w:r>
      <w:r w:rsidR="00AE2FD2" w:rsidRPr="00AE2FD2">
        <w:rPr>
          <w:rFonts w:ascii="Times New Roman" w:hAnsi="Times New Roman" w:cs="Times New Roman"/>
          <w:sz w:val="24"/>
          <w:szCs w:val="24"/>
        </w:rPr>
        <w:t xml:space="preserve"> (for convenience) </w:t>
      </w:r>
      <w:r w:rsidR="008F1C14">
        <w:rPr>
          <w:rFonts w:ascii="Times New Roman" w:hAnsi="Times New Roman" w:cs="Times New Roman"/>
          <w:sz w:val="24"/>
          <w:szCs w:val="24"/>
        </w:rPr>
        <w:t>to the year 2009</w:t>
      </w:r>
      <w:r w:rsidR="00DB43BC">
        <w:rPr>
          <w:rFonts w:ascii="Times New Roman" w:hAnsi="Times New Roman" w:cs="Times New Roman"/>
          <w:sz w:val="24"/>
          <w:szCs w:val="24"/>
        </w:rPr>
        <w:t xml:space="preserve">.During that year, the </w:t>
      </w:r>
      <w:r w:rsidR="008F1C14">
        <w:rPr>
          <w:rFonts w:ascii="Times New Roman" w:hAnsi="Times New Roman" w:cs="Times New Roman"/>
          <w:sz w:val="24"/>
          <w:szCs w:val="24"/>
        </w:rPr>
        <w:t xml:space="preserve">nation adopted various currencies as legal tender </w:t>
      </w:r>
      <w:r w:rsidR="00117098">
        <w:rPr>
          <w:rFonts w:ascii="Times New Roman" w:hAnsi="Times New Roman" w:cs="Times New Roman"/>
          <w:sz w:val="24"/>
          <w:szCs w:val="24"/>
        </w:rPr>
        <w:t xml:space="preserve">for use </w:t>
      </w:r>
      <w:r w:rsidR="008F1C14">
        <w:rPr>
          <w:rFonts w:ascii="Times New Roman" w:hAnsi="Times New Roman" w:cs="Times New Roman"/>
          <w:sz w:val="24"/>
          <w:szCs w:val="24"/>
        </w:rPr>
        <w:t>in local transactions.</w:t>
      </w:r>
      <w:r w:rsidR="008F1C14" w:rsidRPr="008F1C14">
        <w:rPr>
          <w:rFonts w:ascii="Times New Roman" w:hAnsi="Times New Roman" w:cs="Times New Roman"/>
          <w:sz w:val="24"/>
          <w:szCs w:val="24"/>
        </w:rPr>
        <w:t xml:space="preserve"> </w:t>
      </w:r>
      <w:r w:rsidR="00DB43BC">
        <w:rPr>
          <w:rFonts w:ascii="Times New Roman" w:hAnsi="Times New Roman" w:cs="Times New Roman"/>
          <w:sz w:val="24"/>
          <w:szCs w:val="24"/>
        </w:rPr>
        <w:t>Why and how the nation too</w:t>
      </w:r>
      <w:r w:rsidR="00D46B03">
        <w:rPr>
          <w:rFonts w:ascii="Times New Roman" w:hAnsi="Times New Roman" w:cs="Times New Roman"/>
          <w:sz w:val="24"/>
          <w:szCs w:val="24"/>
        </w:rPr>
        <w:t>k</w:t>
      </w:r>
      <w:r w:rsidR="00DB43BC">
        <w:rPr>
          <w:rFonts w:ascii="Times New Roman" w:hAnsi="Times New Roman" w:cs="Times New Roman"/>
          <w:sz w:val="24"/>
          <w:szCs w:val="24"/>
        </w:rPr>
        <w:t xml:space="preserve"> that measure</w:t>
      </w:r>
      <w:r w:rsidR="00D46B03">
        <w:rPr>
          <w:rFonts w:ascii="Times New Roman" w:hAnsi="Times New Roman" w:cs="Times New Roman"/>
          <w:sz w:val="24"/>
          <w:szCs w:val="24"/>
        </w:rPr>
        <w:t>,</w:t>
      </w:r>
      <w:r w:rsidR="00DB43BC">
        <w:rPr>
          <w:rFonts w:ascii="Times New Roman" w:hAnsi="Times New Roman" w:cs="Times New Roman"/>
          <w:sz w:val="24"/>
          <w:szCs w:val="24"/>
        </w:rPr>
        <w:t xml:space="preserve"> are matters that have been traversed, to various extents, in the decisions</w:t>
      </w:r>
      <w:r w:rsidR="00AE2FD2">
        <w:rPr>
          <w:rFonts w:ascii="Times New Roman" w:hAnsi="Times New Roman" w:cs="Times New Roman"/>
          <w:sz w:val="24"/>
          <w:szCs w:val="24"/>
        </w:rPr>
        <w:t xml:space="preserve"> cited above</w:t>
      </w:r>
      <w:r w:rsidR="00DB43BC">
        <w:rPr>
          <w:rFonts w:ascii="Times New Roman" w:hAnsi="Times New Roman" w:cs="Times New Roman"/>
          <w:sz w:val="24"/>
          <w:szCs w:val="24"/>
        </w:rPr>
        <w:t>.</w:t>
      </w:r>
      <w:r w:rsidR="006B4F02">
        <w:rPr>
          <w:rFonts w:ascii="Times New Roman" w:hAnsi="Times New Roman" w:cs="Times New Roman"/>
          <w:sz w:val="24"/>
          <w:szCs w:val="24"/>
        </w:rPr>
        <w:t xml:space="preserve"> A</w:t>
      </w:r>
      <w:r w:rsidR="00AE2FD2">
        <w:rPr>
          <w:rFonts w:ascii="Times New Roman" w:hAnsi="Times New Roman" w:cs="Times New Roman"/>
          <w:sz w:val="24"/>
          <w:szCs w:val="24"/>
        </w:rPr>
        <w:t xml:space="preserve"> </w:t>
      </w:r>
      <w:r w:rsidR="00DB43BC">
        <w:rPr>
          <w:rFonts w:ascii="Times New Roman" w:hAnsi="Times New Roman" w:cs="Times New Roman"/>
          <w:sz w:val="24"/>
          <w:szCs w:val="24"/>
        </w:rPr>
        <w:t xml:space="preserve">comprehensive </w:t>
      </w:r>
      <w:r w:rsidR="00AE2FD2">
        <w:rPr>
          <w:rFonts w:ascii="Times New Roman" w:hAnsi="Times New Roman" w:cs="Times New Roman"/>
          <w:sz w:val="24"/>
          <w:szCs w:val="24"/>
        </w:rPr>
        <w:t xml:space="preserve">account is borne out </w:t>
      </w:r>
      <w:r w:rsidR="00DB43BC">
        <w:rPr>
          <w:rFonts w:ascii="Times New Roman" w:hAnsi="Times New Roman" w:cs="Times New Roman"/>
          <w:sz w:val="24"/>
          <w:szCs w:val="24"/>
        </w:rPr>
        <w:t xml:space="preserve">in </w:t>
      </w:r>
      <w:r w:rsidR="00DB43BC" w:rsidRPr="006B4F02">
        <w:rPr>
          <w:rFonts w:ascii="Times New Roman" w:hAnsi="Times New Roman" w:cs="Times New Roman"/>
          <w:i/>
          <w:iCs/>
          <w:sz w:val="24"/>
          <w:szCs w:val="24"/>
        </w:rPr>
        <w:t>Stone</w:t>
      </w:r>
      <w:r w:rsidR="008F1C14" w:rsidRPr="006B4F02">
        <w:rPr>
          <w:rFonts w:ascii="Times New Roman" w:hAnsi="Times New Roman" w:cs="Times New Roman"/>
          <w:i/>
          <w:iCs/>
          <w:sz w:val="24"/>
          <w:szCs w:val="24"/>
        </w:rPr>
        <w:t xml:space="preserve"> </w:t>
      </w:r>
      <w:r w:rsidR="006B4F02" w:rsidRPr="006B4F02">
        <w:rPr>
          <w:rFonts w:ascii="Times New Roman" w:hAnsi="Times New Roman" w:cs="Times New Roman"/>
          <w:i/>
          <w:iCs/>
          <w:sz w:val="24"/>
          <w:szCs w:val="24"/>
        </w:rPr>
        <w:t>and Beattie</w:t>
      </w:r>
      <w:r w:rsidR="006B4F02">
        <w:rPr>
          <w:rFonts w:ascii="Times New Roman" w:hAnsi="Times New Roman" w:cs="Times New Roman"/>
          <w:sz w:val="24"/>
          <w:szCs w:val="24"/>
        </w:rPr>
        <w:t xml:space="preserve"> </w:t>
      </w:r>
      <w:r w:rsidR="00975784">
        <w:rPr>
          <w:rFonts w:ascii="Times New Roman" w:hAnsi="Times New Roman" w:cs="Times New Roman"/>
          <w:sz w:val="24"/>
          <w:szCs w:val="24"/>
        </w:rPr>
        <w:t>(</w:t>
      </w:r>
      <w:r w:rsidR="00975784" w:rsidRPr="00975784">
        <w:rPr>
          <w:rFonts w:ascii="Times New Roman" w:hAnsi="Times New Roman" w:cs="Times New Roman"/>
          <w:i/>
          <w:sz w:val="24"/>
          <w:szCs w:val="24"/>
        </w:rPr>
        <w:t>t/a Stone/Beattie Studio Partnership</w:t>
      </w:r>
      <w:r w:rsidR="00975784">
        <w:rPr>
          <w:rFonts w:ascii="Times New Roman" w:hAnsi="Times New Roman" w:cs="Times New Roman"/>
          <w:i/>
          <w:sz w:val="24"/>
          <w:szCs w:val="24"/>
        </w:rPr>
        <w:t xml:space="preserve">) v </w:t>
      </w:r>
      <w:r w:rsidR="006B4F02" w:rsidRPr="006B4F02">
        <w:rPr>
          <w:rFonts w:ascii="Times New Roman" w:hAnsi="Times New Roman" w:cs="Times New Roman"/>
          <w:i/>
          <w:sz w:val="24"/>
          <w:szCs w:val="24"/>
        </w:rPr>
        <w:t>Central Africa Building Society</w:t>
      </w:r>
      <w:r w:rsidR="006B4F02">
        <w:rPr>
          <w:rFonts w:ascii="Times New Roman" w:hAnsi="Times New Roman" w:cs="Times New Roman"/>
          <w:i/>
          <w:sz w:val="24"/>
          <w:szCs w:val="24"/>
        </w:rPr>
        <w:t xml:space="preserve"> and </w:t>
      </w:r>
      <w:r w:rsidR="006B4F02" w:rsidRPr="006B4F02">
        <w:rPr>
          <w:rFonts w:ascii="Times New Roman" w:hAnsi="Times New Roman" w:cs="Times New Roman"/>
          <w:i/>
          <w:sz w:val="24"/>
          <w:szCs w:val="24"/>
        </w:rPr>
        <w:t xml:space="preserve">Reserve Bank </w:t>
      </w:r>
      <w:r w:rsidR="00967565" w:rsidRPr="006B4F02">
        <w:rPr>
          <w:rFonts w:ascii="Times New Roman" w:hAnsi="Times New Roman" w:cs="Times New Roman"/>
          <w:i/>
          <w:sz w:val="24"/>
          <w:szCs w:val="24"/>
        </w:rPr>
        <w:t>of</w:t>
      </w:r>
      <w:r w:rsidR="006B4F02" w:rsidRPr="006B4F02">
        <w:rPr>
          <w:rFonts w:ascii="Times New Roman" w:hAnsi="Times New Roman" w:cs="Times New Roman"/>
          <w:i/>
          <w:sz w:val="24"/>
          <w:szCs w:val="24"/>
        </w:rPr>
        <w:t xml:space="preserve"> Zimbabwe</w:t>
      </w:r>
      <w:r w:rsidR="006B4F02">
        <w:rPr>
          <w:rFonts w:ascii="Times New Roman" w:hAnsi="Times New Roman" w:cs="Times New Roman"/>
          <w:i/>
          <w:sz w:val="24"/>
          <w:szCs w:val="24"/>
        </w:rPr>
        <w:t xml:space="preserve"> and </w:t>
      </w:r>
      <w:r w:rsidR="006B4F02" w:rsidRPr="006B4F02">
        <w:rPr>
          <w:rFonts w:ascii="Times New Roman" w:hAnsi="Times New Roman" w:cs="Times New Roman"/>
          <w:i/>
          <w:sz w:val="24"/>
          <w:szCs w:val="24"/>
        </w:rPr>
        <w:t xml:space="preserve">Minister </w:t>
      </w:r>
      <w:r w:rsidR="00967565" w:rsidRPr="006B4F02">
        <w:rPr>
          <w:rFonts w:ascii="Times New Roman" w:hAnsi="Times New Roman" w:cs="Times New Roman"/>
          <w:i/>
          <w:sz w:val="24"/>
          <w:szCs w:val="24"/>
        </w:rPr>
        <w:t>of</w:t>
      </w:r>
      <w:r w:rsidR="006B4F02" w:rsidRPr="006B4F02">
        <w:rPr>
          <w:rFonts w:ascii="Times New Roman" w:hAnsi="Times New Roman" w:cs="Times New Roman"/>
          <w:i/>
          <w:sz w:val="24"/>
          <w:szCs w:val="24"/>
        </w:rPr>
        <w:t xml:space="preserve"> Finance &amp; Economic Development</w:t>
      </w:r>
      <w:r w:rsidR="006B4F02">
        <w:rPr>
          <w:rFonts w:ascii="Times New Roman" w:hAnsi="Times New Roman" w:cs="Times New Roman"/>
          <w:i/>
          <w:sz w:val="24"/>
          <w:szCs w:val="24"/>
        </w:rPr>
        <w:t xml:space="preserve"> </w:t>
      </w:r>
      <w:r w:rsidR="006B4F02" w:rsidRPr="006B4F02">
        <w:rPr>
          <w:rFonts w:ascii="Times New Roman" w:hAnsi="Times New Roman" w:cs="Times New Roman"/>
          <w:iCs/>
          <w:sz w:val="24"/>
          <w:szCs w:val="24"/>
        </w:rPr>
        <w:t>HH 118-23</w:t>
      </w:r>
      <w:r w:rsidR="006B4F02">
        <w:rPr>
          <w:rStyle w:val="FootnoteReference"/>
          <w:rFonts w:ascii="Times New Roman" w:hAnsi="Times New Roman" w:cs="Times New Roman"/>
          <w:iCs/>
          <w:sz w:val="24"/>
          <w:szCs w:val="24"/>
        </w:rPr>
        <w:footnoteReference w:id="7"/>
      </w:r>
      <w:r w:rsidR="006B4F02" w:rsidRPr="006B4F02">
        <w:rPr>
          <w:rFonts w:ascii="Times New Roman" w:hAnsi="Times New Roman" w:cs="Times New Roman"/>
          <w:iCs/>
          <w:sz w:val="24"/>
          <w:szCs w:val="24"/>
        </w:rPr>
        <w:t>.</w:t>
      </w:r>
    </w:p>
    <w:p w14:paraId="116134B6" w14:textId="1B05AE40" w:rsidR="008F1C14" w:rsidRDefault="002D320A" w:rsidP="007B7AB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65828">
        <w:rPr>
          <w:rFonts w:ascii="Times New Roman" w:hAnsi="Times New Roman" w:cs="Times New Roman"/>
          <w:sz w:val="24"/>
          <w:szCs w:val="24"/>
        </w:rPr>
        <w:t>11]</w:t>
      </w:r>
      <w:r>
        <w:rPr>
          <w:rFonts w:ascii="Times New Roman" w:hAnsi="Times New Roman" w:cs="Times New Roman"/>
          <w:sz w:val="24"/>
          <w:szCs w:val="24"/>
        </w:rPr>
        <w:t xml:space="preserve"> For purposes of resolving this dispute I will package the historical background into two categories. Firstly, there is what one might term the “SI 33-19 “transition prescription”. </w:t>
      </w:r>
      <w:r w:rsidR="00D46B03">
        <w:rPr>
          <w:rFonts w:ascii="Times New Roman" w:hAnsi="Times New Roman" w:cs="Times New Roman"/>
          <w:sz w:val="24"/>
          <w:szCs w:val="24"/>
        </w:rPr>
        <w:t xml:space="preserve">This prescription was described in the following terms by MAFUSIRE J in </w:t>
      </w:r>
      <w:r w:rsidR="00D46B03" w:rsidRPr="00D46B03">
        <w:rPr>
          <w:rFonts w:ascii="Times New Roman" w:hAnsi="Times New Roman" w:cs="Times New Roman"/>
          <w:i/>
          <w:iCs/>
          <w:sz w:val="24"/>
          <w:szCs w:val="24"/>
        </w:rPr>
        <w:t xml:space="preserve">Manojkumar Jivan v Salzman </w:t>
      </w:r>
      <w:r w:rsidR="00D46B03">
        <w:rPr>
          <w:rFonts w:ascii="Times New Roman" w:hAnsi="Times New Roman" w:cs="Times New Roman"/>
          <w:sz w:val="24"/>
          <w:szCs w:val="24"/>
        </w:rPr>
        <w:t>(supra) at [ 24</w:t>
      </w:r>
      <w:r w:rsidR="00EB282F">
        <w:rPr>
          <w:rFonts w:ascii="Times New Roman" w:hAnsi="Times New Roman" w:cs="Times New Roman"/>
          <w:sz w:val="24"/>
          <w:szCs w:val="24"/>
        </w:rPr>
        <w:t>]; -</w:t>
      </w:r>
    </w:p>
    <w:p w14:paraId="5D3B2B36" w14:textId="5842AB80" w:rsidR="00325127" w:rsidRDefault="00325127" w:rsidP="00325127">
      <w:pPr>
        <w:spacing w:line="360" w:lineRule="auto"/>
        <w:ind w:left="1134"/>
        <w:jc w:val="both"/>
        <w:rPr>
          <w:rFonts w:ascii="Times New Roman" w:hAnsi="Times New Roman" w:cs="Times New Roman"/>
          <w:sz w:val="24"/>
          <w:szCs w:val="24"/>
        </w:rPr>
      </w:pPr>
      <w:r>
        <w:rPr>
          <w:rFonts w:ascii="Times New Roman" w:hAnsi="Times New Roman" w:cs="Times New Roman"/>
          <w:i/>
          <w:iCs/>
          <w:sz w:val="24"/>
          <w:szCs w:val="24"/>
        </w:rPr>
        <w:t>“</w:t>
      </w:r>
      <w:r w:rsidRPr="00325127">
        <w:rPr>
          <w:rFonts w:ascii="Times New Roman" w:hAnsi="Times New Roman" w:cs="Times New Roman"/>
          <w:i/>
          <w:iCs/>
          <w:sz w:val="24"/>
          <w:szCs w:val="24"/>
        </w:rPr>
        <w:t>[24]</w:t>
      </w:r>
      <w:r w:rsidRPr="00325127">
        <w:rPr>
          <w:rFonts w:ascii="Times New Roman" w:hAnsi="Times New Roman" w:cs="Times New Roman"/>
          <w:sz w:val="24"/>
          <w:szCs w:val="24"/>
        </w:rPr>
        <w:tab/>
        <w:t>In summary, s 4[1][d] of SI 33/19 provided that for accounting and other purposes, all assets and liabilities that were valued and expressed in United States dollars immediately before the effective date, would be deemed to be values in RTGS dollars at a rate of one-to-one to the United States dollar, on and after the effective date. However, certain assets and liabilities were made exempt from this valuation rate. Such assets and liabilities would be those listed in s 44C (2) of the Reserve Bank of Zimbabwe Act [</w:t>
      </w:r>
      <w:r w:rsidRPr="00325127">
        <w:rPr>
          <w:rFonts w:ascii="Times New Roman" w:hAnsi="Times New Roman" w:cs="Times New Roman"/>
          <w:i/>
          <w:sz w:val="24"/>
          <w:szCs w:val="24"/>
        </w:rPr>
        <w:t>Chapter 22:15</w:t>
      </w:r>
      <w:r w:rsidRPr="00325127">
        <w:rPr>
          <w:rFonts w:ascii="Times New Roman" w:hAnsi="Times New Roman" w:cs="Times New Roman"/>
          <w:sz w:val="24"/>
          <w:szCs w:val="24"/>
        </w:rPr>
        <w:t>], a provision that was contemporaneously enacted together with, and simultaneously inserted by, S.I. 33/19</w:t>
      </w:r>
    </w:p>
    <w:p w14:paraId="5E7D98E8" w14:textId="0AFB1089" w:rsidR="00004326" w:rsidRDefault="00BB4AC7" w:rsidP="000631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12]</w:t>
      </w:r>
      <w:r>
        <w:rPr>
          <w:rFonts w:ascii="Times New Roman" w:hAnsi="Times New Roman" w:cs="Times New Roman"/>
          <w:sz w:val="24"/>
          <w:szCs w:val="24"/>
        </w:rPr>
        <w:t xml:space="preserve"> This is the scenario addressed by the Supreme Court in </w:t>
      </w:r>
      <w:r w:rsidRPr="00004326">
        <w:rPr>
          <w:rFonts w:ascii="Times New Roman" w:hAnsi="Times New Roman" w:cs="Times New Roman"/>
          <w:i/>
          <w:iCs/>
          <w:sz w:val="24"/>
          <w:szCs w:val="24"/>
        </w:rPr>
        <w:t xml:space="preserve">Zambezi </w:t>
      </w:r>
      <w:r w:rsidR="00BC2C5E" w:rsidRPr="00004326">
        <w:rPr>
          <w:rFonts w:ascii="Times New Roman" w:hAnsi="Times New Roman" w:cs="Times New Roman"/>
          <w:i/>
          <w:iCs/>
          <w:sz w:val="24"/>
          <w:szCs w:val="24"/>
        </w:rPr>
        <w:t>Gas</w:t>
      </w:r>
      <w:r w:rsidR="00004326" w:rsidRPr="00004326">
        <w:rPr>
          <w:rFonts w:ascii="Times New Roman" w:hAnsi="Times New Roman" w:cs="Times New Roman"/>
          <w:i/>
          <w:iCs/>
          <w:sz w:val="24"/>
          <w:szCs w:val="24"/>
        </w:rPr>
        <w:t xml:space="preserve"> v Barber</w:t>
      </w:r>
      <w:r w:rsidR="00004326">
        <w:rPr>
          <w:rFonts w:ascii="Times New Roman" w:hAnsi="Times New Roman" w:cs="Times New Roman"/>
          <w:sz w:val="24"/>
          <w:szCs w:val="24"/>
        </w:rPr>
        <w:t>.</w:t>
      </w:r>
      <w:r w:rsidR="00BC2C5E">
        <w:rPr>
          <w:rFonts w:ascii="Times New Roman" w:hAnsi="Times New Roman" w:cs="Times New Roman"/>
          <w:sz w:val="24"/>
          <w:szCs w:val="24"/>
        </w:rPr>
        <w:t xml:space="preserve"> It deal</w:t>
      </w:r>
      <w:r w:rsidR="00D46B03">
        <w:rPr>
          <w:rFonts w:ascii="Times New Roman" w:hAnsi="Times New Roman" w:cs="Times New Roman"/>
          <w:sz w:val="24"/>
          <w:szCs w:val="24"/>
        </w:rPr>
        <w:t>t</w:t>
      </w:r>
      <w:r w:rsidR="00BC2C5E">
        <w:rPr>
          <w:rFonts w:ascii="Times New Roman" w:hAnsi="Times New Roman" w:cs="Times New Roman"/>
          <w:sz w:val="24"/>
          <w:szCs w:val="24"/>
        </w:rPr>
        <w:t xml:space="preserve"> with obligations or liabilities spanning </w:t>
      </w:r>
      <w:r w:rsidR="00C02460">
        <w:rPr>
          <w:rFonts w:ascii="Times New Roman" w:hAnsi="Times New Roman" w:cs="Times New Roman"/>
          <w:sz w:val="24"/>
          <w:szCs w:val="24"/>
        </w:rPr>
        <w:t xml:space="preserve">the first </w:t>
      </w:r>
      <w:r w:rsidR="00BC2C5E">
        <w:rPr>
          <w:rFonts w:ascii="Times New Roman" w:hAnsi="Times New Roman" w:cs="Times New Roman"/>
          <w:sz w:val="24"/>
          <w:szCs w:val="24"/>
        </w:rPr>
        <w:t xml:space="preserve">transition date </w:t>
      </w:r>
      <w:r w:rsidR="00011AE6">
        <w:rPr>
          <w:rFonts w:ascii="Times New Roman" w:hAnsi="Times New Roman" w:cs="Times New Roman"/>
          <w:sz w:val="24"/>
          <w:szCs w:val="24"/>
        </w:rPr>
        <w:t>(the</w:t>
      </w:r>
      <w:r w:rsidR="00C02460">
        <w:rPr>
          <w:rFonts w:ascii="Times New Roman" w:hAnsi="Times New Roman" w:cs="Times New Roman"/>
          <w:sz w:val="24"/>
          <w:szCs w:val="24"/>
        </w:rPr>
        <w:t xml:space="preserve"> “effective date” of 22 </w:t>
      </w:r>
      <w:r w:rsidR="00BC2C5E">
        <w:rPr>
          <w:rFonts w:ascii="Times New Roman" w:hAnsi="Times New Roman" w:cs="Times New Roman"/>
          <w:sz w:val="24"/>
          <w:szCs w:val="24"/>
        </w:rPr>
        <w:t>February 2019</w:t>
      </w:r>
      <w:r w:rsidR="00011AE6">
        <w:rPr>
          <w:rFonts w:ascii="Times New Roman" w:hAnsi="Times New Roman" w:cs="Times New Roman"/>
          <w:sz w:val="24"/>
          <w:szCs w:val="24"/>
        </w:rPr>
        <w:t>)</w:t>
      </w:r>
      <w:r w:rsidR="00BC2C5E">
        <w:rPr>
          <w:rFonts w:ascii="Times New Roman" w:hAnsi="Times New Roman" w:cs="Times New Roman"/>
          <w:sz w:val="24"/>
          <w:szCs w:val="24"/>
        </w:rPr>
        <w:t>.</w:t>
      </w:r>
      <w:r>
        <w:rPr>
          <w:rFonts w:ascii="Times New Roman" w:hAnsi="Times New Roman" w:cs="Times New Roman"/>
          <w:sz w:val="24"/>
          <w:szCs w:val="24"/>
        </w:rPr>
        <w:t xml:space="preserve"> Herein, we are concerned with the </w:t>
      </w:r>
      <w:r w:rsidR="00063146">
        <w:rPr>
          <w:rFonts w:ascii="Times New Roman" w:hAnsi="Times New Roman" w:cs="Times New Roman"/>
          <w:sz w:val="24"/>
          <w:szCs w:val="24"/>
        </w:rPr>
        <w:t>“</w:t>
      </w:r>
      <w:r w:rsidR="006815B5">
        <w:rPr>
          <w:rFonts w:ascii="Times New Roman" w:hAnsi="Times New Roman" w:cs="Times New Roman"/>
          <w:sz w:val="24"/>
          <w:szCs w:val="24"/>
        </w:rPr>
        <w:t xml:space="preserve">post </w:t>
      </w:r>
      <w:r w:rsidR="00063146">
        <w:rPr>
          <w:rFonts w:ascii="Times New Roman" w:hAnsi="Times New Roman" w:cs="Times New Roman"/>
          <w:sz w:val="24"/>
          <w:szCs w:val="24"/>
        </w:rPr>
        <w:t xml:space="preserve">transition” </w:t>
      </w:r>
      <w:r w:rsidR="006815B5">
        <w:rPr>
          <w:rFonts w:ascii="Times New Roman" w:hAnsi="Times New Roman" w:cs="Times New Roman"/>
          <w:sz w:val="24"/>
          <w:szCs w:val="24"/>
        </w:rPr>
        <w:t>period</w:t>
      </w:r>
      <w:r w:rsidR="00004326">
        <w:rPr>
          <w:rFonts w:ascii="Times New Roman" w:hAnsi="Times New Roman" w:cs="Times New Roman"/>
          <w:sz w:val="24"/>
          <w:szCs w:val="24"/>
        </w:rPr>
        <w:t xml:space="preserve"> where </w:t>
      </w:r>
      <w:r>
        <w:rPr>
          <w:rFonts w:ascii="Times New Roman" w:hAnsi="Times New Roman" w:cs="Times New Roman"/>
          <w:sz w:val="24"/>
          <w:szCs w:val="24"/>
        </w:rPr>
        <w:t xml:space="preserve">(a) use of the Zimbabwe Dollar in domestic transactions was made mandatory against (b) the prohibition of the United States Dollar and other currencies. </w:t>
      </w:r>
      <w:r w:rsidR="00A4416E" w:rsidRPr="00A4416E">
        <w:rPr>
          <w:rFonts w:ascii="Times New Roman" w:hAnsi="Times New Roman" w:cs="Times New Roman"/>
          <w:sz w:val="24"/>
          <w:szCs w:val="24"/>
        </w:rPr>
        <w:t xml:space="preserve">This is the argument proffered by Mr. </w:t>
      </w:r>
      <w:r w:rsidR="00A4416E" w:rsidRPr="00A4416E">
        <w:rPr>
          <w:rFonts w:ascii="Times New Roman" w:hAnsi="Times New Roman" w:cs="Times New Roman"/>
          <w:i/>
          <w:iCs/>
          <w:sz w:val="24"/>
          <w:szCs w:val="24"/>
        </w:rPr>
        <w:t>Runganga</w:t>
      </w:r>
      <w:r w:rsidR="00A4416E" w:rsidRPr="00A4416E">
        <w:rPr>
          <w:rFonts w:ascii="Times New Roman" w:hAnsi="Times New Roman" w:cs="Times New Roman"/>
          <w:sz w:val="24"/>
          <w:szCs w:val="24"/>
        </w:rPr>
        <w:t xml:space="preserve"> </w:t>
      </w:r>
      <w:r w:rsidR="00A4416E">
        <w:rPr>
          <w:rFonts w:ascii="Times New Roman" w:hAnsi="Times New Roman" w:cs="Times New Roman"/>
          <w:sz w:val="24"/>
          <w:szCs w:val="24"/>
        </w:rPr>
        <w:t>that t</w:t>
      </w:r>
      <w:r w:rsidR="00A4416E" w:rsidRPr="00A4416E">
        <w:rPr>
          <w:rFonts w:ascii="Times New Roman" w:hAnsi="Times New Roman" w:cs="Times New Roman"/>
          <w:sz w:val="24"/>
          <w:szCs w:val="24"/>
        </w:rPr>
        <w:t xml:space="preserve">he law prohibited use of a currency other than the Zimbabwe </w:t>
      </w:r>
      <w:r w:rsidR="0057006B" w:rsidRPr="00A4416E">
        <w:rPr>
          <w:rFonts w:ascii="Times New Roman" w:hAnsi="Times New Roman" w:cs="Times New Roman"/>
          <w:sz w:val="24"/>
          <w:szCs w:val="24"/>
        </w:rPr>
        <w:t>Dollar.</w:t>
      </w:r>
      <w:r w:rsidR="00A4416E" w:rsidRPr="00063146">
        <w:rPr>
          <w:rFonts w:ascii="Times New Roman" w:hAnsi="Times New Roman" w:cs="Times New Roman"/>
          <w:sz w:val="24"/>
          <w:szCs w:val="24"/>
        </w:rPr>
        <w:t xml:space="preserve"> </w:t>
      </w:r>
      <w:r w:rsidR="00004326">
        <w:rPr>
          <w:rFonts w:ascii="Times New Roman" w:hAnsi="Times New Roman" w:cs="Times New Roman"/>
          <w:sz w:val="24"/>
          <w:szCs w:val="24"/>
        </w:rPr>
        <w:t>Defendant cited two key provisions being; -</w:t>
      </w:r>
    </w:p>
    <w:p w14:paraId="1DEB4B41" w14:textId="20CD7499" w:rsidR="00091A3C" w:rsidRPr="004411CF" w:rsidRDefault="00091A3C" w:rsidP="004411CF">
      <w:pPr>
        <w:pStyle w:val="ListParagraph"/>
        <w:numPr>
          <w:ilvl w:val="0"/>
          <w:numId w:val="2"/>
        </w:numPr>
        <w:spacing w:line="360" w:lineRule="auto"/>
        <w:jc w:val="both"/>
        <w:rPr>
          <w:rFonts w:ascii="Times New Roman" w:hAnsi="Times New Roman" w:cs="Times New Roman"/>
          <w:sz w:val="24"/>
          <w:szCs w:val="24"/>
          <w:u w:val="single"/>
        </w:rPr>
      </w:pPr>
      <w:r w:rsidRPr="004411CF">
        <w:rPr>
          <w:rFonts w:ascii="Times New Roman" w:hAnsi="Times New Roman" w:cs="Times New Roman"/>
          <w:sz w:val="24"/>
          <w:szCs w:val="24"/>
          <w:u w:val="single"/>
        </w:rPr>
        <w:lastRenderedPageBreak/>
        <w:t>Sections (1) and (2) of the Reserve Bank of Zimbabwe (Legal Tender) Regulations 2019 (S.I. 142/2019); -</w:t>
      </w:r>
    </w:p>
    <w:p w14:paraId="3F1F47FF" w14:textId="32AF15DA" w:rsidR="00091A3C" w:rsidRDefault="00091A3C" w:rsidP="004411CF">
      <w:pPr>
        <w:spacing w:line="360" w:lineRule="auto"/>
        <w:ind w:left="1134"/>
        <w:jc w:val="both"/>
        <w:rPr>
          <w:rFonts w:ascii="Times New Roman" w:hAnsi="Times New Roman" w:cs="Times New Roman"/>
          <w:sz w:val="24"/>
          <w:szCs w:val="24"/>
        </w:rPr>
      </w:pPr>
      <w:r w:rsidRPr="00091A3C">
        <w:rPr>
          <w:rFonts w:ascii="Times New Roman" w:hAnsi="Times New Roman" w:cs="Times New Roman"/>
          <w:sz w:val="24"/>
          <w:szCs w:val="24"/>
        </w:rPr>
        <w:t>“(1) Subject to section 3, with effect from the 24th June 2019, the British pound, United States dollar, South African rand, Botswana pula and any other foreign currency whatsoever shall no longer be legal tender alongside the Zimbabwe dollar in any transactions in Zimbabwe</w:t>
      </w:r>
      <w:r>
        <w:rPr>
          <w:rFonts w:ascii="Times New Roman" w:hAnsi="Times New Roman" w:cs="Times New Roman"/>
          <w:sz w:val="24"/>
          <w:szCs w:val="24"/>
        </w:rPr>
        <w:t>.</w:t>
      </w:r>
    </w:p>
    <w:p w14:paraId="1A3D8294" w14:textId="0E0E280C" w:rsidR="00FF6A02" w:rsidRDefault="00091A3C" w:rsidP="004411CF">
      <w:pPr>
        <w:spacing w:line="360" w:lineRule="auto"/>
        <w:ind w:left="1134"/>
        <w:jc w:val="both"/>
        <w:rPr>
          <w:rFonts w:ascii="Times New Roman" w:hAnsi="Times New Roman" w:cs="Times New Roman"/>
          <w:sz w:val="24"/>
          <w:szCs w:val="24"/>
        </w:rPr>
      </w:pPr>
      <w:r w:rsidRPr="00091A3C">
        <w:rPr>
          <w:rFonts w:ascii="Times New Roman" w:hAnsi="Times New Roman" w:cs="Times New Roman"/>
          <w:sz w:val="24"/>
          <w:szCs w:val="24"/>
        </w:rPr>
        <w:t xml:space="preserve"> (2) Accordingly, the Zimbabwe dollar shall, with effect from the 24th June 2019, but subject to section 3, be the sole legal tender in Zimbabwe in all transactions.</w:t>
      </w:r>
    </w:p>
    <w:p w14:paraId="0743C64A" w14:textId="7F8A1A5A" w:rsidR="004411CF" w:rsidRPr="00967565" w:rsidRDefault="004411CF" w:rsidP="004411CF">
      <w:pPr>
        <w:pStyle w:val="ListParagraph"/>
        <w:numPr>
          <w:ilvl w:val="0"/>
          <w:numId w:val="2"/>
        </w:numPr>
        <w:spacing w:line="360" w:lineRule="auto"/>
        <w:jc w:val="both"/>
        <w:rPr>
          <w:rFonts w:ascii="Times New Roman" w:hAnsi="Times New Roman" w:cs="Times New Roman"/>
          <w:sz w:val="24"/>
          <w:szCs w:val="24"/>
        </w:rPr>
      </w:pPr>
      <w:r w:rsidRPr="004411CF">
        <w:rPr>
          <w:rFonts w:ascii="Times New Roman" w:hAnsi="Times New Roman" w:cs="Times New Roman"/>
          <w:sz w:val="24"/>
          <w:szCs w:val="24"/>
          <w:u w:val="single"/>
        </w:rPr>
        <w:t>Section (3) of the Exchange Control (Exclusive Use of Zimbabwe Dollar for Domestic Transactions) Regulations, 2019</w:t>
      </w:r>
      <w:r w:rsidR="00967565">
        <w:rPr>
          <w:rFonts w:ascii="Times New Roman" w:hAnsi="Times New Roman" w:cs="Times New Roman"/>
          <w:sz w:val="24"/>
          <w:szCs w:val="24"/>
          <w:u w:val="single"/>
        </w:rPr>
        <w:t xml:space="preserve"> which came into effect on 29 September 2019</w:t>
      </w:r>
      <w:r w:rsidR="00117B55" w:rsidRPr="00967565">
        <w:rPr>
          <w:rFonts w:ascii="Times New Roman" w:hAnsi="Times New Roman" w:cs="Times New Roman"/>
          <w:sz w:val="24"/>
          <w:szCs w:val="24"/>
        </w:rPr>
        <w:t xml:space="preserve"> </w:t>
      </w:r>
    </w:p>
    <w:p w14:paraId="65E95998" w14:textId="77777777" w:rsidR="004411CF" w:rsidRDefault="004411CF" w:rsidP="004411CF">
      <w:pPr>
        <w:spacing w:line="360" w:lineRule="auto"/>
        <w:ind w:left="1134"/>
        <w:jc w:val="both"/>
        <w:rPr>
          <w:rFonts w:ascii="Times New Roman" w:hAnsi="Times New Roman" w:cs="Times New Roman"/>
          <w:sz w:val="24"/>
          <w:szCs w:val="24"/>
        </w:rPr>
      </w:pPr>
      <w:r w:rsidRPr="004411CF">
        <w:rPr>
          <w:rFonts w:ascii="Times New Roman" w:hAnsi="Times New Roman" w:cs="Times New Roman"/>
          <w:sz w:val="24"/>
          <w:szCs w:val="24"/>
        </w:rPr>
        <w:t xml:space="preserve"> 3. (1) Subject to section 4, no person who is a party to a domestic transaction shall pay or receive as the price or the value of any consideration payable or receivable in respect of such transaction any currency other than the Zimbabwean dollar.</w:t>
      </w:r>
    </w:p>
    <w:p w14:paraId="74AF99A6" w14:textId="77777777" w:rsidR="004411CF" w:rsidRDefault="004411CF" w:rsidP="004411CF">
      <w:pPr>
        <w:spacing w:line="360" w:lineRule="auto"/>
        <w:ind w:left="1134"/>
        <w:jc w:val="both"/>
        <w:rPr>
          <w:rFonts w:ascii="Times New Roman" w:hAnsi="Times New Roman" w:cs="Times New Roman"/>
          <w:sz w:val="24"/>
          <w:szCs w:val="24"/>
        </w:rPr>
      </w:pPr>
      <w:r w:rsidRPr="004411CF">
        <w:rPr>
          <w:rFonts w:ascii="Times New Roman" w:hAnsi="Times New Roman" w:cs="Times New Roman"/>
          <w:sz w:val="24"/>
          <w:szCs w:val="24"/>
        </w:rPr>
        <w:t xml:space="preserve"> (2) In particular (without limiting the scope of subsection (1)) no person shall— </w:t>
      </w:r>
    </w:p>
    <w:p w14:paraId="00DCC3A2" w14:textId="77777777" w:rsidR="004411CF" w:rsidRDefault="004411CF" w:rsidP="004411CF">
      <w:pPr>
        <w:spacing w:line="360" w:lineRule="auto"/>
        <w:ind w:left="1134"/>
        <w:jc w:val="both"/>
        <w:rPr>
          <w:rFonts w:ascii="Times New Roman" w:hAnsi="Times New Roman" w:cs="Times New Roman"/>
          <w:sz w:val="24"/>
          <w:szCs w:val="24"/>
        </w:rPr>
      </w:pPr>
      <w:r w:rsidRPr="004411CF">
        <w:rPr>
          <w:rFonts w:ascii="Times New Roman" w:hAnsi="Times New Roman" w:cs="Times New Roman"/>
          <w:sz w:val="24"/>
          <w:szCs w:val="24"/>
        </w:rPr>
        <w:t>(a) quote, display, label, charge, solicit for the payment of, receive or pay the price of any goods, services, fee or commission in any currency other than the Zimbabwe dollar; or</w:t>
      </w:r>
    </w:p>
    <w:p w14:paraId="18809141" w14:textId="77777777" w:rsidR="004411CF" w:rsidRDefault="004411CF" w:rsidP="004411CF">
      <w:pPr>
        <w:spacing w:line="360" w:lineRule="auto"/>
        <w:ind w:left="1134"/>
        <w:jc w:val="both"/>
        <w:rPr>
          <w:rFonts w:ascii="Times New Roman" w:hAnsi="Times New Roman" w:cs="Times New Roman"/>
          <w:sz w:val="24"/>
          <w:szCs w:val="24"/>
        </w:rPr>
      </w:pPr>
      <w:r w:rsidRPr="004411CF">
        <w:rPr>
          <w:rFonts w:ascii="Times New Roman" w:hAnsi="Times New Roman" w:cs="Times New Roman"/>
          <w:sz w:val="24"/>
          <w:szCs w:val="24"/>
        </w:rPr>
        <w:t xml:space="preserve"> (b) settle any obligation by barter or otherwise for a consideration that is not denominated by, or is not valued in, the Zimbabwean dollar; or</w:t>
      </w:r>
    </w:p>
    <w:p w14:paraId="18137442" w14:textId="3B25AE7B" w:rsidR="00AF5E66" w:rsidRDefault="004411CF" w:rsidP="004411CF">
      <w:pPr>
        <w:spacing w:line="360" w:lineRule="auto"/>
        <w:ind w:left="1134"/>
        <w:jc w:val="both"/>
        <w:rPr>
          <w:rFonts w:ascii="Times New Roman" w:hAnsi="Times New Roman" w:cs="Times New Roman"/>
          <w:sz w:val="24"/>
          <w:szCs w:val="24"/>
        </w:rPr>
      </w:pPr>
      <w:r w:rsidRPr="004411CF">
        <w:rPr>
          <w:rFonts w:ascii="Times New Roman" w:hAnsi="Times New Roman" w:cs="Times New Roman"/>
          <w:sz w:val="24"/>
          <w:szCs w:val="24"/>
        </w:rPr>
        <w:t xml:space="preserve"> (c) receive, demand, pay or solicit for payment by means of any token, voucher, coupon, chit, instrument, unit of account or other means or unit of payment (whether material or digital) that is pegged to, referable to or used in substitution for any foreign currency or unit of a foreign currency.</w:t>
      </w:r>
    </w:p>
    <w:p w14:paraId="178768FE" w14:textId="77777777" w:rsidR="006F1A4B" w:rsidRDefault="00AF5E66" w:rsidP="00AF5E66">
      <w:pPr>
        <w:spacing w:line="360" w:lineRule="auto"/>
        <w:ind w:left="1134"/>
        <w:jc w:val="both"/>
        <w:rPr>
          <w:rFonts w:ascii="Times New Roman" w:hAnsi="Times New Roman" w:cs="Times New Roman"/>
          <w:sz w:val="24"/>
          <w:szCs w:val="24"/>
        </w:rPr>
      </w:pPr>
      <w:r w:rsidRPr="00AF5E66">
        <w:rPr>
          <w:rFonts w:ascii="Times New Roman" w:hAnsi="Times New Roman" w:cs="Times New Roman"/>
          <w:i/>
          <w:iCs/>
          <w:sz w:val="24"/>
          <w:szCs w:val="24"/>
        </w:rPr>
        <w:t xml:space="preserve">Transactions excluded from scope of </w:t>
      </w:r>
      <w:r w:rsidRPr="00AF5E66">
        <w:rPr>
          <w:rFonts w:ascii="Times New Roman" w:hAnsi="Times New Roman" w:cs="Times New Roman"/>
          <w:sz w:val="24"/>
          <w:szCs w:val="24"/>
        </w:rPr>
        <w:t>“</w:t>
      </w:r>
      <w:r w:rsidRPr="00AF5E66">
        <w:rPr>
          <w:rFonts w:ascii="Times New Roman" w:hAnsi="Times New Roman" w:cs="Times New Roman"/>
          <w:i/>
          <w:iCs/>
          <w:sz w:val="24"/>
          <w:szCs w:val="24"/>
        </w:rPr>
        <w:t>domestic transactions</w:t>
      </w:r>
      <w:r w:rsidRPr="00AF5E66">
        <w:rPr>
          <w:rFonts w:ascii="Times New Roman" w:hAnsi="Times New Roman" w:cs="Times New Roman"/>
          <w:sz w:val="24"/>
          <w:szCs w:val="24"/>
        </w:rPr>
        <w:t>”</w:t>
      </w:r>
    </w:p>
    <w:p w14:paraId="72950F53" w14:textId="075308DB" w:rsidR="00FF6A02" w:rsidRDefault="00AF5E66" w:rsidP="00AF5E66">
      <w:pPr>
        <w:spacing w:line="360" w:lineRule="auto"/>
        <w:ind w:left="1134"/>
        <w:jc w:val="both"/>
        <w:rPr>
          <w:rFonts w:ascii="Times New Roman" w:hAnsi="Times New Roman" w:cs="Times New Roman"/>
          <w:sz w:val="24"/>
          <w:szCs w:val="24"/>
        </w:rPr>
      </w:pPr>
      <w:r w:rsidRPr="00AF5E66">
        <w:rPr>
          <w:rFonts w:ascii="Times New Roman" w:hAnsi="Times New Roman" w:cs="Times New Roman"/>
          <w:sz w:val="24"/>
          <w:szCs w:val="24"/>
        </w:rPr>
        <w:t>4. The following transactions are not within the scope of the definition of “domestic transaction” in subsection (1) for the purposes of these regulations—(a) to (f) and section 5 as well as the subsequent amendments.</w:t>
      </w:r>
    </w:p>
    <w:p w14:paraId="5C42ADF0" w14:textId="7FD526F3" w:rsidR="00F830F2" w:rsidRDefault="00F830F2" w:rsidP="00FF6A02">
      <w:pPr>
        <w:spacing w:line="360" w:lineRule="auto"/>
        <w:jc w:val="both"/>
        <w:rPr>
          <w:rFonts w:ascii="Times New Roman" w:hAnsi="Times New Roman" w:cs="Times New Roman"/>
          <w:sz w:val="24"/>
          <w:szCs w:val="24"/>
        </w:rPr>
      </w:pPr>
      <w:r w:rsidRPr="00F830F2">
        <w:rPr>
          <w:rFonts w:ascii="Times New Roman" w:hAnsi="Times New Roman" w:cs="Times New Roman"/>
          <w:sz w:val="24"/>
          <w:szCs w:val="24"/>
        </w:rPr>
        <w:lastRenderedPageBreak/>
        <w:t xml:space="preserve">[ </w:t>
      </w:r>
      <w:r w:rsidR="00365828">
        <w:rPr>
          <w:rFonts w:ascii="Times New Roman" w:hAnsi="Times New Roman" w:cs="Times New Roman"/>
          <w:sz w:val="24"/>
          <w:szCs w:val="24"/>
        </w:rPr>
        <w:t>13]</w:t>
      </w:r>
      <w:r w:rsidRPr="00F830F2">
        <w:rPr>
          <w:rFonts w:ascii="Times New Roman" w:hAnsi="Times New Roman" w:cs="Times New Roman"/>
          <w:sz w:val="24"/>
          <w:szCs w:val="24"/>
        </w:rPr>
        <w:t xml:space="preserve"> </w:t>
      </w:r>
      <w:r w:rsidR="00967565">
        <w:rPr>
          <w:rFonts w:ascii="Times New Roman" w:hAnsi="Times New Roman" w:cs="Times New Roman"/>
          <w:sz w:val="24"/>
          <w:szCs w:val="24"/>
        </w:rPr>
        <w:t>In my view, Mr</w:t>
      </w:r>
      <w:r>
        <w:rPr>
          <w:rFonts w:ascii="Times New Roman" w:hAnsi="Times New Roman" w:cs="Times New Roman"/>
          <w:sz w:val="24"/>
          <w:szCs w:val="24"/>
        </w:rPr>
        <w:t xml:space="preserve">. </w:t>
      </w:r>
      <w:r w:rsidRPr="00C3575A">
        <w:rPr>
          <w:rFonts w:ascii="Times New Roman" w:hAnsi="Times New Roman" w:cs="Times New Roman"/>
          <w:i/>
          <w:iCs/>
          <w:sz w:val="24"/>
          <w:szCs w:val="24"/>
        </w:rPr>
        <w:t>Runganga</w:t>
      </w:r>
      <w:r>
        <w:rPr>
          <w:rFonts w:ascii="Times New Roman" w:hAnsi="Times New Roman" w:cs="Times New Roman"/>
          <w:sz w:val="24"/>
          <w:szCs w:val="24"/>
        </w:rPr>
        <w:t xml:space="preserve"> ought to have, for completeness, also adverted to the following further statutory instruments whose effect was to amend the above. These being; -</w:t>
      </w:r>
    </w:p>
    <w:p w14:paraId="55958DDC" w14:textId="596BC921" w:rsidR="00117B55" w:rsidRPr="00C3575A" w:rsidRDefault="00F830F2" w:rsidP="00C3575A">
      <w:pPr>
        <w:pStyle w:val="ListParagraph"/>
        <w:numPr>
          <w:ilvl w:val="0"/>
          <w:numId w:val="4"/>
        </w:numPr>
        <w:spacing w:line="360" w:lineRule="auto"/>
        <w:jc w:val="both"/>
        <w:rPr>
          <w:rFonts w:ascii="Times New Roman" w:hAnsi="Times New Roman" w:cs="Times New Roman"/>
          <w:sz w:val="24"/>
          <w:szCs w:val="24"/>
        </w:rPr>
      </w:pPr>
      <w:r w:rsidRPr="00C3575A">
        <w:rPr>
          <w:rFonts w:ascii="Times New Roman" w:hAnsi="Times New Roman" w:cs="Times New Roman"/>
          <w:sz w:val="24"/>
          <w:szCs w:val="24"/>
        </w:rPr>
        <w:t xml:space="preserve">Insertion of section 6 (1) and (2) dealing with </w:t>
      </w:r>
      <w:r w:rsidRPr="00C3575A">
        <w:rPr>
          <w:rFonts w:ascii="Times New Roman" w:hAnsi="Times New Roman" w:cs="Times New Roman"/>
          <w:i/>
          <w:iCs/>
          <w:sz w:val="24"/>
          <w:szCs w:val="24"/>
        </w:rPr>
        <w:t>“Payment for goods and services using free funds</w:t>
      </w:r>
      <w:r w:rsidR="00C3575A">
        <w:rPr>
          <w:rFonts w:ascii="Times New Roman" w:hAnsi="Times New Roman" w:cs="Times New Roman"/>
          <w:i/>
          <w:iCs/>
          <w:sz w:val="24"/>
          <w:szCs w:val="24"/>
        </w:rPr>
        <w:t>”</w:t>
      </w:r>
      <w:r w:rsidRPr="00C3575A">
        <w:rPr>
          <w:rFonts w:ascii="Times New Roman" w:hAnsi="Times New Roman" w:cs="Times New Roman"/>
          <w:sz w:val="24"/>
          <w:szCs w:val="24"/>
        </w:rPr>
        <w:t xml:space="preserve"> into the </w:t>
      </w:r>
      <w:r w:rsidR="00117B55" w:rsidRPr="00C3575A">
        <w:rPr>
          <w:rFonts w:ascii="Times New Roman" w:hAnsi="Times New Roman" w:cs="Times New Roman"/>
          <w:sz w:val="24"/>
          <w:szCs w:val="24"/>
        </w:rPr>
        <w:t xml:space="preserve">Exchange Control (Exclusive Use of Zimbabwe Dollar for Domestic Transactions) (Amendment) Regulations, 2020 (No. 2) </w:t>
      </w:r>
      <w:r w:rsidRPr="00C3575A">
        <w:rPr>
          <w:rFonts w:ascii="Times New Roman" w:hAnsi="Times New Roman" w:cs="Times New Roman"/>
          <w:sz w:val="24"/>
          <w:szCs w:val="24"/>
        </w:rPr>
        <w:t xml:space="preserve">gazetted </w:t>
      </w:r>
      <w:r w:rsidR="00117B55" w:rsidRPr="00C3575A">
        <w:rPr>
          <w:rFonts w:ascii="Times New Roman" w:hAnsi="Times New Roman" w:cs="Times New Roman"/>
          <w:sz w:val="24"/>
          <w:szCs w:val="24"/>
        </w:rPr>
        <w:t xml:space="preserve">on </w:t>
      </w:r>
      <w:r w:rsidR="00AF5E66" w:rsidRPr="00C3575A">
        <w:rPr>
          <w:rFonts w:ascii="Times New Roman" w:hAnsi="Times New Roman" w:cs="Times New Roman"/>
          <w:sz w:val="24"/>
          <w:szCs w:val="24"/>
        </w:rPr>
        <w:t xml:space="preserve">29 </w:t>
      </w:r>
      <w:r w:rsidRPr="00C3575A">
        <w:rPr>
          <w:rFonts w:ascii="Times New Roman" w:hAnsi="Times New Roman" w:cs="Times New Roman"/>
          <w:sz w:val="24"/>
          <w:szCs w:val="24"/>
        </w:rPr>
        <w:t xml:space="preserve">March </w:t>
      </w:r>
      <w:r w:rsidR="00AF5E66" w:rsidRPr="00C3575A">
        <w:rPr>
          <w:rFonts w:ascii="Times New Roman" w:hAnsi="Times New Roman" w:cs="Times New Roman"/>
          <w:sz w:val="24"/>
          <w:szCs w:val="24"/>
        </w:rPr>
        <w:t>2020</w:t>
      </w:r>
    </w:p>
    <w:p w14:paraId="2ADF51BD" w14:textId="4717782F" w:rsidR="006F1A4B" w:rsidRPr="00F830F2" w:rsidRDefault="00117B55" w:rsidP="00C3575A">
      <w:pPr>
        <w:spacing w:line="360" w:lineRule="auto"/>
        <w:ind w:left="1134"/>
        <w:jc w:val="both"/>
        <w:rPr>
          <w:rFonts w:ascii="Times New Roman" w:hAnsi="Times New Roman" w:cs="Times New Roman"/>
          <w:sz w:val="24"/>
          <w:szCs w:val="24"/>
        </w:rPr>
      </w:pPr>
      <w:r w:rsidRPr="00F830F2">
        <w:rPr>
          <w:rFonts w:ascii="Times New Roman" w:hAnsi="Times New Roman" w:cs="Times New Roman"/>
          <w:sz w:val="24"/>
          <w:szCs w:val="24"/>
        </w:rPr>
        <w:t>6. (1) In this section— “free funds” bears the meaning given to that term in Statutory Instrument 109 of 1996, and includes funds lawfully held or earned in foreign currency by any person.</w:t>
      </w:r>
    </w:p>
    <w:p w14:paraId="1A13F981" w14:textId="77426A87" w:rsidR="00117B55" w:rsidRPr="00F830F2" w:rsidRDefault="00117B55" w:rsidP="00C3575A">
      <w:pPr>
        <w:spacing w:line="360" w:lineRule="auto"/>
        <w:ind w:left="1134"/>
        <w:jc w:val="both"/>
        <w:rPr>
          <w:rFonts w:ascii="Times New Roman" w:hAnsi="Times New Roman" w:cs="Times New Roman"/>
          <w:sz w:val="24"/>
          <w:szCs w:val="24"/>
        </w:rPr>
      </w:pPr>
      <w:r w:rsidRPr="00F830F2">
        <w:rPr>
          <w:rFonts w:ascii="Times New Roman" w:hAnsi="Times New Roman" w:cs="Times New Roman"/>
          <w:sz w:val="24"/>
          <w:szCs w:val="24"/>
        </w:rPr>
        <w:t xml:space="preserve"> (2) Notwithstanding these regulations, any person may pay for goods and services chargeable in Zimbabwe dollars, in foreign currency using his or her free funds at the ruling rate on the date of payment. </w:t>
      </w:r>
    </w:p>
    <w:p w14:paraId="1BDBCF26" w14:textId="24A318D0" w:rsidR="00117B55" w:rsidRPr="00C3575A" w:rsidRDefault="00F830F2" w:rsidP="00C3575A">
      <w:pPr>
        <w:pStyle w:val="ListParagraph"/>
        <w:numPr>
          <w:ilvl w:val="0"/>
          <w:numId w:val="4"/>
        </w:numPr>
        <w:spacing w:line="360" w:lineRule="auto"/>
        <w:jc w:val="both"/>
        <w:rPr>
          <w:rFonts w:ascii="Times New Roman" w:hAnsi="Times New Roman" w:cs="Times New Roman"/>
          <w:sz w:val="24"/>
          <w:szCs w:val="24"/>
        </w:rPr>
      </w:pPr>
      <w:r w:rsidRPr="00C3575A">
        <w:rPr>
          <w:rFonts w:ascii="Times New Roman" w:hAnsi="Times New Roman" w:cs="Times New Roman"/>
          <w:sz w:val="24"/>
          <w:szCs w:val="24"/>
        </w:rPr>
        <w:t xml:space="preserve">Insertion of a further section 7 (1) and (2) into the same SI </w:t>
      </w:r>
      <w:r w:rsidR="00C3575A" w:rsidRPr="00C3575A">
        <w:rPr>
          <w:rFonts w:ascii="Times New Roman" w:hAnsi="Times New Roman" w:cs="Times New Roman"/>
          <w:sz w:val="24"/>
          <w:szCs w:val="24"/>
        </w:rPr>
        <w:t xml:space="preserve">permitting </w:t>
      </w:r>
      <w:r w:rsidR="00C3575A" w:rsidRPr="00C3575A">
        <w:rPr>
          <w:rFonts w:ascii="Times New Roman" w:hAnsi="Times New Roman" w:cs="Times New Roman"/>
          <w:i/>
          <w:iCs/>
          <w:sz w:val="24"/>
          <w:szCs w:val="24"/>
        </w:rPr>
        <w:t>“Dual pricing and displaying, quoting and offering of prices for goods and services</w:t>
      </w:r>
      <w:r w:rsidR="00C3575A" w:rsidRPr="00C3575A">
        <w:rPr>
          <w:rFonts w:ascii="Times New Roman" w:hAnsi="Times New Roman" w:cs="Times New Roman"/>
          <w:sz w:val="24"/>
          <w:szCs w:val="24"/>
        </w:rPr>
        <w:t>” published on 24 July 2020 stating that; -</w:t>
      </w:r>
    </w:p>
    <w:p w14:paraId="50D3797C" w14:textId="77777777" w:rsidR="00117B55" w:rsidRPr="00F830F2" w:rsidRDefault="00117B55" w:rsidP="00C3575A">
      <w:pPr>
        <w:spacing w:line="360" w:lineRule="auto"/>
        <w:ind w:left="1134"/>
        <w:jc w:val="both"/>
        <w:rPr>
          <w:rFonts w:ascii="Times New Roman" w:hAnsi="Times New Roman" w:cs="Times New Roman"/>
          <w:sz w:val="24"/>
          <w:szCs w:val="24"/>
        </w:rPr>
      </w:pPr>
      <w:r w:rsidRPr="00F830F2">
        <w:rPr>
          <w:rFonts w:ascii="Times New Roman" w:hAnsi="Times New Roman" w:cs="Times New Roman"/>
          <w:sz w:val="24"/>
          <w:szCs w:val="24"/>
        </w:rPr>
        <w:t>7. (1) Any person who provides goods or services in Zimbabwe shall display, quote or offer the price for such goods or services in both Zimbabwe dollar and foreign currency at the ruling exchange rate.</w:t>
      </w:r>
    </w:p>
    <w:p w14:paraId="4EE88D4E" w14:textId="40329B3F" w:rsidR="00117B55" w:rsidRDefault="00117B55" w:rsidP="00C3575A">
      <w:pPr>
        <w:spacing w:line="360" w:lineRule="auto"/>
        <w:ind w:left="1134"/>
        <w:jc w:val="both"/>
        <w:rPr>
          <w:rFonts w:ascii="Times New Roman" w:hAnsi="Times New Roman" w:cs="Times New Roman"/>
          <w:sz w:val="24"/>
          <w:szCs w:val="24"/>
        </w:rPr>
      </w:pPr>
      <w:r w:rsidRPr="00F830F2">
        <w:rPr>
          <w:rFonts w:ascii="Times New Roman" w:hAnsi="Times New Roman" w:cs="Times New Roman"/>
          <w:sz w:val="24"/>
          <w:szCs w:val="24"/>
        </w:rPr>
        <w:t xml:space="preserve"> (2) Any person who contravenes subsection (1) shall be liable to— (a) a category 1 civil penalty if the contravention is completed but irremediable; or (b) a category 4 civil penalty if the contravention is a continuing one.”</w:t>
      </w:r>
    </w:p>
    <w:p w14:paraId="3D1D116B" w14:textId="77777777" w:rsidR="008E6078" w:rsidRPr="008E6078" w:rsidRDefault="008E6078" w:rsidP="008E6078">
      <w:pPr>
        <w:spacing w:line="360" w:lineRule="auto"/>
        <w:jc w:val="both"/>
        <w:rPr>
          <w:rFonts w:ascii="Times New Roman" w:hAnsi="Times New Roman" w:cs="Times New Roman"/>
          <w:sz w:val="24"/>
          <w:szCs w:val="24"/>
        </w:rPr>
      </w:pPr>
      <w:r w:rsidRPr="008E6078">
        <w:rPr>
          <w:rFonts w:ascii="Times New Roman" w:hAnsi="Times New Roman" w:cs="Times New Roman"/>
          <w:sz w:val="24"/>
          <w:szCs w:val="24"/>
        </w:rPr>
        <w:t>THE EFFECT OF STATUTORY INSTRUMENT 118 A OF 2022</w:t>
      </w:r>
    </w:p>
    <w:p w14:paraId="1AEE1AD9" w14:textId="64DDA993" w:rsidR="00A93BBA" w:rsidRDefault="00967565"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E6078">
        <w:rPr>
          <w:rFonts w:ascii="Times New Roman" w:hAnsi="Times New Roman" w:cs="Times New Roman"/>
          <w:sz w:val="24"/>
          <w:szCs w:val="24"/>
        </w:rPr>
        <w:t>14]</w:t>
      </w:r>
      <w:r>
        <w:rPr>
          <w:rFonts w:ascii="Times New Roman" w:hAnsi="Times New Roman" w:cs="Times New Roman"/>
          <w:sz w:val="24"/>
          <w:szCs w:val="24"/>
        </w:rPr>
        <w:t xml:space="preserve"> I will revert to</w:t>
      </w:r>
      <w:r w:rsidR="00A93BBA">
        <w:rPr>
          <w:rFonts w:ascii="Times New Roman" w:hAnsi="Times New Roman" w:cs="Times New Roman"/>
          <w:sz w:val="24"/>
          <w:szCs w:val="24"/>
        </w:rPr>
        <w:t xml:space="preserve"> the import of these</w:t>
      </w:r>
      <w:r>
        <w:rPr>
          <w:rFonts w:ascii="Times New Roman" w:hAnsi="Times New Roman" w:cs="Times New Roman"/>
          <w:sz w:val="24"/>
          <w:szCs w:val="24"/>
        </w:rPr>
        <w:t xml:space="preserve"> inroads </w:t>
      </w:r>
      <w:r w:rsidR="00A93BBA">
        <w:rPr>
          <w:rFonts w:ascii="Times New Roman" w:hAnsi="Times New Roman" w:cs="Times New Roman"/>
          <w:sz w:val="24"/>
          <w:szCs w:val="24"/>
        </w:rPr>
        <w:t xml:space="preserve">into the restrictions on use of foreign currency </w:t>
      </w:r>
      <w:r>
        <w:rPr>
          <w:rFonts w:ascii="Times New Roman" w:hAnsi="Times New Roman" w:cs="Times New Roman"/>
          <w:sz w:val="24"/>
          <w:szCs w:val="24"/>
        </w:rPr>
        <w:t>in concluding this judgment below.</w:t>
      </w:r>
      <w:r w:rsidR="00A93BBA">
        <w:rPr>
          <w:rFonts w:ascii="Times New Roman" w:hAnsi="Times New Roman" w:cs="Times New Roman"/>
          <w:sz w:val="24"/>
          <w:szCs w:val="24"/>
        </w:rPr>
        <w:t xml:space="preserve"> I now address the argument by Ms Mafongoya of the effect of SI</w:t>
      </w:r>
      <w:r w:rsidR="00424BB9">
        <w:rPr>
          <w:rFonts w:ascii="Times New Roman" w:hAnsi="Times New Roman" w:cs="Times New Roman"/>
          <w:sz w:val="24"/>
          <w:szCs w:val="24"/>
        </w:rPr>
        <w:t xml:space="preserve"> 118A</w:t>
      </w:r>
      <w:r w:rsidR="00A93BBA">
        <w:rPr>
          <w:rFonts w:ascii="Times New Roman" w:hAnsi="Times New Roman" w:cs="Times New Roman"/>
          <w:sz w:val="24"/>
          <w:szCs w:val="24"/>
        </w:rPr>
        <w:t xml:space="preserve">.This SI was published on 27 June 2022. It therefore came into being well after the Berryl-Rose Blocks agreement was concluded [ on 11 October 2021]. For that reason alone, counsel` argument must fall. </w:t>
      </w:r>
    </w:p>
    <w:p w14:paraId="3720BABC" w14:textId="2B84E8E6" w:rsidR="00C13E9D" w:rsidRDefault="00A93BBA"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15]</w:t>
      </w:r>
      <w:r>
        <w:rPr>
          <w:rFonts w:ascii="Times New Roman" w:hAnsi="Times New Roman" w:cs="Times New Roman"/>
          <w:sz w:val="24"/>
          <w:szCs w:val="24"/>
        </w:rPr>
        <w:t xml:space="preserve"> I will venture further to explain why the argument around SI 118A would still not sustain. This purpose of SI 118A was to amend  </w:t>
      </w:r>
      <w:r w:rsidR="00424BB9">
        <w:rPr>
          <w:rFonts w:ascii="Times New Roman" w:hAnsi="Times New Roman" w:cs="Times New Roman"/>
          <w:sz w:val="24"/>
          <w:szCs w:val="24"/>
        </w:rPr>
        <w:t xml:space="preserve"> the </w:t>
      </w:r>
      <w:r w:rsidR="00424BB9" w:rsidRPr="00424BB9">
        <w:rPr>
          <w:rFonts w:ascii="Times New Roman" w:hAnsi="Times New Roman" w:cs="Times New Roman"/>
          <w:sz w:val="24"/>
          <w:szCs w:val="24"/>
        </w:rPr>
        <w:t xml:space="preserve">Exchange Control Act [Chapter 22:05] (“the </w:t>
      </w:r>
      <w:r w:rsidR="00424BB9" w:rsidRPr="00424BB9">
        <w:rPr>
          <w:rFonts w:ascii="Times New Roman" w:hAnsi="Times New Roman" w:cs="Times New Roman"/>
          <w:sz w:val="24"/>
          <w:szCs w:val="24"/>
        </w:rPr>
        <w:lastRenderedPageBreak/>
        <w:t>principal Act”</w:t>
      </w:r>
      <w:r w:rsidRPr="00424BB9">
        <w:rPr>
          <w:rFonts w:ascii="Times New Roman" w:hAnsi="Times New Roman" w:cs="Times New Roman"/>
          <w:sz w:val="24"/>
          <w:szCs w:val="24"/>
        </w:rPr>
        <w:t>)</w:t>
      </w:r>
      <w:r>
        <w:rPr>
          <w:rFonts w:ascii="Times New Roman" w:hAnsi="Times New Roman" w:cs="Times New Roman"/>
          <w:sz w:val="24"/>
          <w:szCs w:val="24"/>
        </w:rPr>
        <w:t xml:space="preserve">. The amendment was </w:t>
      </w:r>
      <w:r w:rsidR="0064456B">
        <w:rPr>
          <w:rFonts w:ascii="Times New Roman" w:hAnsi="Times New Roman" w:cs="Times New Roman"/>
          <w:sz w:val="24"/>
          <w:szCs w:val="24"/>
        </w:rPr>
        <w:t>e</w:t>
      </w:r>
      <w:r>
        <w:rPr>
          <w:rFonts w:ascii="Times New Roman" w:hAnsi="Times New Roman" w:cs="Times New Roman"/>
          <w:sz w:val="24"/>
          <w:szCs w:val="24"/>
        </w:rPr>
        <w:t xml:space="preserve">ffected to </w:t>
      </w:r>
      <w:r w:rsidR="00424BB9" w:rsidRPr="00424BB9">
        <w:rPr>
          <w:rFonts w:ascii="Times New Roman" w:hAnsi="Times New Roman" w:cs="Times New Roman"/>
          <w:sz w:val="24"/>
          <w:szCs w:val="24"/>
        </w:rPr>
        <w:t>section 11 (“Civil penalty orders”) by the inserti</w:t>
      </w:r>
      <w:r w:rsidR="0064456B">
        <w:rPr>
          <w:rFonts w:ascii="Times New Roman" w:hAnsi="Times New Roman" w:cs="Times New Roman"/>
          <w:sz w:val="24"/>
          <w:szCs w:val="24"/>
        </w:rPr>
        <w:t xml:space="preserve">on therein of </w:t>
      </w:r>
      <w:r w:rsidR="00424BB9">
        <w:rPr>
          <w:rFonts w:ascii="Times New Roman" w:hAnsi="Times New Roman" w:cs="Times New Roman"/>
          <w:sz w:val="24"/>
          <w:szCs w:val="24"/>
        </w:rPr>
        <w:t>section 2</w:t>
      </w:r>
      <w:r w:rsidR="005B31FE">
        <w:rPr>
          <w:rFonts w:ascii="Times New Roman" w:hAnsi="Times New Roman" w:cs="Times New Roman"/>
          <w:sz w:val="24"/>
          <w:szCs w:val="24"/>
        </w:rPr>
        <w:t>a. This</w:t>
      </w:r>
      <w:r w:rsidR="0064456B">
        <w:rPr>
          <w:rFonts w:ascii="Times New Roman" w:hAnsi="Times New Roman" w:cs="Times New Roman"/>
          <w:sz w:val="24"/>
          <w:szCs w:val="24"/>
        </w:rPr>
        <w:t xml:space="preserve"> is the section of SI 118 </w:t>
      </w:r>
      <w:r w:rsidR="00424BB9">
        <w:rPr>
          <w:rFonts w:ascii="Times New Roman" w:hAnsi="Times New Roman" w:cs="Times New Roman"/>
          <w:sz w:val="24"/>
          <w:szCs w:val="24"/>
        </w:rPr>
        <w:t xml:space="preserve">which plaintiff relies on. </w:t>
      </w:r>
      <w:r>
        <w:rPr>
          <w:rFonts w:ascii="Times New Roman" w:hAnsi="Times New Roman" w:cs="Times New Roman"/>
          <w:sz w:val="24"/>
          <w:szCs w:val="24"/>
        </w:rPr>
        <w:t xml:space="preserve">I will come shortly to this section 2a.] Before doing so, it is necessary to emphasise that SI 118A </w:t>
      </w:r>
      <w:r w:rsidR="00C13E9D">
        <w:rPr>
          <w:rFonts w:ascii="Times New Roman" w:hAnsi="Times New Roman" w:cs="Times New Roman"/>
          <w:sz w:val="24"/>
          <w:szCs w:val="24"/>
        </w:rPr>
        <w:t>did not</w:t>
      </w:r>
      <w:r w:rsidR="00424BB9">
        <w:rPr>
          <w:rFonts w:ascii="Times New Roman" w:hAnsi="Times New Roman" w:cs="Times New Roman"/>
          <w:sz w:val="24"/>
          <w:szCs w:val="24"/>
        </w:rPr>
        <w:t xml:space="preserve"> amend </w:t>
      </w:r>
      <w:r w:rsidR="00C13E9D">
        <w:rPr>
          <w:rFonts w:ascii="Times New Roman" w:hAnsi="Times New Roman" w:cs="Times New Roman"/>
          <w:sz w:val="24"/>
          <w:szCs w:val="24"/>
        </w:rPr>
        <w:t xml:space="preserve">the </w:t>
      </w:r>
      <w:r w:rsidR="00C13E9D" w:rsidRPr="00A93BBA">
        <w:rPr>
          <w:rFonts w:ascii="Times New Roman" w:hAnsi="Times New Roman" w:cs="Times New Roman"/>
          <w:sz w:val="24"/>
          <w:szCs w:val="24"/>
        </w:rPr>
        <w:t>Exchange</w:t>
      </w:r>
      <w:r w:rsidRPr="00A93BBA">
        <w:rPr>
          <w:rFonts w:ascii="Times New Roman" w:hAnsi="Times New Roman" w:cs="Times New Roman"/>
          <w:sz w:val="24"/>
          <w:szCs w:val="24"/>
        </w:rPr>
        <w:t xml:space="preserve"> Control (Exclusive Use of Zimbabwe Dollar for Domestic Transactions) (Amendment) Regulations</w:t>
      </w:r>
      <w:r>
        <w:rPr>
          <w:rFonts w:ascii="Times New Roman" w:hAnsi="Times New Roman" w:cs="Times New Roman"/>
          <w:sz w:val="24"/>
          <w:szCs w:val="24"/>
        </w:rPr>
        <w:t xml:space="preserve"> SI </w:t>
      </w:r>
      <w:r w:rsidR="00C13E9D">
        <w:rPr>
          <w:rFonts w:ascii="Times New Roman" w:hAnsi="Times New Roman" w:cs="Times New Roman"/>
          <w:sz w:val="24"/>
          <w:szCs w:val="24"/>
        </w:rPr>
        <w:t xml:space="preserve">142 of 2019. These regulations remained largely unaffected by SI 118A. As such, SI 142 of 2019 retains its restrictions (and exemptions) on use of foreign currency in domestic transactions. </w:t>
      </w:r>
    </w:p>
    <w:p w14:paraId="151BED70" w14:textId="3C5A10DE" w:rsidR="00424BB9" w:rsidRDefault="00C13E9D"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16]</w:t>
      </w:r>
      <w:r>
        <w:rPr>
          <w:rFonts w:ascii="Times New Roman" w:hAnsi="Times New Roman" w:cs="Times New Roman"/>
          <w:sz w:val="24"/>
          <w:szCs w:val="24"/>
        </w:rPr>
        <w:t xml:space="preserve"> What SI 118A did was, as stated, to amend section 11 of </w:t>
      </w:r>
      <w:r w:rsidR="00424BB9">
        <w:rPr>
          <w:rFonts w:ascii="Times New Roman" w:hAnsi="Times New Roman" w:cs="Times New Roman"/>
          <w:sz w:val="24"/>
          <w:szCs w:val="24"/>
        </w:rPr>
        <w:t xml:space="preserve">the </w:t>
      </w:r>
      <w:r>
        <w:rPr>
          <w:rFonts w:ascii="Times New Roman" w:hAnsi="Times New Roman" w:cs="Times New Roman"/>
          <w:sz w:val="24"/>
          <w:szCs w:val="24"/>
        </w:rPr>
        <w:t>Ex</w:t>
      </w:r>
      <w:r w:rsidR="00424BB9">
        <w:rPr>
          <w:rFonts w:ascii="Times New Roman" w:hAnsi="Times New Roman" w:cs="Times New Roman"/>
          <w:sz w:val="24"/>
          <w:szCs w:val="24"/>
        </w:rPr>
        <w:t xml:space="preserve">change Control </w:t>
      </w:r>
      <w:r>
        <w:rPr>
          <w:rFonts w:ascii="Times New Roman" w:hAnsi="Times New Roman" w:cs="Times New Roman"/>
          <w:sz w:val="24"/>
          <w:szCs w:val="24"/>
        </w:rPr>
        <w:t xml:space="preserve">Act. The purpose of the Exchange Control Act is indicated as follows by the Act`s </w:t>
      </w:r>
      <w:r w:rsidR="00424BB9">
        <w:rPr>
          <w:rFonts w:ascii="Times New Roman" w:hAnsi="Times New Roman" w:cs="Times New Roman"/>
          <w:sz w:val="24"/>
          <w:szCs w:val="24"/>
        </w:rPr>
        <w:t>short title; -</w:t>
      </w:r>
    </w:p>
    <w:p w14:paraId="77222194" w14:textId="5FA309FA" w:rsidR="00424BB9" w:rsidRPr="00424BB9" w:rsidRDefault="00424BB9" w:rsidP="00424BB9">
      <w:pPr>
        <w:spacing w:line="360" w:lineRule="auto"/>
        <w:ind w:left="1134"/>
        <w:jc w:val="both"/>
        <w:rPr>
          <w:rFonts w:ascii="Times New Roman" w:hAnsi="Times New Roman" w:cs="Times New Roman"/>
          <w:sz w:val="24"/>
          <w:szCs w:val="24"/>
        </w:rPr>
      </w:pPr>
      <w:r w:rsidRPr="00424BB9">
        <w:rPr>
          <w:rFonts w:ascii="Times New Roman" w:hAnsi="Times New Roman" w:cs="Times New Roman"/>
          <w:sz w:val="24"/>
          <w:szCs w:val="24"/>
        </w:rPr>
        <w:t>AN ACT to confer powers and impose duties and restrictions in relation to gold, currency, securities, exchange transactions, payments and debts, and the import, export, transfer and settlement of property, and for purposes connected with the matters aforesaid.</w:t>
      </w:r>
    </w:p>
    <w:p w14:paraId="57BB6D94" w14:textId="23DBBAF7" w:rsidR="00424BB9" w:rsidRDefault="00C13E9D"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E6078">
        <w:rPr>
          <w:rFonts w:ascii="Times New Roman" w:hAnsi="Times New Roman" w:cs="Times New Roman"/>
          <w:sz w:val="24"/>
          <w:szCs w:val="24"/>
        </w:rPr>
        <w:t>17]</w:t>
      </w:r>
      <w:r>
        <w:rPr>
          <w:rFonts w:ascii="Times New Roman" w:hAnsi="Times New Roman" w:cs="Times New Roman"/>
          <w:sz w:val="24"/>
          <w:szCs w:val="24"/>
        </w:rPr>
        <w:t xml:space="preserve"> </w:t>
      </w:r>
      <w:r w:rsidR="00424BB9">
        <w:rPr>
          <w:rFonts w:ascii="Times New Roman" w:hAnsi="Times New Roman" w:cs="Times New Roman"/>
          <w:sz w:val="24"/>
          <w:szCs w:val="24"/>
        </w:rPr>
        <w:t>Section 11</w:t>
      </w:r>
      <w:r>
        <w:rPr>
          <w:rFonts w:ascii="Times New Roman" w:hAnsi="Times New Roman" w:cs="Times New Roman"/>
          <w:sz w:val="24"/>
          <w:szCs w:val="24"/>
        </w:rPr>
        <w:t xml:space="preserve"> of the Exchange Control Act is sub-</w:t>
      </w:r>
      <w:r w:rsidR="0064456B">
        <w:rPr>
          <w:rFonts w:ascii="Times New Roman" w:hAnsi="Times New Roman" w:cs="Times New Roman"/>
          <w:sz w:val="24"/>
          <w:szCs w:val="24"/>
        </w:rPr>
        <w:t>headed; - “</w:t>
      </w:r>
      <w:r w:rsidRPr="0064456B">
        <w:rPr>
          <w:rFonts w:ascii="Times New Roman" w:hAnsi="Times New Roman" w:cs="Times New Roman"/>
          <w:i/>
          <w:iCs/>
          <w:sz w:val="24"/>
          <w:szCs w:val="24"/>
        </w:rPr>
        <w:t>Civil penalty orders and amendment or substitution of Schedule</w:t>
      </w:r>
      <w:r w:rsidR="0064456B">
        <w:rPr>
          <w:rFonts w:ascii="Times New Roman" w:hAnsi="Times New Roman" w:cs="Times New Roman"/>
          <w:i/>
          <w:iCs/>
          <w:sz w:val="24"/>
          <w:szCs w:val="24"/>
        </w:rPr>
        <w:t>”</w:t>
      </w:r>
      <w:r>
        <w:rPr>
          <w:rFonts w:ascii="Times New Roman" w:hAnsi="Times New Roman" w:cs="Times New Roman"/>
          <w:sz w:val="24"/>
          <w:szCs w:val="24"/>
        </w:rPr>
        <w:t xml:space="preserve">. The </w:t>
      </w:r>
      <w:r w:rsidR="00424BB9">
        <w:rPr>
          <w:rFonts w:ascii="Times New Roman" w:hAnsi="Times New Roman" w:cs="Times New Roman"/>
          <w:sz w:val="24"/>
          <w:szCs w:val="24"/>
        </w:rPr>
        <w:t xml:space="preserve">Schedule </w:t>
      </w:r>
      <w:r>
        <w:rPr>
          <w:rFonts w:ascii="Times New Roman" w:hAnsi="Times New Roman" w:cs="Times New Roman"/>
          <w:sz w:val="24"/>
          <w:szCs w:val="24"/>
        </w:rPr>
        <w:t>is, simply put,</w:t>
      </w:r>
      <w:r w:rsidR="00424BB9">
        <w:rPr>
          <w:rFonts w:ascii="Times New Roman" w:hAnsi="Times New Roman" w:cs="Times New Roman"/>
          <w:sz w:val="24"/>
          <w:szCs w:val="24"/>
        </w:rPr>
        <w:t xml:space="preserve"> a wide-ranging </w:t>
      </w:r>
      <w:r>
        <w:rPr>
          <w:rFonts w:ascii="Times New Roman" w:hAnsi="Times New Roman" w:cs="Times New Roman"/>
          <w:sz w:val="24"/>
          <w:szCs w:val="24"/>
        </w:rPr>
        <w:t>protocol</w:t>
      </w:r>
      <w:r w:rsidR="000414A7">
        <w:rPr>
          <w:rFonts w:ascii="Times New Roman" w:hAnsi="Times New Roman" w:cs="Times New Roman"/>
          <w:sz w:val="24"/>
          <w:szCs w:val="24"/>
        </w:rPr>
        <w:t xml:space="preserve"> dealing with infringements and penalties to exchange control violations</w:t>
      </w:r>
      <w:r>
        <w:rPr>
          <w:rFonts w:ascii="Times New Roman" w:hAnsi="Times New Roman" w:cs="Times New Roman"/>
          <w:sz w:val="24"/>
          <w:szCs w:val="24"/>
        </w:rPr>
        <w:t xml:space="preserve">. It governs </w:t>
      </w:r>
      <w:r w:rsidR="00424BB9">
        <w:rPr>
          <w:rFonts w:ascii="Times New Roman" w:hAnsi="Times New Roman" w:cs="Times New Roman"/>
          <w:sz w:val="24"/>
          <w:szCs w:val="24"/>
        </w:rPr>
        <w:t xml:space="preserve">importers, exporters, authorised dealers and individuals and entities involved in the handling, receipt and repatriation of foreign currency. </w:t>
      </w:r>
      <w:r w:rsidR="00055A5B">
        <w:rPr>
          <w:rFonts w:ascii="Times New Roman" w:hAnsi="Times New Roman" w:cs="Times New Roman"/>
          <w:sz w:val="24"/>
          <w:szCs w:val="24"/>
        </w:rPr>
        <w:t xml:space="preserve">It is not </w:t>
      </w:r>
      <w:r w:rsidR="000414A7">
        <w:rPr>
          <w:rFonts w:ascii="Times New Roman" w:hAnsi="Times New Roman" w:cs="Times New Roman"/>
          <w:sz w:val="24"/>
          <w:szCs w:val="24"/>
        </w:rPr>
        <w:t>aimed, in the primary sense,</w:t>
      </w:r>
      <w:r w:rsidR="00055A5B">
        <w:rPr>
          <w:rFonts w:ascii="Times New Roman" w:hAnsi="Times New Roman" w:cs="Times New Roman"/>
          <w:sz w:val="24"/>
          <w:szCs w:val="24"/>
        </w:rPr>
        <w:t xml:space="preserve"> at regulating domestic transactions</w:t>
      </w:r>
      <w:r w:rsidR="000414A7">
        <w:rPr>
          <w:rFonts w:ascii="Times New Roman" w:hAnsi="Times New Roman" w:cs="Times New Roman"/>
          <w:sz w:val="24"/>
          <w:szCs w:val="24"/>
        </w:rPr>
        <w:t xml:space="preserve"> in the same manner that SI 142 of 2019 does</w:t>
      </w:r>
      <w:r w:rsidR="00055A5B">
        <w:rPr>
          <w:rFonts w:ascii="Times New Roman" w:hAnsi="Times New Roman" w:cs="Times New Roman"/>
          <w:sz w:val="24"/>
          <w:szCs w:val="24"/>
        </w:rPr>
        <w:t>. The</w:t>
      </w:r>
      <w:r w:rsidR="00424BB9">
        <w:rPr>
          <w:rFonts w:ascii="Times New Roman" w:hAnsi="Times New Roman" w:cs="Times New Roman"/>
          <w:sz w:val="24"/>
          <w:szCs w:val="24"/>
        </w:rPr>
        <w:t xml:space="preserve"> specific insertion </w:t>
      </w:r>
      <w:r w:rsidR="0064456B">
        <w:rPr>
          <w:rFonts w:ascii="Times New Roman" w:hAnsi="Times New Roman" w:cs="Times New Roman"/>
          <w:sz w:val="24"/>
          <w:szCs w:val="24"/>
        </w:rPr>
        <w:t xml:space="preserve">in the Exchange Control Act </w:t>
      </w:r>
      <w:r w:rsidR="00424BB9">
        <w:rPr>
          <w:rFonts w:ascii="Times New Roman" w:hAnsi="Times New Roman" w:cs="Times New Roman"/>
          <w:sz w:val="24"/>
          <w:szCs w:val="24"/>
        </w:rPr>
        <w:t xml:space="preserve">by SI 118A per section 2a seeks to enhance that </w:t>
      </w:r>
      <w:r w:rsidR="0064456B">
        <w:rPr>
          <w:rFonts w:ascii="Times New Roman" w:hAnsi="Times New Roman" w:cs="Times New Roman"/>
          <w:sz w:val="24"/>
          <w:szCs w:val="24"/>
        </w:rPr>
        <w:t xml:space="preserve">infringement </w:t>
      </w:r>
      <w:r w:rsidR="00424BB9">
        <w:rPr>
          <w:rFonts w:ascii="Times New Roman" w:hAnsi="Times New Roman" w:cs="Times New Roman"/>
          <w:sz w:val="24"/>
          <w:szCs w:val="24"/>
        </w:rPr>
        <w:t xml:space="preserve">protocol in the </w:t>
      </w:r>
      <w:r w:rsidR="0064456B">
        <w:rPr>
          <w:rFonts w:ascii="Times New Roman" w:hAnsi="Times New Roman" w:cs="Times New Roman"/>
          <w:sz w:val="24"/>
          <w:szCs w:val="24"/>
        </w:rPr>
        <w:t>S</w:t>
      </w:r>
      <w:r w:rsidR="00424BB9">
        <w:rPr>
          <w:rFonts w:ascii="Times New Roman" w:hAnsi="Times New Roman" w:cs="Times New Roman"/>
          <w:sz w:val="24"/>
          <w:szCs w:val="24"/>
        </w:rPr>
        <w:t>chedule. It provides that; -</w:t>
      </w:r>
    </w:p>
    <w:p w14:paraId="07EC4A44" w14:textId="4FFF97D4" w:rsidR="00424BB9" w:rsidRDefault="00055A5B" w:rsidP="00055A5B">
      <w:pPr>
        <w:spacing w:line="360" w:lineRule="auto"/>
        <w:ind w:left="1134"/>
        <w:jc w:val="both"/>
        <w:rPr>
          <w:rFonts w:ascii="Times New Roman" w:hAnsi="Times New Roman" w:cs="Times New Roman"/>
          <w:sz w:val="24"/>
          <w:szCs w:val="24"/>
        </w:rPr>
      </w:pPr>
      <w:r w:rsidRPr="00055A5B">
        <w:rPr>
          <w:rFonts w:ascii="Times New Roman" w:hAnsi="Times New Roman" w:cs="Times New Roman"/>
          <w:sz w:val="24"/>
          <w:szCs w:val="24"/>
        </w:rPr>
        <w:t>(2a) The provisions of the Schedule, insofar as they expressly or impliedly permit the settlement of any transaction or payment for goods and services in foreign currency, shall be valid for the period of the National Development Strategy 1 (the national economic plan for the period from January 2021 to December 2025, published on the 16th November, 2021).</w:t>
      </w:r>
    </w:p>
    <w:p w14:paraId="35E0C8F8" w14:textId="05391001" w:rsidR="0064456B" w:rsidRDefault="000414A7"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1</w:t>
      </w:r>
      <w:r>
        <w:rPr>
          <w:rFonts w:ascii="Times New Roman" w:hAnsi="Times New Roman" w:cs="Times New Roman"/>
          <w:sz w:val="24"/>
          <w:szCs w:val="24"/>
        </w:rPr>
        <w:t xml:space="preserve">8] </w:t>
      </w:r>
      <w:r w:rsidR="00030015">
        <w:rPr>
          <w:rFonts w:ascii="Times New Roman" w:hAnsi="Times New Roman" w:cs="Times New Roman"/>
          <w:sz w:val="24"/>
          <w:szCs w:val="24"/>
        </w:rPr>
        <w:t xml:space="preserve">To my mind, three </w:t>
      </w:r>
      <w:r w:rsidR="00A13CBD">
        <w:rPr>
          <w:rFonts w:ascii="Times New Roman" w:hAnsi="Times New Roman" w:cs="Times New Roman"/>
          <w:sz w:val="24"/>
          <w:szCs w:val="24"/>
        </w:rPr>
        <w:t xml:space="preserve">main </w:t>
      </w:r>
      <w:r w:rsidR="00055A5B">
        <w:rPr>
          <w:rFonts w:ascii="Times New Roman" w:hAnsi="Times New Roman" w:cs="Times New Roman"/>
          <w:sz w:val="24"/>
          <w:szCs w:val="24"/>
        </w:rPr>
        <w:t>conclusions derive from this</w:t>
      </w:r>
      <w:r w:rsidR="00030015">
        <w:rPr>
          <w:rFonts w:ascii="Times New Roman" w:hAnsi="Times New Roman" w:cs="Times New Roman"/>
          <w:sz w:val="24"/>
          <w:szCs w:val="24"/>
        </w:rPr>
        <w:t xml:space="preserve"> statutory instrument</w:t>
      </w:r>
      <w:r w:rsidR="00055A5B">
        <w:rPr>
          <w:rFonts w:ascii="Times New Roman" w:hAnsi="Times New Roman" w:cs="Times New Roman"/>
          <w:sz w:val="24"/>
          <w:szCs w:val="24"/>
        </w:rPr>
        <w:t xml:space="preserve">. Firstly, </w:t>
      </w:r>
      <w:r w:rsidR="0064456B">
        <w:rPr>
          <w:rFonts w:ascii="Times New Roman" w:hAnsi="Times New Roman" w:cs="Times New Roman"/>
          <w:sz w:val="24"/>
          <w:szCs w:val="24"/>
        </w:rPr>
        <w:t xml:space="preserve">SI 118A also dealt, apart from amendment of the Schedule, with foreign loans and foreign currency loans. Secondly and more apposite to the present dispute, SI 118A </w:t>
      </w:r>
      <w:r w:rsidR="00906385">
        <w:rPr>
          <w:rFonts w:ascii="Times New Roman" w:hAnsi="Times New Roman" w:cs="Times New Roman"/>
          <w:sz w:val="24"/>
          <w:szCs w:val="24"/>
        </w:rPr>
        <w:t>focusse</w:t>
      </w:r>
      <w:r w:rsidR="0064456B">
        <w:rPr>
          <w:rFonts w:ascii="Times New Roman" w:hAnsi="Times New Roman" w:cs="Times New Roman"/>
          <w:sz w:val="24"/>
          <w:szCs w:val="24"/>
        </w:rPr>
        <w:t xml:space="preserve">d </w:t>
      </w:r>
      <w:r w:rsidR="00906385">
        <w:rPr>
          <w:rFonts w:ascii="Times New Roman" w:hAnsi="Times New Roman" w:cs="Times New Roman"/>
          <w:sz w:val="24"/>
          <w:szCs w:val="24"/>
        </w:rPr>
        <w:t xml:space="preserve">on the </w:t>
      </w:r>
      <w:r w:rsidR="00A13CBD">
        <w:rPr>
          <w:rFonts w:ascii="Times New Roman" w:hAnsi="Times New Roman" w:cs="Times New Roman"/>
          <w:sz w:val="24"/>
          <w:szCs w:val="24"/>
        </w:rPr>
        <w:t xml:space="preserve">Schedule. It </w:t>
      </w:r>
      <w:r w:rsidR="007D0D92">
        <w:rPr>
          <w:rFonts w:ascii="Times New Roman" w:hAnsi="Times New Roman" w:cs="Times New Roman"/>
          <w:sz w:val="24"/>
          <w:szCs w:val="24"/>
        </w:rPr>
        <w:t xml:space="preserve">therefore becomes </w:t>
      </w:r>
      <w:r w:rsidR="00A13CBD">
        <w:rPr>
          <w:rFonts w:ascii="Times New Roman" w:hAnsi="Times New Roman" w:cs="Times New Roman"/>
          <w:sz w:val="24"/>
          <w:szCs w:val="24"/>
        </w:rPr>
        <w:t xml:space="preserve">incumbent upon that party who wishes to rely on SI 118A </w:t>
      </w:r>
      <w:r w:rsidR="007D0D92">
        <w:rPr>
          <w:rFonts w:ascii="Times New Roman" w:hAnsi="Times New Roman" w:cs="Times New Roman"/>
          <w:sz w:val="24"/>
          <w:szCs w:val="24"/>
        </w:rPr>
        <w:t>(</w:t>
      </w:r>
      <w:r w:rsidR="00A13CBD">
        <w:rPr>
          <w:rFonts w:ascii="Times New Roman" w:hAnsi="Times New Roman" w:cs="Times New Roman"/>
          <w:sz w:val="24"/>
          <w:szCs w:val="24"/>
        </w:rPr>
        <w:t xml:space="preserve">as an exemption to utilise foreign currency in domestic </w:t>
      </w:r>
      <w:r w:rsidR="007D0D92">
        <w:rPr>
          <w:rFonts w:ascii="Times New Roman" w:hAnsi="Times New Roman" w:cs="Times New Roman"/>
          <w:sz w:val="24"/>
          <w:szCs w:val="24"/>
        </w:rPr>
        <w:t>transactions) to</w:t>
      </w:r>
      <w:r w:rsidR="00A13CBD">
        <w:rPr>
          <w:rFonts w:ascii="Times New Roman" w:hAnsi="Times New Roman" w:cs="Times New Roman"/>
          <w:sz w:val="24"/>
          <w:szCs w:val="24"/>
        </w:rPr>
        <w:t xml:space="preserve"> </w:t>
      </w:r>
      <w:r w:rsidR="007D0D92">
        <w:rPr>
          <w:rFonts w:ascii="Times New Roman" w:hAnsi="Times New Roman" w:cs="Times New Roman"/>
          <w:sz w:val="24"/>
          <w:szCs w:val="24"/>
        </w:rPr>
        <w:t>specify the</w:t>
      </w:r>
      <w:r w:rsidR="00A13CBD">
        <w:rPr>
          <w:rFonts w:ascii="Times New Roman" w:hAnsi="Times New Roman" w:cs="Times New Roman"/>
          <w:sz w:val="24"/>
          <w:szCs w:val="24"/>
        </w:rPr>
        <w:t xml:space="preserve"> applicable part </w:t>
      </w:r>
      <w:r w:rsidR="00A13CBD">
        <w:rPr>
          <w:rFonts w:ascii="Times New Roman" w:hAnsi="Times New Roman" w:cs="Times New Roman"/>
          <w:sz w:val="24"/>
          <w:szCs w:val="24"/>
        </w:rPr>
        <w:lastRenderedPageBreak/>
        <w:t xml:space="preserve">of the Schedule outlining that exemption. </w:t>
      </w:r>
      <w:r w:rsidR="00030015">
        <w:rPr>
          <w:rFonts w:ascii="Times New Roman" w:hAnsi="Times New Roman" w:cs="Times New Roman"/>
          <w:sz w:val="24"/>
          <w:szCs w:val="24"/>
        </w:rPr>
        <w:t xml:space="preserve">Ms Mafongoya was unable to do so. Possibly because there was no supportive provision in the Schedule to rely on. </w:t>
      </w:r>
    </w:p>
    <w:p w14:paraId="53032A21" w14:textId="02550727" w:rsidR="00055A5B" w:rsidRDefault="0064456B"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1</w:t>
      </w:r>
      <w:r>
        <w:rPr>
          <w:rFonts w:ascii="Times New Roman" w:hAnsi="Times New Roman" w:cs="Times New Roman"/>
          <w:sz w:val="24"/>
          <w:szCs w:val="24"/>
        </w:rPr>
        <w:t>9] Thirdly</w:t>
      </w:r>
      <w:r w:rsidR="00030015">
        <w:rPr>
          <w:rFonts w:ascii="Times New Roman" w:hAnsi="Times New Roman" w:cs="Times New Roman"/>
          <w:sz w:val="24"/>
          <w:szCs w:val="24"/>
        </w:rPr>
        <w:t>,</w:t>
      </w:r>
      <w:r w:rsidR="00A13CBD">
        <w:rPr>
          <w:rFonts w:ascii="Times New Roman" w:hAnsi="Times New Roman" w:cs="Times New Roman"/>
          <w:sz w:val="24"/>
          <w:szCs w:val="24"/>
        </w:rPr>
        <w:t xml:space="preserve"> SI 118A did </w:t>
      </w:r>
      <w:r w:rsidR="00906385">
        <w:rPr>
          <w:rFonts w:ascii="Times New Roman" w:hAnsi="Times New Roman" w:cs="Times New Roman"/>
          <w:sz w:val="24"/>
          <w:szCs w:val="24"/>
        </w:rPr>
        <w:t>not add to the list of transactions are</w:t>
      </w:r>
      <w:r w:rsidR="00055A5B">
        <w:rPr>
          <w:rFonts w:ascii="Times New Roman" w:hAnsi="Times New Roman" w:cs="Times New Roman"/>
          <w:sz w:val="24"/>
          <w:szCs w:val="24"/>
        </w:rPr>
        <w:t xml:space="preserve"> exempted from the Zimbabwe Dollar restriction</w:t>
      </w:r>
      <w:r w:rsidR="00906385">
        <w:rPr>
          <w:rFonts w:ascii="Times New Roman" w:hAnsi="Times New Roman" w:cs="Times New Roman"/>
          <w:sz w:val="24"/>
          <w:szCs w:val="24"/>
        </w:rPr>
        <w:t xml:space="preserve"> by section 4 of SI 142-19</w:t>
      </w:r>
      <w:r w:rsidR="00055A5B">
        <w:rPr>
          <w:rFonts w:ascii="Times New Roman" w:hAnsi="Times New Roman" w:cs="Times New Roman"/>
          <w:sz w:val="24"/>
          <w:szCs w:val="24"/>
        </w:rPr>
        <w:t>. These may be repeated</w:t>
      </w:r>
      <w:r w:rsidR="00906385">
        <w:rPr>
          <w:rFonts w:ascii="Times New Roman" w:hAnsi="Times New Roman" w:cs="Times New Roman"/>
          <w:sz w:val="24"/>
          <w:szCs w:val="24"/>
        </w:rPr>
        <w:t xml:space="preserve"> here for</w:t>
      </w:r>
      <w:r w:rsidR="00055A5B">
        <w:rPr>
          <w:rFonts w:ascii="Times New Roman" w:hAnsi="Times New Roman" w:cs="Times New Roman"/>
          <w:sz w:val="24"/>
          <w:szCs w:val="24"/>
        </w:rPr>
        <w:t xml:space="preserve"> ease of </w:t>
      </w:r>
      <w:r w:rsidR="00906385">
        <w:rPr>
          <w:rFonts w:ascii="Times New Roman" w:hAnsi="Times New Roman" w:cs="Times New Roman"/>
          <w:sz w:val="24"/>
          <w:szCs w:val="24"/>
        </w:rPr>
        <w:t xml:space="preserve">reference; </w:t>
      </w:r>
    </w:p>
    <w:p w14:paraId="270D6B88"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4. The following transactions are not within the scope of the definition of “domestic transaction” in subsection (1) for the purposes of these regulations—</w:t>
      </w:r>
    </w:p>
    <w:p w14:paraId="4B25180D"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 xml:space="preserve"> (a) the making of the payments referred to in section 23 (“Zimbabwe dollar to be the sole currency for legal tender purposes from second effective date”) (4) and (5) of the Finance (No. 2) Act, 2019;</w:t>
      </w:r>
    </w:p>
    <w:p w14:paraId="1DB55E2C"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 xml:space="preserve"> (b) any of the following transactions in respect of which a foreign currency is required to be paid— (i) carbon tax payments for foreign registered vehicles; (ii) third party insurance payments for foreign registered vehicles; (iii) road access fees for foreign registered vehicles; (iv) electronic sealing fees and fines charged by or to transborder logistics enterprises or transborder electronic tracking or tagging enterprises; (v) payments to local insurance companies for bond guarantees or bonds for designated goods; (vi) the payment by foreigners in transit of deposits in terms of any law; </w:t>
      </w:r>
    </w:p>
    <w:p w14:paraId="2ADE843B"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(c) payments of duty at ports of entry by individual travellers who opt to pay such duties in foreign currency, despite the fact that the dutiable goods in question are not designated goods; Exchange Control (Exclusive Use of Zimbabwe Dollar for Domestic Transactions) Regulations, 2019 1358</w:t>
      </w:r>
    </w:p>
    <w:p w14:paraId="121E3182"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 xml:space="preserve"> (d) transactions conducted through authorised dealers for which payments are permitted to be made in any foreign currency in terms of any directive issued in terms of section 35 of the Exchange Control Regulations; </w:t>
      </w:r>
    </w:p>
    <w:p w14:paraId="3DFFDEAD"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 xml:space="preserve">(e) transactions in respect of which any other law expressly mandates or allows for payment to be made in any or a specific foreign currency. </w:t>
      </w:r>
    </w:p>
    <w:p w14:paraId="7274B633"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(f) transactions referred to in section</w:t>
      </w:r>
    </w:p>
    <w:p w14:paraId="51638FE3" w14:textId="77777777" w:rsidR="004A65F3" w:rsidRDefault="004A65F3" w:rsidP="004A65F3">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t xml:space="preserve"> 5. Guest of State fuel outlets </w:t>
      </w:r>
    </w:p>
    <w:p w14:paraId="7229A82B" w14:textId="7A85212C" w:rsidR="00055A5B" w:rsidRDefault="004A65F3" w:rsidP="00C3575A">
      <w:pPr>
        <w:spacing w:line="360" w:lineRule="auto"/>
        <w:ind w:left="1134"/>
        <w:jc w:val="both"/>
        <w:rPr>
          <w:rFonts w:ascii="Times New Roman" w:hAnsi="Times New Roman" w:cs="Times New Roman"/>
          <w:sz w:val="24"/>
          <w:szCs w:val="24"/>
        </w:rPr>
      </w:pPr>
      <w:r w:rsidRPr="004A65F3">
        <w:rPr>
          <w:rFonts w:ascii="Times New Roman" w:hAnsi="Times New Roman" w:cs="Times New Roman"/>
          <w:sz w:val="24"/>
          <w:szCs w:val="24"/>
        </w:rPr>
        <w:lastRenderedPageBreak/>
        <w:t>5. Despite these regulations it is permissible to tender foreign currency in payment for petrol, diesel or other petroleum product dispensed to Guests of State at a specified Guest of State fuel outlet, that is to say, any fuel outlet licensed by the Zimbabwe Energy Regulatory Authority established by section 3 of the Energy Regulatory Act Authority Act [Chapter 13:23] to sell petrol or diesel or other petroleum product in United States dollars to Guests of State.</w:t>
      </w:r>
    </w:p>
    <w:p w14:paraId="216BC739" w14:textId="0371E0A4" w:rsidR="00D62231" w:rsidRDefault="000414A7" w:rsidP="00D622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2</w:t>
      </w:r>
      <w:r w:rsidR="00030015">
        <w:rPr>
          <w:rFonts w:ascii="Times New Roman" w:hAnsi="Times New Roman" w:cs="Times New Roman"/>
          <w:sz w:val="24"/>
          <w:szCs w:val="24"/>
        </w:rPr>
        <w:t>0</w:t>
      </w:r>
      <w:r>
        <w:rPr>
          <w:rFonts w:ascii="Times New Roman" w:hAnsi="Times New Roman" w:cs="Times New Roman"/>
          <w:sz w:val="24"/>
          <w:szCs w:val="24"/>
        </w:rPr>
        <w:t>]</w:t>
      </w:r>
      <w:r w:rsidR="007D0D92">
        <w:rPr>
          <w:rFonts w:ascii="Times New Roman" w:hAnsi="Times New Roman" w:cs="Times New Roman"/>
          <w:sz w:val="24"/>
          <w:szCs w:val="24"/>
        </w:rPr>
        <w:t xml:space="preserve">. </w:t>
      </w:r>
      <w:r w:rsidR="00BD1D9A">
        <w:rPr>
          <w:rFonts w:ascii="Times New Roman" w:hAnsi="Times New Roman" w:cs="Times New Roman"/>
          <w:sz w:val="24"/>
          <w:szCs w:val="24"/>
        </w:rPr>
        <w:t xml:space="preserve">Quite clearly, the Berryl-Rose Blocks agreement qualifies as a domestic transaction.  </w:t>
      </w:r>
      <w:r w:rsidR="007D0D92">
        <w:rPr>
          <w:rFonts w:ascii="Times New Roman" w:hAnsi="Times New Roman" w:cs="Times New Roman"/>
          <w:sz w:val="24"/>
          <w:szCs w:val="24"/>
        </w:rPr>
        <w:t>The Supreme</w:t>
      </w:r>
      <w:r w:rsidR="00906385">
        <w:rPr>
          <w:rFonts w:ascii="Times New Roman" w:hAnsi="Times New Roman" w:cs="Times New Roman"/>
          <w:sz w:val="24"/>
          <w:szCs w:val="24"/>
        </w:rPr>
        <w:t xml:space="preserve"> Court had this to say</w:t>
      </w:r>
      <w:r w:rsidR="00D62231">
        <w:rPr>
          <w:rFonts w:ascii="Times New Roman" w:hAnsi="Times New Roman" w:cs="Times New Roman"/>
          <w:sz w:val="24"/>
          <w:szCs w:val="24"/>
        </w:rPr>
        <w:t xml:space="preserve"> [ at page 14] about</w:t>
      </w:r>
      <w:r w:rsidR="00906385">
        <w:rPr>
          <w:rFonts w:ascii="Times New Roman" w:hAnsi="Times New Roman" w:cs="Times New Roman"/>
          <w:sz w:val="24"/>
          <w:szCs w:val="24"/>
        </w:rPr>
        <w:t xml:space="preserve"> such transactions</w:t>
      </w:r>
      <w:r w:rsidR="00D62231">
        <w:rPr>
          <w:rFonts w:ascii="Times New Roman" w:hAnsi="Times New Roman" w:cs="Times New Roman"/>
          <w:sz w:val="24"/>
          <w:szCs w:val="24"/>
        </w:rPr>
        <w:t xml:space="preserve"> per PATEL JA (as he then was);</w:t>
      </w:r>
      <w:r w:rsidR="00906385">
        <w:rPr>
          <w:rFonts w:ascii="Times New Roman" w:hAnsi="Times New Roman" w:cs="Times New Roman"/>
          <w:sz w:val="24"/>
          <w:szCs w:val="24"/>
        </w:rPr>
        <w:t xml:space="preserve"> - in </w:t>
      </w:r>
      <w:r w:rsidR="00D62231" w:rsidRPr="00D62231">
        <w:rPr>
          <w:rFonts w:ascii="Times New Roman" w:hAnsi="Times New Roman" w:cs="Times New Roman"/>
          <w:bCs/>
          <w:i/>
          <w:iCs/>
          <w:sz w:val="24"/>
          <w:szCs w:val="24"/>
          <w:lang w:val="en-GB"/>
        </w:rPr>
        <w:t>Breastplate     Services (Private) Limited v Cambria      Africa      PLC</w:t>
      </w:r>
      <w:r w:rsidR="00D62231">
        <w:rPr>
          <w:rFonts w:ascii="Times New Roman" w:hAnsi="Times New Roman" w:cs="Times New Roman"/>
          <w:bCs/>
          <w:sz w:val="24"/>
          <w:szCs w:val="24"/>
          <w:lang w:val="en-GB"/>
        </w:rPr>
        <w:t xml:space="preserve"> SC </w:t>
      </w:r>
      <w:r w:rsidR="00D62231" w:rsidRPr="00BD1D9A">
        <w:rPr>
          <w:rFonts w:ascii="Times New Roman" w:hAnsi="Times New Roman" w:cs="Times New Roman"/>
          <w:bCs/>
          <w:sz w:val="24"/>
          <w:szCs w:val="24"/>
          <w:lang w:val="en-GB"/>
        </w:rPr>
        <w:t xml:space="preserve"> 66-20;</w:t>
      </w:r>
      <w:r w:rsidR="00D62231">
        <w:rPr>
          <w:rFonts w:ascii="Times New Roman" w:hAnsi="Times New Roman" w:cs="Times New Roman"/>
          <w:bCs/>
          <w:sz w:val="24"/>
          <w:szCs w:val="24"/>
          <w:lang w:val="en-GB"/>
        </w:rPr>
        <w:t xml:space="preserve"> -</w:t>
      </w:r>
    </w:p>
    <w:p w14:paraId="30116CE6" w14:textId="74E8C8C9" w:rsidR="00906385" w:rsidRDefault="00906385" w:rsidP="00AC4E83">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906385">
        <w:rPr>
          <w:rFonts w:ascii="Times New Roman" w:hAnsi="Times New Roman" w:cs="Times New Roman"/>
          <w:sz w:val="24"/>
          <w:szCs w:val="24"/>
        </w:rPr>
        <w:t>I have earlier alluded to the wide impact of S.I. 212 of 2019, to wit, the Exchange Control (Exclusive Use of Zimbabwe Dollar for Domestic Transactions) Regulations 2019, promulgated on 27 September 2019. The term “domestic transaction” is very broadly defined in s 2(1) of the Regulations, subject to s 4, to encompass virtually every conceivable commercial transaction within Zimbabwe. Section 3(1), which is also subject to s 4, expressly prohibits the payment or receipt of any currency other than the Zimbabwe dollar, as the price or consideration payable or receivable in respect of any domestic transaction. Section 4 enumerates those transactions which are excluded from the scope of the definition of “domestic transaction”. Of particular relevance for present purposes is s 4(e), which excludes “transactions in respect of which any other law expressly mandates or allows for payment to be made in any or a specific foreign currency”.</w:t>
      </w:r>
    </w:p>
    <w:p w14:paraId="6D17726E" w14:textId="6BA1C0A9" w:rsidR="00030015" w:rsidRDefault="000414A7" w:rsidP="00BD1D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E6078">
        <w:rPr>
          <w:rFonts w:ascii="Times New Roman" w:hAnsi="Times New Roman" w:cs="Times New Roman"/>
          <w:sz w:val="24"/>
          <w:szCs w:val="24"/>
        </w:rPr>
        <w:t>21</w:t>
      </w:r>
      <w:r>
        <w:rPr>
          <w:rFonts w:ascii="Times New Roman" w:hAnsi="Times New Roman" w:cs="Times New Roman"/>
          <w:sz w:val="24"/>
          <w:szCs w:val="24"/>
        </w:rPr>
        <w:t xml:space="preserve">] </w:t>
      </w:r>
      <w:r w:rsidR="007D0D92">
        <w:rPr>
          <w:rFonts w:ascii="Times New Roman" w:hAnsi="Times New Roman" w:cs="Times New Roman"/>
          <w:sz w:val="24"/>
          <w:szCs w:val="24"/>
        </w:rPr>
        <w:t xml:space="preserve">In the same decision, </w:t>
      </w:r>
      <w:r w:rsidR="00D62231">
        <w:rPr>
          <w:rFonts w:ascii="Times New Roman" w:hAnsi="Times New Roman" w:cs="Times New Roman"/>
          <w:sz w:val="24"/>
          <w:szCs w:val="24"/>
        </w:rPr>
        <w:t xml:space="preserve">the Learned Judge of Appeal </w:t>
      </w:r>
      <w:r w:rsidR="007D0D92">
        <w:rPr>
          <w:rFonts w:ascii="Times New Roman" w:hAnsi="Times New Roman" w:cs="Times New Roman"/>
          <w:sz w:val="24"/>
          <w:szCs w:val="24"/>
        </w:rPr>
        <w:t xml:space="preserve">(as he then was) </w:t>
      </w:r>
      <w:r w:rsidR="00030015">
        <w:rPr>
          <w:rFonts w:ascii="Times New Roman" w:hAnsi="Times New Roman" w:cs="Times New Roman"/>
          <w:sz w:val="24"/>
          <w:szCs w:val="24"/>
        </w:rPr>
        <w:t xml:space="preserve">cautioned on </w:t>
      </w:r>
      <w:r w:rsidR="00BD1D9A">
        <w:rPr>
          <w:rFonts w:ascii="Times New Roman" w:hAnsi="Times New Roman" w:cs="Times New Roman"/>
          <w:sz w:val="24"/>
          <w:szCs w:val="24"/>
        </w:rPr>
        <w:t>t</w:t>
      </w:r>
      <w:r w:rsidR="00D62231">
        <w:rPr>
          <w:rFonts w:ascii="Times New Roman" w:hAnsi="Times New Roman" w:cs="Times New Roman"/>
          <w:sz w:val="24"/>
          <w:szCs w:val="24"/>
        </w:rPr>
        <w:t xml:space="preserve">he </w:t>
      </w:r>
      <w:r w:rsidR="00BD1D9A">
        <w:rPr>
          <w:rFonts w:ascii="Times New Roman" w:hAnsi="Times New Roman" w:cs="Times New Roman"/>
          <w:sz w:val="24"/>
          <w:szCs w:val="24"/>
        </w:rPr>
        <w:t>need to avoid “</w:t>
      </w:r>
      <w:r w:rsidR="00BD1D9A" w:rsidRPr="00D62231">
        <w:rPr>
          <w:rFonts w:ascii="Times New Roman" w:hAnsi="Times New Roman" w:cs="Times New Roman"/>
          <w:i/>
          <w:iCs/>
          <w:sz w:val="24"/>
          <w:szCs w:val="24"/>
        </w:rPr>
        <w:t>commercially incongruous</w:t>
      </w:r>
      <w:r w:rsidR="00BD1D9A">
        <w:rPr>
          <w:rFonts w:ascii="Times New Roman" w:hAnsi="Times New Roman" w:cs="Times New Roman"/>
          <w:sz w:val="24"/>
          <w:szCs w:val="24"/>
        </w:rPr>
        <w:t xml:space="preserve">” situations in interpreting </w:t>
      </w:r>
      <w:r w:rsidR="00D62231">
        <w:rPr>
          <w:rFonts w:ascii="Times New Roman" w:hAnsi="Times New Roman" w:cs="Times New Roman"/>
          <w:sz w:val="24"/>
          <w:szCs w:val="24"/>
        </w:rPr>
        <w:t xml:space="preserve">or applying </w:t>
      </w:r>
      <w:r w:rsidR="00BD1D9A">
        <w:rPr>
          <w:rFonts w:ascii="Times New Roman" w:hAnsi="Times New Roman" w:cs="Times New Roman"/>
          <w:sz w:val="24"/>
          <w:szCs w:val="24"/>
        </w:rPr>
        <w:t xml:space="preserve">currency instruments. </w:t>
      </w:r>
      <w:r w:rsidR="00BD1D9A" w:rsidRPr="00BD1D9A">
        <w:rPr>
          <w:rFonts w:ascii="Times New Roman" w:hAnsi="Times New Roman" w:cs="Times New Roman"/>
          <w:sz w:val="24"/>
          <w:szCs w:val="24"/>
        </w:rPr>
        <w:t xml:space="preserve">As stated, the position is that the Zimbabwe Dollar ought to be the default currency in domestic transactions. </w:t>
      </w:r>
      <w:r w:rsidR="00030015" w:rsidRPr="00030015">
        <w:rPr>
          <w:rFonts w:ascii="Times New Roman" w:hAnsi="Times New Roman" w:cs="Times New Roman"/>
          <w:sz w:val="24"/>
          <w:szCs w:val="24"/>
        </w:rPr>
        <w:t>I may also opine in passing, again based on the matters coming before the courts</w:t>
      </w:r>
      <w:r w:rsidR="00030015">
        <w:rPr>
          <w:rFonts w:ascii="Times New Roman" w:hAnsi="Times New Roman" w:cs="Times New Roman"/>
          <w:sz w:val="24"/>
          <w:szCs w:val="24"/>
        </w:rPr>
        <w:t xml:space="preserve"> t</w:t>
      </w:r>
      <w:r w:rsidR="00BD1D9A" w:rsidRPr="000414A7">
        <w:rPr>
          <w:rFonts w:ascii="Times New Roman" w:hAnsi="Times New Roman" w:cs="Times New Roman"/>
          <w:sz w:val="24"/>
          <w:szCs w:val="24"/>
        </w:rPr>
        <w:t xml:space="preserve">hat the </w:t>
      </w:r>
      <w:r w:rsidR="00030015" w:rsidRPr="000414A7">
        <w:rPr>
          <w:rFonts w:ascii="Times New Roman" w:hAnsi="Times New Roman" w:cs="Times New Roman"/>
          <w:sz w:val="24"/>
          <w:szCs w:val="24"/>
        </w:rPr>
        <w:t>market</w:t>
      </w:r>
      <w:r w:rsidR="00030015">
        <w:rPr>
          <w:rFonts w:ascii="Times New Roman" w:hAnsi="Times New Roman" w:cs="Times New Roman"/>
          <w:sz w:val="24"/>
          <w:szCs w:val="24"/>
        </w:rPr>
        <w:t xml:space="preserve"> does not appear to be fully </w:t>
      </w:r>
      <w:r w:rsidR="00BD1D9A" w:rsidRPr="000414A7">
        <w:rPr>
          <w:rFonts w:ascii="Times New Roman" w:hAnsi="Times New Roman" w:cs="Times New Roman"/>
          <w:sz w:val="24"/>
          <w:szCs w:val="24"/>
        </w:rPr>
        <w:t xml:space="preserve">aligned to the legal position. </w:t>
      </w:r>
    </w:p>
    <w:p w14:paraId="1AF52600" w14:textId="1233A37B" w:rsidR="00424BB9" w:rsidRDefault="00030015" w:rsidP="00BD1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22</w:t>
      </w:r>
      <w:r>
        <w:rPr>
          <w:rFonts w:ascii="Times New Roman" w:hAnsi="Times New Roman" w:cs="Times New Roman"/>
          <w:sz w:val="24"/>
          <w:szCs w:val="24"/>
        </w:rPr>
        <w:t xml:space="preserve">] </w:t>
      </w:r>
      <w:r w:rsidR="00BD1D9A" w:rsidRPr="000414A7">
        <w:rPr>
          <w:rFonts w:ascii="Times New Roman" w:hAnsi="Times New Roman" w:cs="Times New Roman"/>
          <w:sz w:val="24"/>
          <w:szCs w:val="24"/>
        </w:rPr>
        <w:t>There is indisputably, a huge appetite in this country for the United States Dollar (in notes or “nostro”)</w:t>
      </w:r>
      <w:r>
        <w:rPr>
          <w:rFonts w:ascii="Times New Roman" w:hAnsi="Times New Roman" w:cs="Times New Roman"/>
          <w:sz w:val="24"/>
          <w:szCs w:val="24"/>
        </w:rPr>
        <w:t xml:space="preserve"> in non-section 4 (of SI 142-19) transactions</w:t>
      </w:r>
      <w:r w:rsidR="00BD1D9A" w:rsidRPr="000414A7">
        <w:rPr>
          <w:rFonts w:ascii="Times New Roman" w:hAnsi="Times New Roman" w:cs="Times New Roman"/>
          <w:sz w:val="24"/>
          <w:szCs w:val="24"/>
        </w:rPr>
        <w:t xml:space="preserve">. The United States Dollar is </w:t>
      </w:r>
      <w:r>
        <w:rPr>
          <w:rFonts w:ascii="Times New Roman" w:hAnsi="Times New Roman" w:cs="Times New Roman"/>
          <w:sz w:val="24"/>
          <w:szCs w:val="24"/>
        </w:rPr>
        <w:t xml:space="preserve">still </w:t>
      </w:r>
      <w:r w:rsidR="00BD1D9A" w:rsidRPr="000414A7">
        <w:rPr>
          <w:rFonts w:ascii="Times New Roman" w:hAnsi="Times New Roman" w:cs="Times New Roman"/>
          <w:sz w:val="24"/>
          <w:szCs w:val="24"/>
        </w:rPr>
        <w:t>greatly preferred either as a transactional currency or store of value. That appetite is contrasted by a marked reluctance (and indeed resistance</w:t>
      </w:r>
      <w:r w:rsidR="00BD1D9A" w:rsidRPr="00BD1D9A">
        <w:rPr>
          <w:rFonts w:ascii="Times New Roman" w:hAnsi="Times New Roman" w:cs="Times New Roman"/>
          <w:sz w:val="24"/>
          <w:szCs w:val="24"/>
        </w:rPr>
        <w:t>), in certain instances,</w:t>
      </w:r>
      <w:r w:rsidR="00BD1D9A" w:rsidRPr="000414A7">
        <w:rPr>
          <w:rFonts w:ascii="Times New Roman" w:hAnsi="Times New Roman" w:cs="Times New Roman"/>
          <w:sz w:val="24"/>
          <w:szCs w:val="24"/>
        </w:rPr>
        <w:t xml:space="preserve"> to accept the Zimbabwe Dollar. </w:t>
      </w:r>
      <w:r w:rsidR="00D62231">
        <w:rPr>
          <w:rFonts w:ascii="Times New Roman" w:hAnsi="Times New Roman" w:cs="Times New Roman"/>
          <w:sz w:val="24"/>
          <w:szCs w:val="24"/>
        </w:rPr>
        <w:t xml:space="preserve"> </w:t>
      </w:r>
      <w:r w:rsidR="00BD1D9A" w:rsidRPr="00A13CBD">
        <w:rPr>
          <w:rFonts w:ascii="Times New Roman" w:hAnsi="Times New Roman" w:cs="Times New Roman"/>
          <w:sz w:val="24"/>
          <w:szCs w:val="24"/>
        </w:rPr>
        <w:t xml:space="preserve">That situation becomes, for many reasons, quite unfortunate. Whatever the cause or </w:t>
      </w:r>
      <w:r w:rsidR="00BD1D9A" w:rsidRPr="00A13CBD">
        <w:rPr>
          <w:rFonts w:ascii="Times New Roman" w:hAnsi="Times New Roman" w:cs="Times New Roman"/>
          <w:sz w:val="24"/>
          <w:szCs w:val="24"/>
        </w:rPr>
        <w:lastRenderedPageBreak/>
        <w:t xml:space="preserve">justification. One hopes that market drivers and the regulatory authorities </w:t>
      </w:r>
      <w:r w:rsidR="00D62231">
        <w:rPr>
          <w:rFonts w:ascii="Times New Roman" w:hAnsi="Times New Roman" w:cs="Times New Roman"/>
          <w:sz w:val="24"/>
          <w:szCs w:val="24"/>
        </w:rPr>
        <w:t xml:space="preserve">sustain efforts </w:t>
      </w:r>
      <w:r w:rsidR="00BD1D9A" w:rsidRPr="00A13CBD">
        <w:rPr>
          <w:rFonts w:ascii="Times New Roman" w:hAnsi="Times New Roman" w:cs="Times New Roman"/>
          <w:sz w:val="24"/>
          <w:szCs w:val="24"/>
        </w:rPr>
        <w:t xml:space="preserve">to </w:t>
      </w:r>
      <w:r>
        <w:rPr>
          <w:rFonts w:ascii="Times New Roman" w:hAnsi="Times New Roman" w:cs="Times New Roman"/>
          <w:sz w:val="24"/>
          <w:szCs w:val="24"/>
        </w:rPr>
        <w:t xml:space="preserve">strike </w:t>
      </w:r>
      <w:r w:rsidR="00BD1D9A" w:rsidRPr="00A13CBD">
        <w:rPr>
          <w:rFonts w:ascii="Times New Roman" w:hAnsi="Times New Roman" w:cs="Times New Roman"/>
          <w:sz w:val="24"/>
          <w:szCs w:val="24"/>
        </w:rPr>
        <w:t xml:space="preserve">the desired harmony between legal prescription favouring usage of the Zimbabwe Dollar, and </w:t>
      </w:r>
      <w:r w:rsidR="00A90589">
        <w:rPr>
          <w:rFonts w:ascii="Times New Roman" w:hAnsi="Times New Roman" w:cs="Times New Roman"/>
          <w:sz w:val="24"/>
          <w:szCs w:val="24"/>
        </w:rPr>
        <w:t xml:space="preserve">necessity for the </w:t>
      </w:r>
      <w:r w:rsidR="00BD1D9A" w:rsidRPr="00A13CBD">
        <w:rPr>
          <w:rFonts w:ascii="Times New Roman" w:hAnsi="Times New Roman" w:cs="Times New Roman"/>
          <w:sz w:val="24"/>
          <w:szCs w:val="24"/>
        </w:rPr>
        <w:t xml:space="preserve">residual application of the United States </w:t>
      </w:r>
      <w:r w:rsidR="00BD1D9A" w:rsidRPr="00BD1D9A">
        <w:rPr>
          <w:rFonts w:ascii="Times New Roman" w:hAnsi="Times New Roman" w:cs="Times New Roman"/>
          <w:sz w:val="24"/>
          <w:szCs w:val="24"/>
        </w:rPr>
        <w:t>Dollar</w:t>
      </w:r>
      <w:r w:rsidR="00BD1D9A">
        <w:rPr>
          <w:rFonts w:ascii="Times New Roman" w:hAnsi="Times New Roman" w:cs="Times New Roman"/>
          <w:sz w:val="24"/>
          <w:szCs w:val="24"/>
        </w:rPr>
        <w:t>.</w:t>
      </w:r>
    </w:p>
    <w:p w14:paraId="295AB493" w14:textId="150A0FB7" w:rsidR="00424BB9" w:rsidRDefault="00AC4E83"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DOES THE BERRYL-ROSE AGREEMENT AMOUNT TO AN ILLEGALITY?</w:t>
      </w:r>
    </w:p>
    <w:p w14:paraId="787C60AD" w14:textId="3EAF24F4" w:rsidR="00A13CBD" w:rsidRDefault="00D62231"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E6078">
        <w:rPr>
          <w:rFonts w:ascii="Times New Roman" w:hAnsi="Times New Roman" w:cs="Times New Roman"/>
          <w:sz w:val="24"/>
          <w:szCs w:val="24"/>
        </w:rPr>
        <w:t>23]</w:t>
      </w:r>
      <w:r>
        <w:rPr>
          <w:rFonts w:ascii="Times New Roman" w:hAnsi="Times New Roman" w:cs="Times New Roman"/>
          <w:sz w:val="24"/>
          <w:szCs w:val="24"/>
        </w:rPr>
        <w:t xml:space="preserve"> </w:t>
      </w:r>
      <w:r w:rsidR="000414A7">
        <w:rPr>
          <w:rFonts w:ascii="Times New Roman" w:hAnsi="Times New Roman" w:cs="Times New Roman"/>
          <w:sz w:val="24"/>
          <w:szCs w:val="24"/>
        </w:rPr>
        <w:t xml:space="preserve">I drew the attention of both counsel </w:t>
      </w:r>
      <w:r w:rsidR="00A90589">
        <w:rPr>
          <w:rFonts w:ascii="Times New Roman" w:hAnsi="Times New Roman" w:cs="Times New Roman"/>
          <w:sz w:val="24"/>
          <w:szCs w:val="24"/>
        </w:rPr>
        <w:t xml:space="preserve">to the fact </w:t>
      </w:r>
      <w:r w:rsidR="000414A7">
        <w:rPr>
          <w:rFonts w:ascii="Times New Roman" w:hAnsi="Times New Roman" w:cs="Times New Roman"/>
          <w:sz w:val="24"/>
          <w:szCs w:val="24"/>
        </w:rPr>
        <w:t xml:space="preserve">that neither side had </w:t>
      </w:r>
      <w:r w:rsidR="00A13CBD">
        <w:rPr>
          <w:rFonts w:ascii="Times New Roman" w:hAnsi="Times New Roman" w:cs="Times New Roman"/>
          <w:sz w:val="24"/>
          <w:szCs w:val="24"/>
        </w:rPr>
        <w:t>specifically</w:t>
      </w:r>
      <w:r w:rsidR="000414A7">
        <w:rPr>
          <w:rFonts w:ascii="Times New Roman" w:hAnsi="Times New Roman" w:cs="Times New Roman"/>
          <w:sz w:val="24"/>
          <w:szCs w:val="24"/>
        </w:rPr>
        <w:t xml:space="preserve"> pleaded the matters subsequently raised in argument on (a) illegality and (b) unjust enrichment. </w:t>
      </w:r>
      <w:r w:rsidR="00A13CBD">
        <w:rPr>
          <w:rFonts w:ascii="Times New Roman" w:hAnsi="Times New Roman" w:cs="Times New Roman"/>
          <w:sz w:val="24"/>
          <w:szCs w:val="24"/>
        </w:rPr>
        <w:t>Further, the</w:t>
      </w:r>
      <w:r w:rsidR="000414A7">
        <w:rPr>
          <w:rFonts w:ascii="Times New Roman" w:hAnsi="Times New Roman" w:cs="Times New Roman"/>
          <w:sz w:val="24"/>
          <w:szCs w:val="24"/>
        </w:rPr>
        <w:t xml:space="preserve"> agreed facts did not specifically advert to these two legal principles. I must also note that </w:t>
      </w:r>
      <w:r w:rsidR="00A13CBD">
        <w:rPr>
          <w:rFonts w:ascii="Times New Roman" w:hAnsi="Times New Roman" w:cs="Times New Roman"/>
          <w:sz w:val="24"/>
          <w:szCs w:val="24"/>
        </w:rPr>
        <w:t xml:space="preserve">Mr. </w:t>
      </w:r>
      <w:r w:rsidR="00A13CBD" w:rsidRPr="00A90589">
        <w:rPr>
          <w:rFonts w:ascii="Times New Roman" w:hAnsi="Times New Roman" w:cs="Times New Roman"/>
          <w:i/>
          <w:iCs/>
          <w:sz w:val="24"/>
          <w:szCs w:val="24"/>
        </w:rPr>
        <w:t>Runganga</w:t>
      </w:r>
      <w:r w:rsidR="00A13CBD">
        <w:rPr>
          <w:rFonts w:ascii="Times New Roman" w:hAnsi="Times New Roman" w:cs="Times New Roman"/>
          <w:sz w:val="24"/>
          <w:szCs w:val="24"/>
        </w:rPr>
        <w:t>` s</w:t>
      </w:r>
      <w:r w:rsidR="000414A7">
        <w:rPr>
          <w:rFonts w:ascii="Times New Roman" w:hAnsi="Times New Roman" w:cs="Times New Roman"/>
          <w:sz w:val="24"/>
          <w:szCs w:val="24"/>
        </w:rPr>
        <w:t xml:space="preserve"> arguments on illegality did not address the effect of the two further inroads into SI </w:t>
      </w:r>
      <w:r w:rsidR="00A13CBD">
        <w:rPr>
          <w:rFonts w:ascii="Times New Roman" w:hAnsi="Times New Roman" w:cs="Times New Roman"/>
          <w:sz w:val="24"/>
          <w:szCs w:val="24"/>
        </w:rPr>
        <w:t>142-19 [ See [20] above].</w:t>
      </w:r>
    </w:p>
    <w:p w14:paraId="16A6FE96" w14:textId="0C531A43" w:rsidR="00A90589" w:rsidRDefault="00D62231" w:rsidP="007D0D9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E6078">
        <w:rPr>
          <w:rFonts w:ascii="Times New Roman" w:hAnsi="Times New Roman" w:cs="Times New Roman"/>
          <w:sz w:val="24"/>
          <w:szCs w:val="24"/>
        </w:rPr>
        <w:t>24</w:t>
      </w:r>
      <w:r>
        <w:rPr>
          <w:rFonts w:ascii="Times New Roman" w:hAnsi="Times New Roman" w:cs="Times New Roman"/>
          <w:sz w:val="24"/>
          <w:szCs w:val="24"/>
        </w:rPr>
        <w:t xml:space="preserve">] </w:t>
      </w:r>
      <w:r w:rsidR="00C3575A">
        <w:rPr>
          <w:rFonts w:ascii="Times New Roman" w:hAnsi="Times New Roman" w:cs="Times New Roman"/>
          <w:sz w:val="24"/>
          <w:szCs w:val="24"/>
        </w:rPr>
        <w:t xml:space="preserve">The parties elected to proceed via a stated case. There are implications which arise from this choice of procedure. Both the litigants on one part, and court on the other are enjoined to observe the </w:t>
      </w:r>
      <w:r w:rsidR="004A3C39">
        <w:rPr>
          <w:rFonts w:ascii="Times New Roman" w:hAnsi="Times New Roman" w:cs="Times New Roman"/>
          <w:sz w:val="24"/>
          <w:szCs w:val="24"/>
        </w:rPr>
        <w:t>factual confines</w:t>
      </w:r>
      <w:r w:rsidR="00C3575A">
        <w:rPr>
          <w:rFonts w:ascii="Times New Roman" w:hAnsi="Times New Roman" w:cs="Times New Roman"/>
          <w:sz w:val="24"/>
          <w:szCs w:val="24"/>
        </w:rPr>
        <w:t xml:space="preserve"> drawn by a stated </w:t>
      </w:r>
      <w:r w:rsidR="00A90589">
        <w:rPr>
          <w:rFonts w:ascii="Times New Roman" w:hAnsi="Times New Roman" w:cs="Times New Roman"/>
          <w:sz w:val="24"/>
          <w:szCs w:val="24"/>
        </w:rPr>
        <w:t>case. Having strayed quite significantly from the facts as set out, and the legal issue as framed, it becomes difficult for the court to make findings on the issues of illegality and unjust enrichment</w:t>
      </w:r>
      <w:r w:rsidR="005B31FE">
        <w:rPr>
          <w:rStyle w:val="FootnoteReference"/>
          <w:rFonts w:ascii="Times New Roman" w:hAnsi="Times New Roman" w:cs="Times New Roman"/>
          <w:sz w:val="24"/>
          <w:szCs w:val="24"/>
        </w:rPr>
        <w:footnoteReference w:id="8"/>
      </w:r>
      <w:r w:rsidR="00A90589">
        <w:rPr>
          <w:rFonts w:ascii="Times New Roman" w:hAnsi="Times New Roman" w:cs="Times New Roman"/>
          <w:sz w:val="24"/>
          <w:szCs w:val="24"/>
        </w:rPr>
        <w:t>. It must be remembered that these two concepts represent complex legal principles which must be examined against specific set of factual and evidentiary backgrounds.</w:t>
      </w:r>
      <w:r w:rsidR="005B31FE">
        <w:rPr>
          <w:rStyle w:val="FootnoteReference"/>
          <w:rFonts w:ascii="Times New Roman" w:hAnsi="Times New Roman" w:cs="Times New Roman"/>
          <w:sz w:val="24"/>
          <w:szCs w:val="24"/>
        </w:rPr>
        <w:footnoteReference w:id="9"/>
      </w:r>
    </w:p>
    <w:p w14:paraId="3B308EC2" w14:textId="666B8189" w:rsidR="007D0D92" w:rsidRPr="007D0D92" w:rsidRDefault="005B31FE" w:rsidP="007D0D92">
      <w:pPr>
        <w:spacing w:line="360" w:lineRule="auto"/>
        <w:jc w:val="both"/>
        <w:rPr>
          <w:rFonts w:ascii="Times New Roman" w:hAnsi="Times New Roman" w:cs="Times New Roman"/>
          <w:bCs/>
          <w:sz w:val="24"/>
          <w:szCs w:val="24"/>
          <w:lang w:val="en-GB"/>
        </w:rPr>
      </w:pPr>
      <w:r>
        <w:rPr>
          <w:rFonts w:ascii="Times New Roman" w:hAnsi="Times New Roman" w:cs="Times New Roman"/>
          <w:sz w:val="24"/>
          <w:szCs w:val="24"/>
        </w:rPr>
        <w:t>[</w:t>
      </w:r>
      <w:r w:rsidR="00365828">
        <w:rPr>
          <w:rFonts w:ascii="Times New Roman" w:hAnsi="Times New Roman" w:cs="Times New Roman"/>
          <w:sz w:val="24"/>
          <w:szCs w:val="24"/>
        </w:rPr>
        <w:t>25]</w:t>
      </w:r>
      <w:r>
        <w:rPr>
          <w:rFonts w:ascii="Times New Roman" w:hAnsi="Times New Roman" w:cs="Times New Roman"/>
          <w:sz w:val="24"/>
          <w:szCs w:val="24"/>
        </w:rPr>
        <w:t xml:space="preserve"> GARWE</w:t>
      </w:r>
      <w:r w:rsidR="00C3575A">
        <w:rPr>
          <w:rFonts w:ascii="Times New Roman" w:hAnsi="Times New Roman" w:cs="Times New Roman"/>
          <w:sz w:val="24"/>
          <w:szCs w:val="24"/>
        </w:rPr>
        <w:t xml:space="preserve"> JA </w:t>
      </w:r>
      <w:r w:rsidR="004A3C39">
        <w:rPr>
          <w:rFonts w:ascii="Times New Roman" w:hAnsi="Times New Roman" w:cs="Times New Roman"/>
          <w:sz w:val="24"/>
          <w:szCs w:val="24"/>
        </w:rPr>
        <w:t>(as</w:t>
      </w:r>
      <w:r w:rsidR="00C3575A">
        <w:rPr>
          <w:rFonts w:ascii="Times New Roman" w:hAnsi="Times New Roman" w:cs="Times New Roman"/>
          <w:sz w:val="24"/>
          <w:szCs w:val="24"/>
        </w:rPr>
        <w:t xml:space="preserve"> he then </w:t>
      </w:r>
      <w:r w:rsidR="004A3C39">
        <w:rPr>
          <w:rFonts w:ascii="Times New Roman" w:hAnsi="Times New Roman" w:cs="Times New Roman"/>
          <w:sz w:val="24"/>
          <w:szCs w:val="24"/>
        </w:rPr>
        <w:t>was)</w:t>
      </w:r>
      <w:r w:rsidR="00C3575A">
        <w:rPr>
          <w:rFonts w:ascii="Times New Roman" w:hAnsi="Times New Roman" w:cs="Times New Roman"/>
          <w:sz w:val="24"/>
          <w:szCs w:val="24"/>
        </w:rPr>
        <w:t xml:space="preserve"> </w:t>
      </w:r>
      <w:r w:rsidR="004A3C39">
        <w:rPr>
          <w:rFonts w:ascii="Times New Roman" w:hAnsi="Times New Roman" w:cs="Times New Roman"/>
          <w:sz w:val="24"/>
          <w:szCs w:val="24"/>
        </w:rPr>
        <w:t xml:space="preserve">shared the following guidance on the nature and effect of a stated case in </w:t>
      </w:r>
      <w:r w:rsidR="00967565">
        <w:rPr>
          <w:rFonts w:ascii="Times New Roman" w:hAnsi="Times New Roman" w:cs="Times New Roman"/>
          <w:sz w:val="24"/>
          <w:szCs w:val="24"/>
        </w:rPr>
        <w:t xml:space="preserve">paragraphs </w:t>
      </w:r>
      <w:r w:rsidR="00967565" w:rsidRPr="00A13CBD">
        <w:rPr>
          <w:rFonts w:ascii="Times New Roman" w:hAnsi="Times New Roman" w:cs="Times New Roman"/>
          <w:i/>
          <w:iCs/>
          <w:sz w:val="24"/>
          <w:szCs w:val="24"/>
        </w:rPr>
        <w:t>[17]</w:t>
      </w:r>
      <w:r w:rsidR="00967565">
        <w:rPr>
          <w:rFonts w:ascii="Times New Roman" w:hAnsi="Times New Roman" w:cs="Times New Roman"/>
          <w:sz w:val="24"/>
          <w:szCs w:val="24"/>
        </w:rPr>
        <w:t xml:space="preserve"> and part of [</w:t>
      </w:r>
      <w:r w:rsidR="00967565" w:rsidRPr="00A13CBD">
        <w:rPr>
          <w:rFonts w:ascii="Times New Roman" w:hAnsi="Times New Roman" w:cs="Times New Roman"/>
          <w:i/>
          <w:iCs/>
          <w:sz w:val="24"/>
          <w:szCs w:val="24"/>
        </w:rPr>
        <w:t>18]</w:t>
      </w:r>
      <w:r w:rsidR="007D0D92">
        <w:rPr>
          <w:rFonts w:ascii="Times New Roman" w:hAnsi="Times New Roman" w:cs="Times New Roman"/>
          <w:i/>
          <w:iCs/>
          <w:sz w:val="24"/>
          <w:szCs w:val="24"/>
        </w:rPr>
        <w:t xml:space="preserve"> </w:t>
      </w:r>
      <w:r w:rsidR="007D0D92" w:rsidRPr="007D0D92">
        <w:rPr>
          <w:rFonts w:ascii="Times New Roman" w:hAnsi="Times New Roman" w:cs="Times New Roman"/>
          <w:sz w:val="24"/>
          <w:szCs w:val="24"/>
        </w:rPr>
        <w:t xml:space="preserve">in </w:t>
      </w:r>
      <w:r w:rsidR="007D0D92" w:rsidRPr="007D0D92">
        <w:rPr>
          <w:rFonts w:ascii="Times New Roman" w:hAnsi="Times New Roman" w:cs="Times New Roman"/>
          <w:bCs/>
          <w:i/>
          <w:iCs/>
          <w:sz w:val="24"/>
          <w:szCs w:val="24"/>
          <w:lang w:val="en-GB"/>
        </w:rPr>
        <w:t>Dr Nobert     Kunonga    v The     Church     of     The     Province     of     Central     Africa</w:t>
      </w:r>
      <w:r w:rsidR="007D0D92" w:rsidRPr="007D0D92">
        <w:rPr>
          <w:rFonts w:ascii="Times New Roman" w:hAnsi="Times New Roman" w:cs="Times New Roman"/>
          <w:b/>
          <w:sz w:val="24"/>
          <w:szCs w:val="24"/>
          <w:lang w:val="en-GB"/>
        </w:rPr>
        <w:t xml:space="preserve"> </w:t>
      </w:r>
      <w:r w:rsidR="007D0D92">
        <w:rPr>
          <w:rFonts w:ascii="Times New Roman" w:hAnsi="Times New Roman" w:cs="Times New Roman"/>
          <w:b/>
          <w:sz w:val="24"/>
          <w:szCs w:val="24"/>
          <w:lang w:val="en-GB"/>
        </w:rPr>
        <w:t xml:space="preserve">  </w:t>
      </w:r>
      <w:r w:rsidR="007D0D92" w:rsidRPr="007D0D92">
        <w:rPr>
          <w:rFonts w:ascii="Times New Roman" w:hAnsi="Times New Roman" w:cs="Times New Roman"/>
          <w:bCs/>
          <w:sz w:val="24"/>
          <w:szCs w:val="24"/>
          <w:lang w:val="en-GB"/>
        </w:rPr>
        <w:t>SC 25-17; -</w:t>
      </w:r>
    </w:p>
    <w:p w14:paraId="1DB4F7C3" w14:textId="50E169F7" w:rsidR="00967565" w:rsidRDefault="00967565" w:rsidP="00FF6A02">
      <w:pPr>
        <w:spacing w:line="360" w:lineRule="auto"/>
        <w:jc w:val="both"/>
        <w:rPr>
          <w:rFonts w:ascii="Times New Roman" w:hAnsi="Times New Roman" w:cs="Times New Roman"/>
          <w:sz w:val="24"/>
          <w:szCs w:val="24"/>
        </w:rPr>
      </w:pPr>
    </w:p>
    <w:p w14:paraId="2454A49D" w14:textId="656F1B0A" w:rsidR="00967565" w:rsidRPr="00967565" w:rsidRDefault="00967565" w:rsidP="00967565">
      <w:pPr>
        <w:spacing w:line="360" w:lineRule="auto"/>
        <w:ind w:left="1134"/>
        <w:jc w:val="both"/>
        <w:rPr>
          <w:rFonts w:ascii="Times New Roman" w:hAnsi="Times New Roman" w:cs="Times New Roman"/>
          <w:sz w:val="24"/>
          <w:szCs w:val="24"/>
          <w:lang w:val="en-GB"/>
        </w:rPr>
      </w:pPr>
      <w:r w:rsidRPr="00967565">
        <w:rPr>
          <w:rFonts w:ascii="Times New Roman" w:hAnsi="Times New Roman" w:cs="Times New Roman"/>
          <w:i/>
          <w:iCs/>
          <w:sz w:val="24"/>
          <w:szCs w:val="24"/>
          <w:lang w:val="en-GB"/>
        </w:rPr>
        <w:t>[17]</w:t>
      </w:r>
      <w:r w:rsidRPr="00967565">
        <w:rPr>
          <w:rFonts w:ascii="Times New Roman" w:hAnsi="Times New Roman" w:cs="Times New Roman"/>
          <w:sz w:val="24"/>
          <w:szCs w:val="24"/>
          <w:lang w:val="en-GB"/>
        </w:rPr>
        <w:tab/>
        <w:t xml:space="preserve">Once the facts are agreed, the court should proceed to determine the particular question of law that arises and not delve into the correctness or otherwise of the facts.  It is bound to take those facts as correctly representing the agreed position and to thereafter determine any issues of law that may arise therefrom.  It is not open to the parties to the stated case to seek to re-open the agreed factual position or to contradict such position.  Nor can either party seek to ignore existing legal principle or findings of fact made in connection with the same matter by </w:t>
      </w:r>
      <w:r w:rsidRPr="00967565">
        <w:rPr>
          <w:rFonts w:ascii="Times New Roman" w:hAnsi="Times New Roman" w:cs="Times New Roman"/>
          <w:sz w:val="24"/>
          <w:szCs w:val="24"/>
          <w:lang w:val="en-GB"/>
        </w:rPr>
        <w:lastRenderedPageBreak/>
        <w:t xml:space="preserve">another court.  Of course, either party has a remedy at common law, to withdraw any concession made in a stated case owing to </w:t>
      </w:r>
      <w:r w:rsidRPr="00967565">
        <w:rPr>
          <w:rFonts w:ascii="Times New Roman" w:hAnsi="Times New Roman" w:cs="Times New Roman"/>
          <w:i/>
          <w:sz w:val="24"/>
          <w:szCs w:val="24"/>
          <w:lang w:val="en-GB"/>
        </w:rPr>
        <w:t>justus</w:t>
      </w:r>
      <w:r w:rsidRPr="00967565">
        <w:rPr>
          <w:rFonts w:ascii="Times New Roman" w:hAnsi="Times New Roman" w:cs="Times New Roman"/>
          <w:sz w:val="24"/>
          <w:szCs w:val="24"/>
          <w:lang w:val="en-GB"/>
        </w:rPr>
        <w:t xml:space="preserve"> </w:t>
      </w:r>
      <w:r w:rsidRPr="00967565">
        <w:rPr>
          <w:rFonts w:ascii="Times New Roman" w:hAnsi="Times New Roman" w:cs="Times New Roman"/>
          <w:i/>
          <w:sz w:val="24"/>
          <w:szCs w:val="24"/>
          <w:lang w:val="en-GB"/>
        </w:rPr>
        <w:t>error</w:t>
      </w:r>
      <w:r w:rsidRPr="00967565">
        <w:rPr>
          <w:rFonts w:ascii="Times New Roman" w:hAnsi="Times New Roman" w:cs="Times New Roman"/>
          <w:sz w:val="24"/>
          <w:szCs w:val="24"/>
          <w:lang w:val="en-GB"/>
        </w:rPr>
        <w:t>, fraud, mistake, or any other valid ground.</w:t>
      </w:r>
    </w:p>
    <w:p w14:paraId="69005DC4" w14:textId="5E3BEECE" w:rsidR="00967565" w:rsidRDefault="00967565" w:rsidP="00967565">
      <w:pPr>
        <w:spacing w:line="360" w:lineRule="auto"/>
        <w:ind w:left="1134"/>
        <w:jc w:val="both"/>
        <w:rPr>
          <w:rFonts w:ascii="Times New Roman" w:hAnsi="Times New Roman" w:cs="Times New Roman"/>
          <w:sz w:val="24"/>
          <w:szCs w:val="24"/>
        </w:rPr>
      </w:pPr>
      <w:r w:rsidRPr="00A13CBD">
        <w:rPr>
          <w:rFonts w:ascii="Times New Roman" w:hAnsi="Times New Roman" w:cs="Times New Roman"/>
          <w:i/>
          <w:iCs/>
          <w:sz w:val="24"/>
          <w:szCs w:val="24"/>
          <w:lang w:val="en-GB"/>
        </w:rPr>
        <w:t>[18]</w:t>
      </w:r>
      <w:r w:rsidRPr="00967565">
        <w:rPr>
          <w:rFonts w:ascii="Times New Roman" w:hAnsi="Times New Roman" w:cs="Times New Roman"/>
          <w:sz w:val="24"/>
          <w:szCs w:val="24"/>
          <w:lang w:val="en-GB"/>
        </w:rPr>
        <w:tab/>
        <w:t>It has become necessary to restate what a stated case is owing to the fact that in some instances, the appellant in this case has made submissions contrary to the stated case brought before the court.</w:t>
      </w:r>
    </w:p>
    <w:p w14:paraId="5BAB5694" w14:textId="1217847B" w:rsidR="00424BB9" w:rsidRDefault="00D62231"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0DF32CB1" w14:textId="18A698AE" w:rsidR="00BC53F8" w:rsidRDefault="00D62231"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E6078">
        <w:rPr>
          <w:rFonts w:ascii="Times New Roman" w:hAnsi="Times New Roman" w:cs="Times New Roman"/>
          <w:sz w:val="24"/>
          <w:szCs w:val="24"/>
        </w:rPr>
        <w:t>26</w:t>
      </w:r>
      <w:r>
        <w:rPr>
          <w:rFonts w:ascii="Times New Roman" w:hAnsi="Times New Roman" w:cs="Times New Roman"/>
          <w:sz w:val="24"/>
          <w:szCs w:val="24"/>
        </w:rPr>
        <w:t xml:space="preserve">] The contract between the parties was a domestic </w:t>
      </w:r>
      <w:r w:rsidR="00BC53F8">
        <w:rPr>
          <w:rFonts w:ascii="Times New Roman" w:hAnsi="Times New Roman" w:cs="Times New Roman"/>
          <w:sz w:val="24"/>
          <w:szCs w:val="24"/>
        </w:rPr>
        <w:t>transaction. It</w:t>
      </w:r>
      <w:r>
        <w:rPr>
          <w:rFonts w:ascii="Times New Roman" w:hAnsi="Times New Roman" w:cs="Times New Roman"/>
          <w:sz w:val="24"/>
          <w:szCs w:val="24"/>
        </w:rPr>
        <w:t xml:space="preserve"> ought </w:t>
      </w:r>
      <w:r w:rsidR="00C37069">
        <w:rPr>
          <w:rFonts w:ascii="Times New Roman" w:hAnsi="Times New Roman" w:cs="Times New Roman"/>
          <w:sz w:val="24"/>
          <w:szCs w:val="24"/>
        </w:rPr>
        <w:t>to have</w:t>
      </w:r>
      <w:r>
        <w:rPr>
          <w:rFonts w:ascii="Times New Roman" w:hAnsi="Times New Roman" w:cs="Times New Roman"/>
          <w:sz w:val="24"/>
          <w:szCs w:val="24"/>
        </w:rPr>
        <w:t xml:space="preserve"> been </w:t>
      </w:r>
      <w:r w:rsidR="00BC53F8">
        <w:rPr>
          <w:rFonts w:ascii="Times New Roman" w:hAnsi="Times New Roman" w:cs="Times New Roman"/>
          <w:sz w:val="24"/>
          <w:szCs w:val="24"/>
        </w:rPr>
        <w:t xml:space="preserve">premised on use of the Zimbabwe Dollar. A concession and offer have been made by the defendant to settle the obligation at the ruling exchange rate in local currency. An order will be made to that effect. </w:t>
      </w:r>
    </w:p>
    <w:p w14:paraId="2036A1A1" w14:textId="2FBBB050" w:rsidR="00D62231" w:rsidRDefault="00BC53F8"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27]</w:t>
      </w:r>
      <w:r>
        <w:rPr>
          <w:rFonts w:ascii="Times New Roman" w:hAnsi="Times New Roman" w:cs="Times New Roman"/>
          <w:sz w:val="24"/>
          <w:szCs w:val="24"/>
        </w:rPr>
        <w:t xml:space="preserve"> The argument on unjust enrichment can not avail the plaintiff. That sort </w:t>
      </w:r>
      <w:r w:rsidR="005C0C1C">
        <w:rPr>
          <w:rFonts w:ascii="Times New Roman" w:hAnsi="Times New Roman" w:cs="Times New Roman"/>
          <w:sz w:val="24"/>
          <w:szCs w:val="24"/>
        </w:rPr>
        <w:t>of grievance</w:t>
      </w:r>
      <w:r>
        <w:rPr>
          <w:rFonts w:ascii="Times New Roman" w:hAnsi="Times New Roman" w:cs="Times New Roman"/>
          <w:sz w:val="24"/>
          <w:szCs w:val="24"/>
        </w:rPr>
        <w:t xml:space="preserve"> was addressed by the Supreme Court in </w:t>
      </w:r>
      <w:r w:rsidRPr="0043459A">
        <w:rPr>
          <w:rFonts w:ascii="Times New Roman" w:hAnsi="Times New Roman" w:cs="Times New Roman"/>
          <w:i/>
          <w:iCs/>
          <w:sz w:val="24"/>
          <w:szCs w:val="24"/>
        </w:rPr>
        <w:t xml:space="preserve">Zambezi </w:t>
      </w:r>
      <w:r w:rsidR="005C0C1C" w:rsidRPr="0043459A">
        <w:rPr>
          <w:rFonts w:ascii="Times New Roman" w:hAnsi="Times New Roman" w:cs="Times New Roman"/>
          <w:i/>
          <w:iCs/>
          <w:sz w:val="24"/>
          <w:szCs w:val="24"/>
        </w:rPr>
        <w:t>Gas</w:t>
      </w:r>
      <w:r w:rsidR="005C0C1C">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43459A">
        <w:rPr>
          <w:rFonts w:ascii="Times New Roman" w:hAnsi="Times New Roman" w:cs="Times New Roman"/>
          <w:sz w:val="24"/>
          <w:szCs w:val="24"/>
        </w:rPr>
        <w:t xml:space="preserve">further </w:t>
      </w:r>
      <w:r>
        <w:rPr>
          <w:rFonts w:ascii="Times New Roman" w:hAnsi="Times New Roman" w:cs="Times New Roman"/>
          <w:sz w:val="24"/>
          <w:szCs w:val="24"/>
        </w:rPr>
        <w:t xml:space="preserve">expressed </w:t>
      </w:r>
      <w:r w:rsidR="00C37069">
        <w:rPr>
          <w:rFonts w:ascii="Times New Roman" w:hAnsi="Times New Roman" w:cs="Times New Roman"/>
          <w:sz w:val="24"/>
          <w:szCs w:val="24"/>
        </w:rPr>
        <w:t xml:space="preserve">thus </w:t>
      </w:r>
      <w:r w:rsidR="005C0C1C">
        <w:rPr>
          <w:rFonts w:ascii="Times New Roman" w:hAnsi="Times New Roman" w:cs="Times New Roman"/>
          <w:sz w:val="24"/>
          <w:szCs w:val="24"/>
        </w:rPr>
        <w:t>with characteristic candour by MAFUSIRE</w:t>
      </w:r>
      <w:r>
        <w:rPr>
          <w:rFonts w:ascii="Times New Roman" w:hAnsi="Times New Roman" w:cs="Times New Roman"/>
          <w:sz w:val="24"/>
          <w:szCs w:val="24"/>
        </w:rPr>
        <w:t xml:space="preserve"> J </w:t>
      </w:r>
      <w:r w:rsidR="0043459A">
        <w:rPr>
          <w:rFonts w:ascii="Times New Roman" w:hAnsi="Times New Roman" w:cs="Times New Roman"/>
          <w:sz w:val="24"/>
          <w:szCs w:val="24"/>
        </w:rPr>
        <w:t xml:space="preserve">in </w:t>
      </w:r>
      <w:r w:rsidR="0043459A" w:rsidRPr="0043459A">
        <w:rPr>
          <w:rFonts w:ascii="Times New Roman" w:hAnsi="Times New Roman" w:cs="Times New Roman"/>
          <w:i/>
          <w:iCs/>
          <w:sz w:val="24"/>
          <w:szCs w:val="24"/>
        </w:rPr>
        <w:t>Akram</w:t>
      </w:r>
      <w:r w:rsidR="005C0C1C" w:rsidRPr="0043459A">
        <w:rPr>
          <w:rFonts w:ascii="Times New Roman" w:hAnsi="Times New Roman" w:cs="Times New Roman"/>
          <w:i/>
          <w:iCs/>
          <w:sz w:val="24"/>
          <w:szCs w:val="24"/>
        </w:rPr>
        <w:t xml:space="preserve"> </w:t>
      </w:r>
      <w:r w:rsidR="005C0C1C" w:rsidRPr="005C0C1C">
        <w:rPr>
          <w:rFonts w:ascii="Times New Roman" w:hAnsi="Times New Roman" w:cs="Times New Roman"/>
          <w:i/>
          <w:iCs/>
          <w:sz w:val="24"/>
          <w:szCs w:val="24"/>
        </w:rPr>
        <w:t>v Mukwindidza &amp; Anor</w:t>
      </w:r>
      <w:r w:rsidR="005C0C1C" w:rsidRPr="005C0C1C">
        <w:rPr>
          <w:rFonts w:ascii="Times New Roman" w:hAnsi="Times New Roman" w:cs="Times New Roman"/>
          <w:sz w:val="24"/>
          <w:szCs w:val="24"/>
        </w:rPr>
        <w:t xml:space="preserve"> HH 522-21</w:t>
      </w:r>
      <w:r w:rsidR="005C0C1C">
        <w:rPr>
          <w:rFonts w:ascii="Times New Roman" w:hAnsi="Times New Roman" w:cs="Times New Roman"/>
          <w:sz w:val="24"/>
          <w:szCs w:val="24"/>
        </w:rPr>
        <w:t xml:space="preserve"> at </w:t>
      </w:r>
      <w:r w:rsidR="005C0C1C" w:rsidRPr="0043459A">
        <w:rPr>
          <w:rFonts w:ascii="Times New Roman" w:hAnsi="Times New Roman" w:cs="Times New Roman"/>
          <w:i/>
          <w:iCs/>
          <w:sz w:val="24"/>
          <w:szCs w:val="24"/>
        </w:rPr>
        <w:t>[ 13</w:t>
      </w:r>
      <w:r w:rsidR="0043459A" w:rsidRPr="0043459A">
        <w:rPr>
          <w:rFonts w:ascii="Times New Roman" w:hAnsi="Times New Roman" w:cs="Times New Roman"/>
          <w:i/>
          <w:iCs/>
          <w:sz w:val="24"/>
          <w:szCs w:val="24"/>
        </w:rPr>
        <w:t>]</w:t>
      </w:r>
      <w:r w:rsidR="0043459A">
        <w:rPr>
          <w:rFonts w:ascii="Times New Roman" w:hAnsi="Times New Roman" w:cs="Times New Roman"/>
          <w:sz w:val="24"/>
          <w:szCs w:val="24"/>
        </w:rPr>
        <w:t>; -</w:t>
      </w:r>
    </w:p>
    <w:p w14:paraId="59843113" w14:textId="1F7F0207" w:rsidR="005C0C1C" w:rsidRPr="005C0C1C" w:rsidRDefault="005C0C1C" w:rsidP="005C0C1C">
      <w:pPr>
        <w:spacing w:line="360" w:lineRule="auto"/>
        <w:ind w:left="1134"/>
        <w:jc w:val="both"/>
        <w:rPr>
          <w:rFonts w:ascii="Times New Roman" w:hAnsi="Times New Roman" w:cs="Times New Roman"/>
          <w:sz w:val="24"/>
          <w:szCs w:val="24"/>
        </w:rPr>
      </w:pPr>
      <w:r w:rsidRPr="005C0C1C">
        <w:rPr>
          <w:rFonts w:ascii="Times New Roman" w:hAnsi="Times New Roman" w:cs="Times New Roman"/>
          <w:sz w:val="24"/>
          <w:szCs w:val="24"/>
        </w:rPr>
        <w:t xml:space="preserve">“After hearing argument, I reserved judgment. This was out of an abundance of caution. I feared there could be something I was missing. Now, after careful consideration I find that the applicant is simply flogging a dead horse. He has no case. His case is squarely on all fours with the </w:t>
      </w:r>
      <w:r w:rsidRPr="005C0C1C">
        <w:rPr>
          <w:rFonts w:ascii="Times New Roman" w:hAnsi="Times New Roman" w:cs="Times New Roman"/>
          <w:i/>
          <w:sz w:val="24"/>
          <w:szCs w:val="24"/>
        </w:rPr>
        <w:t>Zimbabwe Gas</w:t>
      </w:r>
      <w:r w:rsidRPr="005C0C1C">
        <w:rPr>
          <w:rFonts w:ascii="Times New Roman" w:hAnsi="Times New Roman" w:cs="Times New Roman"/>
          <w:sz w:val="24"/>
          <w:szCs w:val="24"/>
        </w:rPr>
        <w:t xml:space="preserve"> case. The Chief Justice spoke. The escape hole the applicant wants to take is a </w:t>
      </w:r>
      <w:r w:rsidRPr="005C0C1C">
        <w:rPr>
          <w:rFonts w:ascii="Times New Roman" w:hAnsi="Times New Roman" w:cs="Times New Roman"/>
          <w:i/>
          <w:sz w:val="24"/>
          <w:szCs w:val="24"/>
        </w:rPr>
        <w:t>cul de sac</w:t>
      </w:r>
      <w:r w:rsidRPr="005C0C1C">
        <w:rPr>
          <w:rFonts w:ascii="Times New Roman" w:hAnsi="Times New Roman" w:cs="Times New Roman"/>
          <w:sz w:val="24"/>
          <w:szCs w:val="24"/>
        </w:rPr>
        <w:t>. One may not fault him though for trying to wriggle out of the reach of S.I. 33/19. It had far</w:t>
      </w:r>
      <w:r>
        <w:rPr>
          <w:rFonts w:ascii="Times New Roman" w:hAnsi="Times New Roman" w:cs="Times New Roman"/>
          <w:sz w:val="24"/>
          <w:szCs w:val="24"/>
        </w:rPr>
        <w:t>-</w:t>
      </w:r>
      <w:r w:rsidRPr="005C0C1C">
        <w:rPr>
          <w:rFonts w:ascii="Times New Roman" w:hAnsi="Times New Roman" w:cs="Times New Roman"/>
          <w:sz w:val="24"/>
          <w:szCs w:val="24"/>
        </w:rPr>
        <w:t>reaching consequences. Its effect was profound. On its inception, some people woke up to find that their credit bank balances that had all along been denominated in United States dollars had suddenly transformed into credit balances in some hitherto unknown currency. The conversion ratio of one to one was man-made, not market driven. As a result, some citizens suffered gigantic losses. But others gained enormous advantages. Unfortunately for him, the applicant was one of those that suffered loss. He can only cut down on any further losses, pick himself up and move on. He has no legal leg to stand on.”</w:t>
      </w:r>
    </w:p>
    <w:p w14:paraId="0CD9C8AD" w14:textId="4CA11052" w:rsidR="0043459A" w:rsidRDefault="0043459A"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078">
        <w:rPr>
          <w:rFonts w:ascii="Times New Roman" w:hAnsi="Times New Roman" w:cs="Times New Roman"/>
          <w:sz w:val="24"/>
          <w:szCs w:val="24"/>
        </w:rPr>
        <w:t>28]</w:t>
      </w:r>
      <w:r>
        <w:rPr>
          <w:rFonts w:ascii="Times New Roman" w:hAnsi="Times New Roman" w:cs="Times New Roman"/>
          <w:sz w:val="24"/>
          <w:szCs w:val="24"/>
        </w:rPr>
        <w:t xml:space="preserve"> Finally, I address the issue of costs. Each party argued to their strengths in seeking a punitive order of costs against the other. Their respective positions have been fully considered. </w:t>
      </w:r>
      <w:r>
        <w:rPr>
          <w:rFonts w:ascii="Times New Roman" w:hAnsi="Times New Roman" w:cs="Times New Roman"/>
          <w:sz w:val="24"/>
          <w:szCs w:val="24"/>
        </w:rPr>
        <w:lastRenderedPageBreak/>
        <w:t xml:space="preserve">My conclusion is that neither party should be successful in its prayer. I take the approach that each party has been partially successful/unsuccessful given the matters presented to the court for a decision. In that respect, each must bear its own burden of costs. </w:t>
      </w:r>
    </w:p>
    <w:p w14:paraId="4F0B2158" w14:textId="0973DDCE" w:rsidR="0043459A" w:rsidRDefault="00C37069" w:rsidP="00FF6A02">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that;</w:t>
      </w:r>
      <w:r w:rsidR="0043459A">
        <w:rPr>
          <w:rFonts w:ascii="Times New Roman" w:hAnsi="Times New Roman" w:cs="Times New Roman"/>
          <w:sz w:val="24"/>
          <w:szCs w:val="24"/>
        </w:rPr>
        <w:t xml:space="preserve"> -</w:t>
      </w:r>
    </w:p>
    <w:p w14:paraId="4B518018" w14:textId="7760E687" w:rsidR="00C37069" w:rsidRPr="00C37069" w:rsidRDefault="0043459A" w:rsidP="00C37069">
      <w:pPr>
        <w:pStyle w:val="ListParagraph"/>
        <w:numPr>
          <w:ilvl w:val="0"/>
          <w:numId w:val="6"/>
        </w:numPr>
        <w:spacing w:line="360" w:lineRule="auto"/>
        <w:jc w:val="both"/>
        <w:rPr>
          <w:rFonts w:ascii="Times New Roman" w:hAnsi="Times New Roman" w:cs="Times New Roman"/>
          <w:sz w:val="24"/>
          <w:szCs w:val="24"/>
        </w:rPr>
      </w:pPr>
      <w:r w:rsidRPr="00C37069">
        <w:rPr>
          <w:rFonts w:ascii="Times New Roman" w:hAnsi="Times New Roman" w:cs="Times New Roman"/>
          <w:sz w:val="24"/>
          <w:szCs w:val="24"/>
        </w:rPr>
        <w:t xml:space="preserve">Defendant </w:t>
      </w:r>
      <w:r w:rsidR="00C37069" w:rsidRPr="00C37069">
        <w:rPr>
          <w:rFonts w:ascii="Times New Roman" w:hAnsi="Times New Roman" w:cs="Times New Roman"/>
          <w:sz w:val="24"/>
          <w:szCs w:val="24"/>
        </w:rPr>
        <w:t xml:space="preserve">pays </w:t>
      </w:r>
      <w:r w:rsidRPr="00C37069">
        <w:rPr>
          <w:rFonts w:ascii="Times New Roman" w:hAnsi="Times New Roman" w:cs="Times New Roman"/>
          <w:sz w:val="24"/>
          <w:szCs w:val="24"/>
        </w:rPr>
        <w:t xml:space="preserve">plaintiff an amount of US$100,000-00 being a refund of the deposit due to plaintiff in respect of payments toward the purchase of rights and interest in mining blocks registered under Number 41356BM;41357BM;41358BM and 41359BM situate in Berry Rose of Mufurudzi Safari </w:t>
      </w:r>
      <w:r w:rsidR="00C37069" w:rsidRPr="00C37069">
        <w:rPr>
          <w:rFonts w:ascii="Times New Roman" w:hAnsi="Times New Roman" w:cs="Times New Roman"/>
          <w:sz w:val="24"/>
          <w:szCs w:val="24"/>
        </w:rPr>
        <w:t>Area, Shamva, the amount stated herein being payable in Zimbabwean Currency at the prevailing exchange rate on the date of payment; -</w:t>
      </w:r>
    </w:p>
    <w:p w14:paraId="74C0005D" w14:textId="10859B56" w:rsidR="00C37069" w:rsidRPr="00C37069" w:rsidRDefault="00C37069" w:rsidP="00C37069">
      <w:pPr>
        <w:pStyle w:val="ListParagraph"/>
        <w:numPr>
          <w:ilvl w:val="0"/>
          <w:numId w:val="6"/>
        </w:numPr>
        <w:spacing w:line="360" w:lineRule="auto"/>
        <w:jc w:val="both"/>
        <w:rPr>
          <w:rFonts w:ascii="Times New Roman" w:hAnsi="Times New Roman" w:cs="Times New Roman"/>
          <w:sz w:val="24"/>
          <w:szCs w:val="24"/>
        </w:rPr>
      </w:pPr>
      <w:r w:rsidRPr="00C37069">
        <w:rPr>
          <w:rFonts w:ascii="Times New Roman" w:hAnsi="Times New Roman" w:cs="Times New Roman"/>
          <w:sz w:val="24"/>
          <w:szCs w:val="24"/>
        </w:rPr>
        <w:t>Defendant pays interest on the capital sum ordered herein at the rate of 5% per annum from 15 October 2022 to date of payment in full.</w:t>
      </w:r>
    </w:p>
    <w:p w14:paraId="7F334ADA" w14:textId="387E4259" w:rsidR="00C37069" w:rsidRPr="00C37069" w:rsidRDefault="00C37069" w:rsidP="00C37069">
      <w:pPr>
        <w:pStyle w:val="ListParagraph"/>
        <w:numPr>
          <w:ilvl w:val="0"/>
          <w:numId w:val="6"/>
        </w:numPr>
        <w:spacing w:line="360" w:lineRule="auto"/>
        <w:jc w:val="both"/>
        <w:rPr>
          <w:rFonts w:ascii="Times New Roman" w:hAnsi="Times New Roman" w:cs="Times New Roman"/>
          <w:sz w:val="24"/>
          <w:szCs w:val="24"/>
        </w:rPr>
      </w:pPr>
      <w:r w:rsidRPr="00C37069">
        <w:rPr>
          <w:rFonts w:ascii="Times New Roman" w:hAnsi="Times New Roman" w:cs="Times New Roman"/>
          <w:sz w:val="24"/>
          <w:szCs w:val="24"/>
        </w:rPr>
        <w:t>Each party to bear its own costs.</w:t>
      </w:r>
    </w:p>
    <w:p w14:paraId="273F23E6" w14:textId="77777777" w:rsidR="00C37069" w:rsidRDefault="00C37069" w:rsidP="00FF6A02">
      <w:pPr>
        <w:spacing w:line="360" w:lineRule="auto"/>
        <w:jc w:val="both"/>
        <w:rPr>
          <w:rFonts w:ascii="Times New Roman" w:hAnsi="Times New Roman" w:cs="Times New Roman"/>
          <w:sz w:val="24"/>
          <w:szCs w:val="24"/>
        </w:rPr>
      </w:pPr>
    </w:p>
    <w:p w14:paraId="5BF5389A" w14:textId="77296E56" w:rsidR="00C37069" w:rsidRPr="008E6078" w:rsidRDefault="00C37069" w:rsidP="00FF6A02">
      <w:pPr>
        <w:spacing w:line="360" w:lineRule="auto"/>
        <w:jc w:val="both"/>
        <w:rPr>
          <w:rFonts w:ascii="Times New Roman" w:hAnsi="Times New Roman" w:cs="Times New Roman"/>
          <w:b/>
          <w:bCs/>
          <w:sz w:val="20"/>
          <w:szCs w:val="20"/>
        </w:rPr>
      </w:pPr>
      <w:r w:rsidRPr="008E6078">
        <w:rPr>
          <w:rFonts w:ascii="Times New Roman" w:hAnsi="Times New Roman" w:cs="Times New Roman"/>
          <w:b/>
          <w:bCs/>
          <w:sz w:val="20"/>
          <w:szCs w:val="20"/>
        </w:rPr>
        <w:t xml:space="preserve">                                                                                                        CHILIMBE J____30/8/23</w:t>
      </w:r>
    </w:p>
    <w:p w14:paraId="53ED8EAE" w14:textId="224D7A98" w:rsidR="00C37069" w:rsidRPr="00C37069" w:rsidRDefault="00C37069" w:rsidP="00C37069">
      <w:pPr>
        <w:pStyle w:val="NoSpacing"/>
        <w:rPr>
          <w:rFonts w:ascii="Times New Roman" w:hAnsi="Times New Roman" w:cs="Times New Roman"/>
          <w:sz w:val="24"/>
          <w:szCs w:val="24"/>
        </w:rPr>
      </w:pPr>
      <w:r w:rsidRPr="00C37069">
        <w:rPr>
          <w:rFonts w:ascii="Times New Roman" w:hAnsi="Times New Roman" w:cs="Times New Roman"/>
          <w:i/>
          <w:iCs/>
          <w:sz w:val="24"/>
          <w:szCs w:val="24"/>
        </w:rPr>
        <w:t>DLS Attorneys</w:t>
      </w:r>
      <w:r w:rsidRPr="00C37069">
        <w:rPr>
          <w:rFonts w:ascii="Times New Roman" w:hAnsi="Times New Roman" w:cs="Times New Roman"/>
          <w:sz w:val="24"/>
          <w:szCs w:val="24"/>
        </w:rPr>
        <w:t>- plaintiff`s legal practitioners</w:t>
      </w:r>
    </w:p>
    <w:p w14:paraId="64BCC6EF" w14:textId="534B36A1" w:rsidR="00C37069" w:rsidRPr="00C37069" w:rsidRDefault="00C37069" w:rsidP="00C37069">
      <w:pPr>
        <w:pStyle w:val="NoSpacing"/>
        <w:rPr>
          <w:rFonts w:ascii="Times New Roman" w:hAnsi="Times New Roman" w:cs="Times New Roman"/>
          <w:sz w:val="24"/>
          <w:szCs w:val="24"/>
        </w:rPr>
      </w:pPr>
      <w:r w:rsidRPr="00C37069">
        <w:rPr>
          <w:rFonts w:ascii="Times New Roman" w:hAnsi="Times New Roman" w:cs="Times New Roman"/>
          <w:i/>
          <w:iCs/>
          <w:sz w:val="24"/>
          <w:szCs w:val="24"/>
        </w:rPr>
        <w:t>Mbano Gasva and Partners</w:t>
      </w:r>
      <w:r w:rsidRPr="00C37069">
        <w:rPr>
          <w:rFonts w:ascii="Times New Roman" w:hAnsi="Times New Roman" w:cs="Times New Roman"/>
          <w:sz w:val="24"/>
          <w:szCs w:val="24"/>
        </w:rPr>
        <w:t>-defendant`s legal practitioners</w:t>
      </w:r>
    </w:p>
    <w:p w14:paraId="0C98A80E" w14:textId="4DA47C1F" w:rsidR="00C37069" w:rsidRPr="00C37069" w:rsidRDefault="00C37069" w:rsidP="00C37069">
      <w:pPr>
        <w:pStyle w:val="NoSpacing"/>
        <w:rPr>
          <w:rFonts w:ascii="Times New Roman" w:hAnsi="Times New Roman" w:cs="Times New Roman"/>
          <w:sz w:val="24"/>
          <w:szCs w:val="24"/>
        </w:rPr>
      </w:pPr>
      <w:r w:rsidRPr="00C37069">
        <w:rPr>
          <w:rFonts w:ascii="Times New Roman" w:hAnsi="Times New Roman" w:cs="Times New Roman"/>
          <w:sz w:val="24"/>
          <w:szCs w:val="24"/>
        </w:rPr>
        <w:t xml:space="preserve">   </w:t>
      </w:r>
    </w:p>
    <w:p w14:paraId="75D9F4E1" w14:textId="33779C78" w:rsidR="00C37069" w:rsidRPr="00C37069" w:rsidRDefault="00C37069" w:rsidP="00C37069">
      <w:pPr>
        <w:pStyle w:val="NoSpacing"/>
        <w:rPr>
          <w:rFonts w:ascii="Times New Roman" w:hAnsi="Times New Roman" w:cs="Times New Roman"/>
          <w:sz w:val="28"/>
          <w:szCs w:val="28"/>
        </w:rPr>
      </w:pPr>
      <w:r>
        <w:rPr>
          <w:rFonts w:ascii="Times New Roman" w:hAnsi="Times New Roman" w:cs="Times New Roman"/>
          <w:sz w:val="28"/>
          <w:szCs w:val="28"/>
        </w:rPr>
        <w:t xml:space="preserve">                                                                                                </w:t>
      </w:r>
    </w:p>
    <w:sectPr w:rsidR="00C37069" w:rsidRPr="00C370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27CAE" w14:textId="77777777" w:rsidR="007B69A4" w:rsidRDefault="007B69A4" w:rsidP="0081580D">
      <w:pPr>
        <w:spacing w:after="0" w:line="240" w:lineRule="auto"/>
      </w:pPr>
      <w:r>
        <w:separator/>
      </w:r>
    </w:p>
  </w:endnote>
  <w:endnote w:type="continuationSeparator" w:id="0">
    <w:p w14:paraId="018826B8" w14:textId="77777777" w:rsidR="007B69A4" w:rsidRDefault="007B69A4" w:rsidP="0081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C00C" w14:textId="77777777" w:rsidR="007B69A4" w:rsidRDefault="007B69A4" w:rsidP="0081580D">
      <w:pPr>
        <w:spacing w:after="0" w:line="240" w:lineRule="auto"/>
      </w:pPr>
      <w:r>
        <w:separator/>
      </w:r>
    </w:p>
  </w:footnote>
  <w:footnote w:type="continuationSeparator" w:id="0">
    <w:p w14:paraId="68BCFC62" w14:textId="77777777" w:rsidR="007B69A4" w:rsidRDefault="007B69A4" w:rsidP="0081580D">
      <w:pPr>
        <w:spacing w:after="0" w:line="240" w:lineRule="auto"/>
      </w:pPr>
      <w:r>
        <w:continuationSeparator/>
      </w:r>
    </w:p>
  </w:footnote>
  <w:footnote w:id="1">
    <w:p w14:paraId="71B95B6E" w14:textId="701273C3" w:rsidR="003C117A" w:rsidRPr="00D173E8" w:rsidRDefault="003C117A" w:rsidP="00D173E8">
      <w:pPr>
        <w:pStyle w:val="FootnoteText"/>
        <w:jc w:val="both"/>
        <w:rPr>
          <w:sz w:val="18"/>
          <w:szCs w:val="18"/>
        </w:rPr>
      </w:pPr>
      <w:r>
        <w:rPr>
          <w:rStyle w:val="FootnoteReference"/>
        </w:rPr>
        <w:footnoteRef/>
      </w:r>
      <w:r>
        <w:t xml:space="preserve"> </w:t>
      </w:r>
      <w:r w:rsidRPr="00D173E8">
        <w:rPr>
          <w:i/>
          <w:iCs/>
          <w:sz w:val="18"/>
          <w:szCs w:val="18"/>
        </w:rPr>
        <w:t>Johnstone v Leal</w:t>
      </w:r>
      <w:r w:rsidRPr="00D173E8">
        <w:rPr>
          <w:sz w:val="18"/>
          <w:szCs w:val="18"/>
        </w:rPr>
        <w:t xml:space="preserve"> 1980 (3) SA 927 (A).</w:t>
      </w:r>
    </w:p>
  </w:footnote>
  <w:footnote w:id="2">
    <w:p w14:paraId="583FA2AD" w14:textId="73C86280" w:rsidR="005B4F1E" w:rsidRPr="00D173E8" w:rsidRDefault="005B4F1E" w:rsidP="00D173E8">
      <w:pPr>
        <w:pStyle w:val="FootnoteText"/>
        <w:jc w:val="both"/>
        <w:rPr>
          <w:sz w:val="18"/>
          <w:szCs w:val="18"/>
        </w:rPr>
      </w:pPr>
      <w:r w:rsidRPr="00D173E8">
        <w:rPr>
          <w:rStyle w:val="FootnoteReference"/>
          <w:sz w:val="18"/>
          <w:szCs w:val="18"/>
        </w:rPr>
        <w:footnoteRef/>
      </w:r>
      <w:r w:rsidRPr="00D173E8">
        <w:rPr>
          <w:sz w:val="18"/>
          <w:szCs w:val="18"/>
        </w:rPr>
        <w:t xml:space="preserve"> </w:t>
      </w:r>
      <w:r w:rsidRPr="00D173E8">
        <w:rPr>
          <w:i/>
          <w:iCs/>
          <w:sz w:val="18"/>
          <w:szCs w:val="18"/>
        </w:rPr>
        <w:t>Muchabaiwa v Grab Enterprises (Pvt) Ltd</w:t>
      </w:r>
      <w:r w:rsidRPr="00D173E8">
        <w:rPr>
          <w:sz w:val="18"/>
          <w:szCs w:val="18"/>
        </w:rPr>
        <w:t xml:space="preserve"> 1996 (2) ZLR 691 (SC).</w:t>
      </w:r>
    </w:p>
  </w:footnote>
  <w:footnote w:id="3">
    <w:p w14:paraId="45FB1E18" w14:textId="76713530" w:rsidR="003C117A" w:rsidRPr="00D173E8" w:rsidRDefault="003C117A" w:rsidP="00D173E8">
      <w:pPr>
        <w:pStyle w:val="FootnoteText"/>
        <w:jc w:val="both"/>
        <w:rPr>
          <w:sz w:val="18"/>
          <w:szCs w:val="18"/>
        </w:rPr>
      </w:pPr>
      <w:r w:rsidRPr="00D173E8">
        <w:rPr>
          <w:rStyle w:val="FootnoteReference"/>
          <w:sz w:val="18"/>
          <w:szCs w:val="18"/>
        </w:rPr>
        <w:footnoteRef/>
      </w:r>
      <w:r w:rsidRPr="00D173E8">
        <w:rPr>
          <w:sz w:val="18"/>
          <w:szCs w:val="18"/>
        </w:rPr>
        <w:t xml:space="preserve"> </w:t>
      </w:r>
      <w:r w:rsidRPr="00D173E8">
        <w:rPr>
          <w:i/>
          <w:iCs/>
          <w:sz w:val="18"/>
          <w:szCs w:val="18"/>
        </w:rPr>
        <w:t>Messenger of Magistrates Court Durban v Pillay</w:t>
      </w:r>
      <w:r w:rsidRPr="00D173E8">
        <w:rPr>
          <w:sz w:val="18"/>
          <w:szCs w:val="18"/>
        </w:rPr>
        <w:t xml:space="preserve"> 1952 (3) SA 678 (A).</w:t>
      </w:r>
    </w:p>
  </w:footnote>
  <w:footnote w:id="4">
    <w:p w14:paraId="3D1A5135" w14:textId="0B3F8D89" w:rsidR="005B4F1E" w:rsidRPr="00D173E8" w:rsidRDefault="005B4F1E" w:rsidP="00D173E8">
      <w:pPr>
        <w:pStyle w:val="FootnoteText"/>
        <w:jc w:val="both"/>
        <w:rPr>
          <w:sz w:val="18"/>
          <w:szCs w:val="18"/>
        </w:rPr>
      </w:pPr>
      <w:r w:rsidRPr="00D173E8">
        <w:rPr>
          <w:rStyle w:val="FootnoteReference"/>
          <w:sz w:val="18"/>
          <w:szCs w:val="18"/>
        </w:rPr>
        <w:footnoteRef/>
      </w:r>
      <w:r w:rsidRPr="00D173E8">
        <w:rPr>
          <w:sz w:val="18"/>
          <w:szCs w:val="18"/>
        </w:rPr>
        <w:t xml:space="preserve"> Innocent Maja-</w:t>
      </w:r>
      <w:r w:rsidRPr="00D173E8">
        <w:rPr>
          <w:sz w:val="18"/>
          <w:szCs w:val="18"/>
          <w:u w:val="single"/>
        </w:rPr>
        <w:t>The Law of Contract in Zimbabwe</w:t>
      </w:r>
      <w:r w:rsidRPr="00D173E8">
        <w:rPr>
          <w:sz w:val="18"/>
          <w:szCs w:val="18"/>
        </w:rPr>
        <w:t xml:space="preserve"> (2015) pages 24-25.</w:t>
      </w:r>
    </w:p>
  </w:footnote>
  <w:footnote w:id="5">
    <w:p w14:paraId="0D362715" w14:textId="1D345E0A" w:rsidR="00D173E8" w:rsidRDefault="00D173E8" w:rsidP="00D173E8">
      <w:pPr>
        <w:pStyle w:val="FootnoteText"/>
        <w:jc w:val="both"/>
      </w:pPr>
      <w:r w:rsidRPr="00D173E8">
        <w:rPr>
          <w:rStyle w:val="FootnoteReference"/>
          <w:sz w:val="18"/>
          <w:szCs w:val="18"/>
        </w:rPr>
        <w:footnoteRef/>
      </w:r>
      <w:r w:rsidRPr="00D173E8">
        <w:rPr>
          <w:sz w:val="18"/>
          <w:szCs w:val="18"/>
        </w:rPr>
        <w:t xml:space="preserve"> </w:t>
      </w:r>
      <w:r w:rsidRPr="00D173E8">
        <w:rPr>
          <w:i/>
          <w:iCs/>
          <w:sz w:val="18"/>
          <w:szCs w:val="18"/>
        </w:rPr>
        <w:t>Munyikwa v Mapenzauswa &amp; Anor</w:t>
      </w:r>
      <w:r w:rsidRPr="00D173E8">
        <w:rPr>
          <w:sz w:val="18"/>
          <w:szCs w:val="18"/>
        </w:rPr>
        <w:t xml:space="preserve"> SS 91-05</w:t>
      </w:r>
      <w:r w:rsidRPr="00D173E8">
        <w:t>.</w:t>
      </w:r>
    </w:p>
  </w:footnote>
  <w:footnote w:id="6">
    <w:p w14:paraId="2C0A6CD4" w14:textId="08742DCC" w:rsidR="00F60B4B" w:rsidRDefault="00F60B4B" w:rsidP="00416B5A">
      <w:pPr>
        <w:pStyle w:val="FootnoteText"/>
        <w:jc w:val="both"/>
      </w:pPr>
      <w:r>
        <w:rPr>
          <w:rStyle w:val="FootnoteReference"/>
        </w:rPr>
        <w:footnoteRef/>
      </w:r>
      <w:r>
        <w:t xml:space="preserve"> See the </w:t>
      </w:r>
      <w:r w:rsidRPr="00F60B4B">
        <w:rPr>
          <w:u w:val="single"/>
        </w:rPr>
        <w:t>locus classicus</w:t>
      </w:r>
      <w:r>
        <w:t xml:space="preserve"> </w:t>
      </w:r>
      <w:r w:rsidRPr="00F60B4B">
        <w:rPr>
          <w:i/>
          <w:iCs/>
        </w:rPr>
        <w:t>Zambezi Gas Zimbabwe (Pvt) Ltd v N.R. Barber (Pvt) Ltd &amp; Anor</w:t>
      </w:r>
      <w:r>
        <w:t xml:space="preserve"> SC 3-20 in addition to decisions such </w:t>
      </w:r>
      <w:r w:rsidR="00CC3889">
        <w:t xml:space="preserve">as </w:t>
      </w:r>
      <w:r w:rsidR="00CC3889" w:rsidRPr="00CC3889">
        <w:rPr>
          <w:i/>
          <w:iCs/>
        </w:rPr>
        <w:t>Breastplate</w:t>
      </w:r>
      <w:r w:rsidRPr="00CC3889">
        <w:rPr>
          <w:i/>
          <w:iCs/>
        </w:rPr>
        <w:t xml:space="preserve"> S</w:t>
      </w:r>
      <w:r w:rsidRPr="00F60B4B">
        <w:rPr>
          <w:i/>
          <w:iCs/>
        </w:rPr>
        <w:t>ervices (Pvt) Ltd v Cambria Africa PLC</w:t>
      </w:r>
      <w:r w:rsidRPr="00F60B4B">
        <w:t xml:space="preserve"> SC 66-20; </w:t>
      </w:r>
      <w:r w:rsidR="00CC3889" w:rsidRPr="00CC3889">
        <w:rPr>
          <w:i/>
          <w:iCs/>
        </w:rPr>
        <w:t xml:space="preserve">Barmlo Construction (Pvt) Ltd v Patricia Chivavaya </w:t>
      </w:r>
      <w:r w:rsidR="00CC3889">
        <w:t>SC 73-23;</w:t>
      </w:r>
      <w:r w:rsidR="00CC3889" w:rsidRPr="00F60B4B">
        <w:t xml:space="preserve"> </w:t>
      </w:r>
      <w:r w:rsidR="00CC3889" w:rsidRPr="00CC3889">
        <w:rPr>
          <w:i/>
          <w:iCs/>
        </w:rPr>
        <w:t>Ingalulu Investments (Pvt) Ltd &amp; Anor v NRZ &amp;Anor</w:t>
      </w:r>
      <w:r w:rsidR="00CC3889">
        <w:t xml:space="preserve"> SC 42-22;</w:t>
      </w:r>
      <w:r w:rsidR="00CC3889" w:rsidRPr="00CC3889">
        <w:rPr>
          <w:i/>
          <w:iCs/>
        </w:rPr>
        <w:t xml:space="preserve"> Manica</w:t>
      </w:r>
      <w:r w:rsidRPr="00CC3889">
        <w:rPr>
          <w:i/>
          <w:iCs/>
        </w:rPr>
        <w:t xml:space="preserve"> </w:t>
      </w:r>
      <w:r w:rsidRPr="00F60B4B">
        <w:rPr>
          <w:i/>
          <w:iCs/>
        </w:rPr>
        <w:t>Zimbabwe Ltd v Windmill (Pvt) Ltd</w:t>
      </w:r>
      <w:r>
        <w:t xml:space="preserve"> HH 705-20; </w:t>
      </w:r>
      <w:r w:rsidRPr="00F60B4B">
        <w:rPr>
          <w:i/>
          <w:iCs/>
        </w:rPr>
        <w:t>Joyce T. Mujuru &amp; Anor v Peddy Motors (Pvt) Ltd &amp; Ors</w:t>
      </w:r>
      <w:r>
        <w:t xml:space="preserve"> HH 436-21; </w:t>
      </w:r>
      <w:r w:rsidRPr="00F60B4B">
        <w:rPr>
          <w:i/>
          <w:iCs/>
        </w:rPr>
        <w:t>Manojkumar Jivan v Salzman Et Sie SA &amp; Anor</w:t>
      </w:r>
      <w:r>
        <w:t xml:space="preserve"> HH 242-22;</w:t>
      </w:r>
      <w:r w:rsidR="00CC3889" w:rsidRPr="00CC3889">
        <w:rPr>
          <w:i/>
          <w:iCs/>
        </w:rPr>
        <w:t>Mulhwa v Alpha Media Holdings (Pvt) Ltd &amp; 2 Ors</w:t>
      </w:r>
      <w:r w:rsidR="00CC3889">
        <w:t xml:space="preserve"> HB 117-22</w:t>
      </w:r>
      <w:r w:rsidR="00547305">
        <w:t xml:space="preserve"> and </w:t>
      </w:r>
      <w:r w:rsidR="00547305" w:rsidRPr="00E27AA4">
        <w:rPr>
          <w:i/>
          <w:iCs/>
        </w:rPr>
        <w:t>U</w:t>
      </w:r>
      <w:r w:rsidR="00E27AA4" w:rsidRPr="00E27AA4">
        <w:rPr>
          <w:i/>
          <w:iCs/>
        </w:rPr>
        <w:t>Z</w:t>
      </w:r>
      <w:r w:rsidR="00547305" w:rsidRPr="00E27AA4">
        <w:rPr>
          <w:i/>
          <w:iCs/>
        </w:rPr>
        <w:t>-UCSF Collaborative Research Programme v Isdore Husaihwevhu &amp; 2 Ors</w:t>
      </w:r>
      <w:r w:rsidR="00547305" w:rsidRPr="00547305">
        <w:t xml:space="preserve"> HH 703-22</w:t>
      </w:r>
      <w:r w:rsidR="00416B5A">
        <w:t xml:space="preserve"> </w:t>
      </w:r>
      <w:r w:rsidR="00CC3889">
        <w:t xml:space="preserve">among </w:t>
      </w:r>
      <w:r w:rsidR="00547305">
        <w:t>others</w:t>
      </w:r>
      <w:r w:rsidR="00CC3889">
        <w:t>.</w:t>
      </w:r>
    </w:p>
  </w:footnote>
  <w:footnote w:id="7">
    <w:p w14:paraId="7BB0DE08" w14:textId="5204B2F3" w:rsidR="006B4F02" w:rsidRDefault="006B4F02" w:rsidP="0057006B">
      <w:pPr>
        <w:pStyle w:val="FootnoteText"/>
        <w:jc w:val="both"/>
      </w:pPr>
      <w:r>
        <w:rPr>
          <w:rStyle w:val="FootnoteReference"/>
        </w:rPr>
        <w:footnoteRef/>
      </w:r>
      <w:r>
        <w:t xml:space="preserve"> Whilst the </w:t>
      </w:r>
      <w:r w:rsidR="00FD417A">
        <w:t xml:space="preserve">historical </w:t>
      </w:r>
      <w:r>
        <w:t xml:space="preserve">analysis </w:t>
      </w:r>
      <w:r w:rsidR="00FD417A">
        <w:t xml:space="preserve">and monetary principles </w:t>
      </w:r>
      <w:r w:rsidR="00C02460">
        <w:t xml:space="preserve">expounded </w:t>
      </w:r>
      <w:r w:rsidR="00FD417A">
        <w:t xml:space="preserve">by the court </w:t>
      </w:r>
      <w:r w:rsidR="00C02460">
        <w:t xml:space="preserve">in that matter </w:t>
      </w:r>
      <w:r w:rsidR="00FD417A">
        <w:t>may be considered worthy</w:t>
      </w:r>
      <w:r>
        <w:t xml:space="preserve"> of </w:t>
      </w:r>
      <w:r w:rsidR="00FD417A">
        <w:t xml:space="preserve">reference, it must be noted that the decision was set aside by the Constitutional Court. Accordingly, the </w:t>
      </w:r>
      <w:r w:rsidR="00FD417A" w:rsidRPr="00FD417A">
        <w:rPr>
          <w:i/>
          <w:iCs/>
        </w:rPr>
        <w:t>ratio decidendi</w:t>
      </w:r>
      <w:r w:rsidR="00FD417A">
        <w:t xml:space="preserve"> must be appropriately regarded.</w:t>
      </w:r>
    </w:p>
  </w:footnote>
  <w:footnote w:id="8">
    <w:p w14:paraId="65785A45" w14:textId="0886DDE3" w:rsidR="005B31FE" w:rsidRDefault="005B31FE">
      <w:pPr>
        <w:pStyle w:val="FootnoteText"/>
      </w:pPr>
      <w:r>
        <w:rPr>
          <w:rStyle w:val="FootnoteReference"/>
        </w:rPr>
        <w:footnoteRef/>
      </w:r>
      <w:r>
        <w:t xml:space="preserve"> </w:t>
      </w:r>
      <w:r w:rsidRPr="005B31FE">
        <w:rPr>
          <w:i/>
          <w:iCs/>
        </w:rPr>
        <w:t>See Veronica Nyoni v Bernadette Ndoro N.O</w:t>
      </w:r>
      <w:r>
        <w:t xml:space="preserve"> SC 79-22 on the need to plead the causa with clarity in order to extract a judgment fully addressing such causa. A court must not grant relief on matters outside the causa pleaded.</w:t>
      </w:r>
    </w:p>
  </w:footnote>
  <w:footnote w:id="9">
    <w:p w14:paraId="1CA5B2E1" w14:textId="465C0654" w:rsidR="005B31FE" w:rsidRDefault="005B31FE">
      <w:pPr>
        <w:pStyle w:val="FootnoteText"/>
      </w:pPr>
      <w:r>
        <w:rPr>
          <w:rStyle w:val="FootnoteReference"/>
        </w:rPr>
        <w:footnoteRef/>
      </w:r>
      <w:r>
        <w:t xml:space="preserve"> See </w:t>
      </w:r>
      <w:r w:rsidRPr="005B31FE">
        <w:rPr>
          <w:i/>
          <w:iCs/>
        </w:rPr>
        <w:t>Agson Mafuta Chioza v Smoking Williams Siziba</w:t>
      </w:r>
      <w:r>
        <w:t xml:space="preserve"> SC 4-15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772635"/>
      <w:docPartObj>
        <w:docPartGallery w:val="Page Numbers (Top of Page)"/>
        <w:docPartUnique/>
      </w:docPartObj>
    </w:sdtPr>
    <w:sdtEndPr>
      <w:rPr>
        <w:noProof/>
      </w:rPr>
    </w:sdtEndPr>
    <w:sdtContent>
      <w:p w14:paraId="4C4F8B74" w14:textId="5B6E724C" w:rsidR="0081580D" w:rsidRDefault="0081580D" w:rsidP="00613D67">
        <w:pPr>
          <w:pStyle w:val="Header"/>
          <w:jc w:val="right"/>
          <w:rPr>
            <w:noProof/>
          </w:rPr>
        </w:pPr>
        <w:r>
          <w:fldChar w:fldCharType="begin"/>
        </w:r>
        <w:r>
          <w:instrText xml:space="preserve"> PAGE   \* MERGEFORMAT </w:instrText>
        </w:r>
        <w:r>
          <w:fldChar w:fldCharType="separate"/>
        </w:r>
        <w:r w:rsidR="00613D67">
          <w:rPr>
            <w:noProof/>
          </w:rPr>
          <w:t>1</w:t>
        </w:r>
        <w:r>
          <w:rPr>
            <w:noProof/>
          </w:rPr>
          <w:fldChar w:fldCharType="end"/>
        </w:r>
      </w:p>
      <w:p w14:paraId="1B213301" w14:textId="77777777" w:rsidR="00CC3889" w:rsidRDefault="00CC3889" w:rsidP="00613D67">
        <w:pPr>
          <w:pStyle w:val="Header"/>
          <w:jc w:val="right"/>
          <w:rPr>
            <w:noProof/>
          </w:rPr>
        </w:pPr>
        <w:r>
          <w:rPr>
            <w:noProof/>
          </w:rPr>
          <w:t>HH 499-23</w:t>
        </w:r>
      </w:p>
      <w:p w14:paraId="6750BDF8" w14:textId="52FBA621" w:rsidR="0081580D" w:rsidRDefault="0081580D" w:rsidP="00613D67">
        <w:pPr>
          <w:pStyle w:val="Header"/>
          <w:jc w:val="right"/>
        </w:pPr>
        <w:r>
          <w:rPr>
            <w:noProof/>
          </w:rPr>
          <w:t>HCHC 464/22</w:t>
        </w:r>
      </w:p>
    </w:sdtContent>
  </w:sdt>
  <w:p w14:paraId="3F671F96" w14:textId="77777777" w:rsidR="0081580D" w:rsidRDefault="008158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714"/>
    <w:multiLevelType w:val="hybridMultilevel"/>
    <w:tmpl w:val="85209FD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6BF2B0D"/>
    <w:multiLevelType w:val="hybridMultilevel"/>
    <w:tmpl w:val="9788E3C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E842F3"/>
    <w:multiLevelType w:val="hybridMultilevel"/>
    <w:tmpl w:val="4970B9B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E360DDF"/>
    <w:multiLevelType w:val="hybridMultilevel"/>
    <w:tmpl w:val="8792707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3CB7695"/>
    <w:multiLevelType w:val="hybridMultilevel"/>
    <w:tmpl w:val="032C10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8220E67"/>
    <w:multiLevelType w:val="hybridMultilevel"/>
    <w:tmpl w:val="89085F9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0D"/>
    <w:rsid w:val="00004326"/>
    <w:rsid w:val="00011AE6"/>
    <w:rsid w:val="00016182"/>
    <w:rsid w:val="00030015"/>
    <w:rsid w:val="000414A7"/>
    <w:rsid w:val="00051FE3"/>
    <w:rsid w:val="00055A5B"/>
    <w:rsid w:val="00063146"/>
    <w:rsid w:val="00091A3C"/>
    <w:rsid w:val="000C2832"/>
    <w:rsid w:val="000E27F8"/>
    <w:rsid w:val="000F10A5"/>
    <w:rsid w:val="00117098"/>
    <w:rsid w:val="00117B55"/>
    <w:rsid w:val="00131A85"/>
    <w:rsid w:val="00160B8D"/>
    <w:rsid w:val="001C2E4C"/>
    <w:rsid w:val="002356AB"/>
    <w:rsid w:val="0028675F"/>
    <w:rsid w:val="002A37FA"/>
    <w:rsid w:val="002D320A"/>
    <w:rsid w:val="003247D3"/>
    <w:rsid w:val="00325127"/>
    <w:rsid w:val="00365828"/>
    <w:rsid w:val="00371FDA"/>
    <w:rsid w:val="003A27B3"/>
    <w:rsid w:val="003C117A"/>
    <w:rsid w:val="003C6C8E"/>
    <w:rsid w:val="00416B5A"/>
    <w:rsid w:val="00424BB9"/>
    <w:rsid w:val="0043459A"/>
    <w:rsid w:val="004411CF"/>
    <w:rsid w:val="004A3C39"/>
    <w:rsid w:val="004A65F3"/>
    <w:rsid w:val="004F3B5A"/>
    <w:rsid w:val="00506E60"/>
    <w:rsid w:val="005219FD"/>
    <w:rsid w:val="00546284"/>
    <w:rsid w:val="00547305"/>
    <w:rsid w:val="00551DA0"/>
    <w:rsid w:val="0057006B"/>
    <w:rsid w:val="005B31FE"/>
    <w:rsid w:val="005B4F1E"/>
    <w:rsid w:val="005C0C1C"/>
    <w:rsid w:val="00613D67"/>
    <w:rsid w:val="0064456B"/>
    <w:rsid w:val="00645BFD"/>
    <w:rsid w:val="006815B5"/>
    <w:rsid w:val="006A335B"/>
    <w:rsid w:val="006B4F02"/>
    <w:rsid w:val="006D2DDE"/>
    <w:rsid w:val="006F1A4B"/>
    <w:rsid w:val="007036C6"/>
    <w:rsid w:val="007133A7"/>
    <w:rsid w:val="00743640"/>
    <w:rsid w:val="00752DF8"/>
    <w:rsid w:val="007667AE"/>
    <w:rsid w:val="007B69A4"/>
    <w:rsid w:val="007B7AB0"/>
    <w:rsid w:val="007D0D92"/>
    <w:rsid w:val="0081580D"/>
    <w:rsid w:val="00873656"/>
    <w:rsid w:val="008E6078"/>
    <w:rsid w:val="008F1C14"/>
    <w:rsid w:val="00906385"/>
    <w:rsid w:val="00955E20"/>
    <w:rsid w:val="00967565"/>
    <w:rsid w:val="00975784"/>
    <w:rsid w:val="009B1318"/>
    <w:rsid w:val="009F4CF6"/>
    <w:rsid w:val="00A13CBD"/>
    <w:rsid w:val="00A4416E"/>
    <w:rsid w:val="00A6201B"/>
    <w:rsid w:val="00A649B9"/>
    <w:rsid w:val="00A90589"/>
    <w:rsid w:val="00A93BBA"/>
    <w:rsid w:val="00AC4E83"/>
    <w:rsid w:val="00AD6490"/>
    <w:rsid w:val="00AE2FD2"/>
    <w:rsid w:val="00AF5E66"/>
    <w:rsid w:val="00B159CB"/>
    <w:rsid w:val="00B27AF6"/>
    <w:rsid w:val="00BA341E"/>
    <w:rsid w:val="00BB4AC7"/>
    <w:rsid w:val="00BC2C5E"/>
    <w:rsid w:val="00BC53F8"/>
    <w:rsid w:val="00BD1D9A"/>
    <w:rsid w:val="00C02460"/>
    <w:rsid w:val="00C05909"/>
    <w:rsid w:val="00C13E9D"/>
    <w:rsid w:val="00C3575A"/>
    <w:rsid w:val="00C37069"/>
    <w:rsid w:val="00C55D74"/>
    <w:rsid w:val="00CC3889"/>
    <w:rsid w:val="00CC4DA6"/>
    <w:rsid w:val="00CC6E81"/>
    <w:rsid w:val="00D173E8"/>
    <w:rsid w:val="00D1764B"/>
    <w:rsid w:val="00D37D78"/>
    <w:rsid w:val="00D46B03"/>
    <w:rsid w:val="00D62231"/>
    <w:rsid w:val="00D66345"/>
    <w:rsid w:val="00DA3299"/>
    <w:rsid w:val="00DB43BC"/>
    <w:rsid w:val="00DC5FA0"/>
    <w:rsid w:val="00DF49BF"/>
    <w:rsid w:val="00E27AA4"/>
    <w:rsid w:val="00E42646"/>
    <w:rsid w:val="00EB282F"/>
    <w:rsid w:val="00ED39F1"/>
    <w:rsid w:val="00EF3C48"/>
    <w:rsid w:val="00F501E4"/>
    <w:rsid w:val="00F60B4B"/>
    <w:rsid w:val="00F830F2"/>
    <w:rsid w:val="00F836FD"/>
    <w:rsid w:val="00FD417A"/>
    <w:rsid w:val="00FF6A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1171"/>
  <w15:docId w15:val="{B53EC03E-54C2-47D2-B6BD-99402C61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80D"/>
  </w:style>
  <w:style w:type="paragraph" w:styleId="Footer">
    <w:name w:val="footer"/>
    <w:basedOn w:val="Normal"/>
    <w:link w:val="FooterChar"/>
    <w:uiPriority w:val="99"/>
    <w:unhideWhenUsed/>
    <w:rsid w:val="00815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80D"/>
  </w:style>
  <w:style w:type="paragraph" w:styleId="NoSpacing">
    <w:name w:val="No Spacing"/>
    <w:uiPriority w:val="1"/>
    <w:qFormat/>
    <w:rsid w:val="007133A7"/>
    <w:pPr>
      <w:spacing w:after="0" w:line="240" w:lineRule="auto"/>
    </w:pPr>
  </w:style>
  <w:style w:type="paragraph" w:styleId="FootnoteText">
    <w:name w:val="footnote text"/>
    <w:basedOn w:val="Normal"/>
    <w:link w:val="FootnoteTextChar"/>
    <w:uiPriority w:val="99"/>
    <w:semiHidden/>
    <w:unhideWhenUsed/>
    <w:rsid w:val="00160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B8D"/>
    <w:rPr>
      <w:sz w:val="20"/>
      <w:szCs w:val="20"/>
    </w:rPr>
  </w:style>
  <w:style w:type="character" w:styleId="FootnoteReference">
    <w:name w:val="footnote reference"/>
    <w:basedOn w:val="DefaultParagraphFont"/>
    <w:uiPriority w:val="99"/>
    <w:semiHidden/>
    <w:unhideWhenUsed/>
    <w:rsid w:val="00160B8D"/>
    <w:rPr>
      <w:vertAlign w:val="superscript"/>
    </w:rPr>
  </w:style>
  <w:style w:type="paragraph" w:styleId="ListParagraph">
    <w:name w:val="List Paragraph"/>
    <w:basedOn w:val="Normal"/>
    <w:uiPriority w:val="34"/>
    <w:qFormat/>
    <w:rsid w:val="00873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4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2023-08-30T14:18:00Z</cp:lastPrinted>
  <dcterms:created xsi:type="dcterms:W3CDTF">2023-09-06T13:09:00Z</dcterms:created>
  <dcterms:modified xsi:type="dcterms:W3CDTF">2023-09-06T13:09:00Z</dcterms:modified>
</cp:coreProperties>
</file>