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AA" w:rsidRDefault="00DA3E3F" w:rsidP="006E7A4E">
      <w:pPr>
        <w:pBdr>
          <w:top w:val="nil"/>
          <w:left w:val="nil"/>
          <w:bottom w:val="nil"/>
          <w:right w:val="nil"/>
          <w:between w:val="nil"/>
          <w:bar w:val="nil"/>
        </w:pBdr>
        <w:tabs>
          <w:tab w:val="left" w:pos="2552"/>
        </w:tabs>
        <w:spacing w:after="0" w:line="480" w:lineRule="auto"/>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pPr>
      <w:r w:rsidRPr="00DA3E3F">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t xml:space="preserve">REPORTABLE  </w:t>
      </w:r>
      <w:r>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t xml:space="preserve"> </w:t>
      </w:r>
      <w:r w:rsidRPr="00DA3E3F">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t>(</w:t>
      </w:r>
      <w:r w:rsidR="00F60852">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t>51</w:t>
      </w:r>
      <w:r w:rsidRPr="00DA3E3F">
        <w:rPr>
          <w:rFonts w:ascii="Times New Roman" w:eastAsia="Times New Roman" w:hAnsi="Times New Roman" w:cs="Times New Roman"/>
          <w:b/>
          <w:bCs/>
          <w:color w:val="000000"/>
          <w:sz w:val="24"/>
          <w:szCs w:val="24"/>
          <w:u w:val="single" w:color="000000"/>
          <w:bdr w:val="nil"/>
          <w14:textOutline w14:w="0" w14:cap="flat" w14:cmpd="sng" w14:algn="ctr">
            <w14:noFill/>
            <w14:prstDash w14:val="solid"/>
            <w14:bevel/>
          </w14:textOutline>
        </w:rPr>
        <w:t>)</w:t>
      </w:r>
    </w:p>
    <w:p w:rsidR="00337BD4" w:rsidRDefault="00337BD4" w:rsidP="00D37292">
      <w:pPr>
        <w:pBdr>
          <w:top w:val="nil"/>
          <w:left w:val="nil"/>
          <w:bottom w:val="nil"/>
          <w:right w:val="nil"/>
          <w:between w:val="nil"/>
          <w:bar w:val="nil"/>
        </w:pBdr>
        <w:tabs>
          <w:tab w:val="left" w:pos="2552"/>
        </w:tabs>
        <w:spacing w:after="0" w:line="240" w:lineRule="auto"/>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
    <w:p w:rsidR="00F934A9" w:rsidRPr="00D37292" w:rsidRDefault="00F934A9" w:rsidP="00D37292">
      <w:pPr>
        <w:pBdr>
          <w:top w:val="nil"/>
          <w:left w:val="nil"/>
          <w:bottom w:val="nil"/>
          <w:right w:val="nil"/>
          <w:between w:val="nil"/>
          <w:bar w:val="nil"/>
        </w:pBdr>
        <w:tabs>
          <w:tab w:val="left" w:pos="2552"/>
        </w:tabs>
        <w:spacing w:after="0" w:line="240" w:lineRule="auto"/>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BDO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ZIMBABWE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CHARTERED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ACCOUNTANTS</w:t>
      </w:r>
    </w:p>
    <w:p w:rsidR="00D37292" w:rsidRPr="00D37292" w:rsidRDefault="00D37292" w:rsidP="00D37292">
      <w:pPr>
        <w:pBdr>
          <w:top w:val="nil"/>
          <w:left w:val="nil"/>
          <w:bottom w:val="nil"/>
          <w:right w:val="nil"/>
          <w:between w:val="nil"/>
          <w:bar w:val="nil"/>
        </w:pBdr>
        <w:spacing w:after="0" w:line="240" w:lineRule="auto"/>
        <w:ind w:left="720"/>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roofErr w:type="gramStart"/>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v</w:t>
      </w:r>
      <w:proofErr w:type="gramEnd"/>
    </w:p>
    <w:p w:rsidR="00F934A9" w:rsidRPr="00D37292" w:rsidRDefault="00F934A9" w:rsidP="00D37292">
      <w:pPr>
        <w:pStyle w:val="ListParagraph"/>
        <w:numPr>
          <w:ilvl w:val="0"/>
          <w:numId w:val="10"/>
        </w:num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ROBIN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VELA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(2)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906FAB"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THE </w:t>
      </w:r>
      <w:r w:rsidR="00D37292"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B43646"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AUDITOR-GENERAL</w:t>
      </w:r>
    </w:p>
    <w:p w:rsidR="00D37292" w:rsidRPr="00D37292" w:rsidRDefault="00D37292" w:rsidP="00D37292">
      <w:pPr>
        <w:pStyle w:val="ListParagraph"/>
        <w:pBdr>
          <w:top w:val="nil"/>
          <w:left w:val="nil"/>
          <w:bottom w:val="nil"/>
          <w:right w:val="nil"/>
          <w:between w:val="nil"/>
          <w:bar w:val="nil"/>
        </w:pBdr>
        <w:spacing w:line="240" w:lineRule="auto"/>
        <w:ind w:left="1080"/>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
    <w:p w:rsidR="00F934A9" w:rsidRPr="001D39B0" w:rsidRDefault="00F934A9" w:rsidP="00D37292">
      <w:pPr>
        <w:pStyle w:val="ListParagraph"/>
        <w:pBdr>
          <w:top w:val="nil"/>
          <w:left w:val="nil"/>
          <w:bottom w:val="nil"/>
          <w:right w:val="nil"/>
          <w:between w:val="nil"/>
          <w:bar w:val="nil"/>
        </w:pBdr>
        <w:spacing w:line="240" w:lineRule="auto"/>
        <w:ind w:left="1080"/>
        <w:jc w:val="center"/>
        <w:rPr>
          <w:rFonts w:ascii="Times New Roman" w:eastAsia="Times New Roman" w:hAnsi="Times New Roman" w:cs="Times New Roman"/>
          <w:bCs/>
          <w:color w:val="000000"/>
          <w:sz w:val="24"/>
          <w:szCs w:val="24"/>
          <w:u w:color="000000"/>
          <w:bdr w:val="nil"/>
          <w14:textOutline w14:w="0" w14:cap="flat" w14:cmpd="sng" w14:algn="ctr">
            <w14:noFill/>
            <w14:prstDash w14:val="solid"/>
            <w14:bevel/>
          </w14:textOutline>
        </w:rPr>
      </w:pPr>
      <w:r w:rsidRPr="001D39B0">
        <w:rPr>
          <w:rFonts w:ascii="Times New Roman" w:eastAsia="Times New Roman" w:hAnsi="Times New Roman" w:cs="Times New Roman"/>
          <w:bCs/>
          <w:color w:val="000000"/>
          <w:sz w:val="24"/>
          <w:szCs w:val="24"/>
          <w:u w:color="000000"/>
          <w:bdr w:val="nil"/>
          <w14:textOutline w14:w="0" w14:cap="flat" w14:cmpd="sng" w14:algn="ctr">
            <w14:noFill/>
            <w14:prstDash w14:val="solid"/>
            <w14:bevel/>
          </w14:textOutline>
        </w:rPr>
        <w:t>And</w:t>
      </w:r>
    </w:p>
    <w:p w:rsidR="00F934A9" w:rsidRPr="001D39B0" w:rsidRDefault="00F934A9" w:rsidP="00D37292">
      <w:pPr>
        <w:pStyle w:val="ListParagraph"/>
        <w:pBdr>
          <w:top w:val="nil"/>
          <w:left w:val="nil"/>
          <w:bottom w:val="nil"/>
          <w:right w:val="nil"/>
          <w:between w:val="nil"/>
          <w:bar w:val="nil"/>
        </w:pBdr>
        <w:spacing w:line="240" w:lineRule="auto"/>
        <w:ind w:left="1080"/>
        <w:jc w:val="center"/>
        <w:rPr>
          <w:rFonts w:ascii="Times New Roman" w:eastAsia="Times New Roman" w:hAnsi="Times New Roman" w:cs="Times New Roman"/>
          <w:bCs/>
          <w:color w:val="000000"/>
          <w:sz w:val="24"/>
          <w:szCs w:val="24"/>
          <w:u w:color="000000"/>
          <w:bdr w:val="nil"/>
          <w14:textOutline w14:w="0" w14:cap="flat" w14:cmpd="sng" w14:algn="ctr">
            <w14:noFill/>
            <w14:prstDash w14:val="solid"/>
            <w14:bevel/>
          </w14:textOutline>
        </w:rPr>
      </w:pPr>
    </w:p>
    <w:p w:rsidR="00F934A9" w:rsidRPr="00D37292" w:rsidRDefault="00906FAB" w:rsidP="00D37292">
      <w:pPr>
        <w:pStyle w:val="ListParagraph"/>
        <w:pBdr>
          <w:top w:val="nil"/>
          <w:left w:val="nil"/>
          <w:bottom w:val="nil"/>
          <w:right w:val="nil"/>
          <w:between w:val="nil"/>
          <w:bar w:val="nil"/>
        </w:pBdr>
        <w:tabs>
          <w:tab w:val="left" w:pos="1985"/>
        </w:tabs>
        <w:spacing w:after="0" w:line="240" w:lineRule="auto"/>
        <w:ind w:left="1985"/>
        <w:jc w:val="center"/>
        <w:rPr>
          <w:rFonts w:ascii="Times New Roman" w:eastAsia="Arial Unicode MS" w:hAnsi="Times New Roman" w:cs="Times New Roman"/>
          <w:b/>
          <w:bCs/>
          <w:color w:val="000000"/>
          <w:sz w:val="24"/>
          <w:szCs w:val="24"/>
          <w:u w:color="000000"/>
          <w:bdr w:val="nil"/>
          <w:lang w:val="en-ZA"/>
          <w14:textOutline w14:w="0" w14:cap="flat" w14:cmpd="sng" w14:algn="ctr">
            <w14:noFill/>
            <w14:prstDash w14:val="solid"/>
            <w14:bevel/>
          </w14:textOutline>
        </w:rPr>
      </w:pPr>
      <w:r w:rsidRPr="00D37292">
        <w:rPr>
          <w:rFonts w:ascii="Times New Roman" w:eastAsia="Arial Unicode MS" w:hAnsi="Times New Roman" w:cs="Times New Roman"/>
          <w:b/>
          <w:bCs/>
          <w:color w:val="000000"/>
          <w:sz w:val="24"/>
          <w:szCs w:val="24"/>
          <w:u w:color="000000"/>
          <w:bdr w:val="nil"/>
          <w:lang w:val="en-ZA"/>
          <w14:textOutline w14:w="0" w14:cap="flat" w14:cmpd="sng" w14:algn="ctr">
            <w14:noFill/>
            <w14:prstDash w14:val="solid"/>
            <w14:bevel/>
          </w14:textOutline>
        </w:rPr>
        <w:t xml:space="preserve">THE </w:t>
      </w:r>
      <w:r w:rsidR="00D37292">
        <w:rPr>
          <w:rFonts w:ascii="Times New Roman" w:eastAsia="Arial Unicode MS" w:hAnsi="Times New Roman" w:cs="Times New Roman"/>
          <w:b/>
          <w:bCs/>
          <w:color w:val="000000"/>
          <w:sz w:val="24"/>
          <w:szCs w:val="24"/>
          <w:u w:color="000000"/>
          <w:bdr w:val="nil"/>
          <w:lang w:val="en-ZA"/>
          <w14:textOutline w14:w="0" w14:cap="flat" w14:cmpd="sng" w14:algn="ctr">
            <w14:noFill/>
            <w14:prstDash w14:val="solid"/>
            <w14:bevel/>
          </w14:textOutline>
        </w:rPr>
        <w:t xml:space="preserve">    </w:t>
      </w:r>
      <w:r w:rsidR="00B43646" w:rsidRPr="00D37292">
        <w:rPr>
          <w:rFonts w:ascii="Times New Roman" w:eastAsia="Arial Unicode MS" w:hAnsi="Times New Roman" w:cs="Times New Roman"/>
          <w:b/>
          <w:bCs/>
          <w:color w:val="000000"/>
          <w:sz w:val="24"/>
          <w:szCs w:val="24"/>
          <w:u w:color="000000"/>
          <w:bdr w:val="nil"/>
          <w:lang w:val="en-ZA"/>
          <w14:textOutline w14:w="0" w14:cap="flat" w14:cmpd="sng" w14:algn="ctr">
            <w14:noFill/>
            <w14:prstDash w14:val="solid"/>
            <w14:bevel/>
          </w14:textOutline>
        </w:rPr>
        <w:t>AUDITOR-GENERAL</w:t>
      </w:r>
    </w:p>
    <w:p w:rsidR="00F934A9" w:rsidRPr="00D37292" w:rsidRDefault="0061321B" w:rsidP="00D37292">
      <w:pPr>
        <w:pBdr>
          <w:top w:val="nil"/>
          <w:left w:val="nil"/>
          <w:bottom w:val="nil"/>
          <w:right w:val="nil"/>
          <w:between w:val="nil"/>
          <w:bar w:val="nil"/>
        </w:pBdr>
        <w:spacing w:after="0" w:line="240" w:lineRule="auto"/>
        <w:ind w:left="720"/>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roofErr w:type="gramStart"/>
      <w:r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v</w:t>
      </w:r>
      <w:proofErr w:type="gramEnd"/>
    </w:p>
    <w:p w:rsidR="00F934A9" w:rsidRPr="00D37292" w:rsidRDefault="00D37292" w:rsidP="00D37292">
      <w:pPr>
        <w:pStyle w:val="ListParagraph"/>
        <w:numPr>
          <w:ilvl w:val="0"/>
          <w:numId w:val="1"/>
        </w:num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ROBIN </w:t>
      </w: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VELA </w:t>
      </w: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(2) </w:t>
      </w: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BDO </w:t>
      </w: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ZIMBABWE </w:t>
      </w:r>
      <w:r>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CHARTE</w:t>
      </w:r>
      <w:r w:rsidR="009E6224">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RE</w:t>
      </w:r>
      <w:r w:rsidR="00F934A9" w:rsidRPr="00D37292">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t>D ACCOUNTANTS</w:t>
      </w:r>
    </w:p>
    <w:p w:rsidR="00F934A9" w:rsidRPr="00D37292" w:rsidRDefault="00F934A9" w:rsidP="00D37292">
      <w:pPr>
        <w:pBdr>
          <w:top w:val="nil"/>
          <w:left w:val="nil"/>
          <w:bottom w:val="nil"/>
          <w:right w:val="nil"/>
          <w:between w:val="nil"/>
          <w:bar w:val="nil"/>
        </w:pBdr>
        <w:spacing w:after="0" w:line="240" w:lineRule="auto"/>
        <w:ind w:left="360"/>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
    <w:p w:rsidR="00F934A9" w:rsidRPr="001D39B0" w:rsidRDefault="00F934A9" w:rsidP="00F934A9">
      <w:pPr>
        <w:pBdr>
          <w:top w:val="nil"/>
          <w:left w:val="nil"/>
          <w:bottom w:val="nil"/>
          <w:right w:val="nil"/>
          <w:between w:val="nil"/>
          <w:bar w:val="nil"/>
        </w:pBdr>
        <w:spacing w:line="240" w:lineRule="auto"/>
        <w:ind w:left="720"/>
        <w:jc w:val="center"/>
        <w:rPr>
          <w:rFonts w:ascii="Times New Roman" w:eastAsia="Times New Roman" w:hAnsi="Times New Roman" w:cs="Times New Roman"/>
          <w:bCs/>
          <w:color w:val="000000"/>
          <w:sz w:val="24"/>
          <w:szCs w:val="24"/>
          <w:u w:color="000000"/>
          <w:bdr w:val="nil"/>
          <w14:textOutline w14:w="0" w14:cap="flat" w14:cmpd="sng" w14:algn="ctr">
            <w14:noFill/>
            <w14:prstDash w14:val="solid"/>
            <w14:bevel/>
          </w14:textOutline>
        </w:rPr>
      </w:pPr>
    </w:p>
    <w:p w:rsidR="00F934A9" w:rsidRPr="00D37292" w:rsidRDefault="00F934A9" w:rsidP="00F934A9">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3729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SUPREME COURT OF ZIMBABWE</w:t>
      </w:r>
    </w:p>
    <w:p w:rsidR="00F934A9" w:rsidRPr="00D37292" w:rsidRDefault="00F934A9" w:rsidP="00F934A9">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r w:rsidRPr="00D3729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UCHENA JA, KUDYA JA &amp; CHATUKUTA JA</w:t>
      </w:r>
    </w:p>
    <w:p w:rsidR="00F934A9" w:rsidRPr="00D37292" w:rsidRDefault="00F934A9" w:rsidP="00F934A9">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r w:rsidRPr="00D3729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HARARE:  23 SEPTEMBER 2024,</w:t>
      </w:r>
      <w:r w:rsidR="00900AAC">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16 OCTOBER 2024 &amp; </w:t>
      </w:r>
      <w:r w:rsidR="00F6085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3</w:t>
      </w:r>
      <w:r w:rsidR="00900AAC">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sidR="00D37292" w:rsidRPr="00D3729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JU</w:t>
      </w:r>
      <w:r w:rsidR="00900AAC">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LY</w:t>
      </w:r>
      <w:r w:rsidR="00D37292" w:rsidRPr="00D3729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2025</w:t>
      </w:r>
    </w:p>
    <w:p w:rsidR="00F934A9" w:rsidRDefault="00F934A9" w:rsidP="00F934A9">
      <w:pPr>
        <w:pBdr>
          <w:top w:val="nil"/>
          <w:left w:val="nil"/>
          <w:bottom w:val="nil"/>
          <w:right w:val="nil"/>
          <w:between w:val="nil"/>
          <w:bar w:val="nil"/>
        </w:pBdr>
        <w:spacing w:after="0" w:line="480" w:lineRule="auto"/>
        <w:jc w:val="both"/>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
    <w:p w:rsidR="00D37292" w:rsidRPr="001D39B0" w:rsidRDefault="00D37292" w:rsidP="00D37292">
      <w:pPr>
        <w:pBdr>
          <w:top w:val="nil"/>
          <w:left w:val="nil"/>
          <w:bottom w:val="nil"/>
          <w:right w:val="nil"/>
          <w:between w:val="nil"/>
          <w:bar w:val="nil"/>
        </w:pBdr>
        <w:spacing w:after="0" w:line="240" w:lineRule="auto"/>
        <w:jc w:val="both"/>
        <w:rPr>
          <w:rFonts w:ascii="Times New Roman" w:eastAsia="Times New Roman" w:hAnsi="Times New Roman" w:cs="Times New Roman"/>
          <w:b/>
          <w:bCs/>
          <w:color w:val="000000"/>
          <w:sz w:val="24"/>
          <w:szCs w:val="24"/>
          <w:u w:color="000000"/>
          <w:bdr w:val="nil"/>
          <w14:textOutline w14:w="0" w14:cap="flat" w14:cmpd="sng" w14:algn="ctr">
            <w14:noFill/>
            <w14:prstDash w14:val="solid"/>
            <w14:bevel/>
          </w14:textOutline>
        </w:rPr>
      </w:pPr>
    </w:p>
    <w:p w:rsidR="00F934A9" w:rsidRPr="001D39B0" w:rsidRDefault="00F934A9" w:rsidP="00F934A9">
      <w:pPr>
        <w:pBdr>
          <w:top w:val="nil"/>
          <w:left w:val="nil"/>
          <w:bottom w:val="nil"/>
          <w:right w:val="nil"/>
          <w:between w:val="nil"/>
          <w:bar w:val="nil"/>
        </w:pBdr>
        <w:spacing w:after="0" w:line="480" w:lineRule="auto"/>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r w:rsidRPr="001D39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1D39B0">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T</w:t>
      </w:r>
      <w:r w:rsidR="00D37292">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w:t>
      </w:r>
      <w:r w:rsidRPr="001D39B0">
        <w:rPr>
          <w:rFonts w:ascii="Times New Roman" w:eastAsia="Arial Unicode MS" w:hAnsi="Times New Roman" w:cs="Times New Roman"/>
          <w:i/>
          <w:iCs/>
          <w:color w:val="000000"/>
          <w:sz w:val="24"/>
          <w:szCs w:val="24"/>
          <w:u w:color="000000"/>
          <w:bdr w:val="nil"/>
          <w14:textOutline w14:w="0" w14:cap="flat" w14:cmpd="sng" w14:algn="ctr">
            <w14:noFill/>
            <w14:prstDash w14:val="solid"/>
            <w14:bevel/>
          </w14:textOutline>
        </w:rPr>
        <w:t xml:space="preserve"> Zhuwarara</w:t>
      </w:r>
      <w:r w:rsidRPr="001D39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for the first appellant</w:t>
      </w:r>
    </w:p>
    <w:p w:rsidR="00F934A9" w:rsidRPr="001D39B0" w:rsidRDefault="00F934A9" w:rsidP="00F934A9">
      <w:pPr>
        <w:pBdr>
          <w:top w:val="nil"/>
          <w:left w:val="nil"/>
          <w:bottom w:val="nil"/>
          <w:right w:val="nil"/>
          <w:between w:val="nil"/>
          <w:bar w:val="nil"/>
        </w:pBdr>
        <w:spacing w:after="0" w:line="48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1D39B0">
        <w:rPr>
          <w:rFonts w:ascii="Times New Roman" w:eastAsia="Arial Unicode MS" w:hAnsi="Times New Roman" w:cs="Times New Roman"/>
          <w:i/>
          <w:iCs/>
          <w:color w:val="000000"/>
          <w:sz w:val="24"/>
          <w:szCs w:val="24"/>
          <w:u w:color="000000"/>
          <w:bdr w:val="nil"/>
          <w:lang w:val="it-IT"/>
          <w14:textOutline w14:w="0" w14:cap="flat" w14:cmpd="sng" w14:algn="ctr">
            <w14:noFill/>
            <w14:prstDash w14:val="solid"/>
            <w14:bevel/>
          </w14:textOutline>
        </w:rPr>
        <w:t>T</w:t>
      </w:r>
      <w:r w:rsidR="00D37292">
        <w:rPr>
          <w:rFonts w:ascii="Times New Roman" w:eastAsia="Arial Unicode MS" w:hAnsi="Times New Roman" w:cs="Times New Roman"/>
          <w:i/>
          <w:iCs/>
          <w:color w:val="000000"/>
          <w:sz w:val="24"/>
          <w:szCs w:val="24"/>
          <w:u w:color="000000"/>
          <w:bdr w:val="nil"/>
          <w:lang w:val="it-IT"/>
          <w14:textOutline w14:w="0" w14:cap="flat" w14:cmpd="sng" w14:algn="ctr">
            <w14:noFill/>
            <w14:prstDash w14:val="solid"/>
            <w14:bevel/>
          </w14:textOutline>
        </w:rPr>
        <w:t>.</w:t>
      </w:r>
      <w:r w:rsidRPr="001D39B0">
        <w:rPr>
          <w:rFonts w:ascii="Times New Roman" w:eastAsia="Arial Unicode MS" w:hAnsi="Times New Roman" w:cs="Times New Roman"/>
          <w:i/>
          <w:iCs/>
          <w:color w:val="000000"/>
          <w:sz w:val="24"/>
          <w:szCs w:val="24"/>
          <w:u w:color="000000"/>
          <w:bdr w:val="nil"/>
          <w:lang w:val="it-IT"/>
          <w14:textOutline w14:w="0" w14:cap="flat" w14:cmpd="sng" w14:algn="ctr">
            <w14:noFill/>
            <w14:prstDash w14:val="solid"/>
            <w14:bevel/>
          </w14:textOutline>
        </w:rPr>
        <w:t xml:space="preserve"> Magwaliba, </w:t>
      </w:r>
      <w:r w:rsidRPr="001D39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for the second appellant  </w:t>
      </w:r>
    </w:p>
    <w:p w:rsidR="00F934A9" w:rsidRPr="001D39B0" w:rsidRDefault="00906FAB" w:rsidP="00F934A9">
      <w:pPr>
        <w:pBdr>
          <w:top w:val="nil"/>
          <w:left w:val="nil"/>
          <w:bottom w:val="nil"/>
          <w:right w:val="nil"/>
          <w:between w:val="nil"/>
          <w:bar w:val="nil"/>
        </w:pBdr>
        <w:spacing w:after="0" w:line="480" w:lineRule="auto"/>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L</w:t>
      </w:r>
      <w:r w:rsidR="00D37292">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w:t>
      </w:r>
      <w:r>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 </w:t>
      </w:r>
      <w:proofErr w:type="spellStart"/>
      <w:r>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Madhuk</w:t>
      </w:r>
      <w:r w:rsidR="00F934A9" w:rsidRPr="001D39B0">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u</w:t>
      </w:r>
      <w:proofErr w:type="spellEnd"/>
      <w:r w:rsidR="00F934A9" w:rsidRPr="001D39B0">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 </w:t>
      </w:r>
      <w:r w:rsidR="00F934A9" w:rsidRPr="00D3729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with</w:t>
      </w:r>
      <w:r w:rsidR="00F934A9" w:rsidRPr="001D39B0">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 </w:t>
      </w:r>
      <w:r w:rsidR="00F934A9">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L. </w:t>
      </w:r>
      <w:proofErr w:type="spellStart"/>
      <w:r w:rsidR="00F934A9">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Uriri</w:t>
      </w:r>
      <w:proofErr w:type="spellEnd"/>
      <w:r w:rsidR="00F934A9">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 </w:t>
      </w:r>
      <w:r w:rsidR="00D37292" w:rsidRPr="00D3729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and</w:t>
      </w:r>
      <w:r w:rsidR="00F934A9" w:rsidRPr="00D3729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F934A9" w:rsidRPr="001D39B0">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 xml:space="preserve">M. </w:t>
      </w:r>
      <w:proofErr w:type="spellStart"/>
      <w:r w:rsidR="00F934A9" w:rsidRPr="001D39B0">
        <w:rPr>
          <w:rFonts w:ascii="Times New Roman" w:eastAsia="Arial Unicode MS" w:hAnsi="Times New Roman" w:cs="Times New Roman"/>
          <w:i/>
          <w:color w:val="000000"/>
          <w:sz w:val="24"/>
          <w:szCs w:val="24"/>
          <w:u w:color="000000"/>
          <w:bdr w:val="nil"/>
          <w14:textOutline w14:w="0" w14:cap="flat" w14:cmpd="sng" w14:algn="ctr">
            <w14:noFill/>
            <w14:prstDash w14:val="solid"/>
            <w14:bevel/>
          </w14:textOutline>
        </w:rPr>
        <w:t>Ndlovu</w:t>
      </w:r>
      <w:proofErr w:type="spellEnd"/>
      <w:r w:rsidR="00F934A9" w:rsidRPr="001D39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for the respondent  </w:t>
      </w:r>
    </w:p>
    <w:p w:rsidR="00F934A9" w:rsidRPr="001D39B0" w:rsidRDefault="00F934A9" w:rsidP="00D37292">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rsidR="00F934A9" w:rsidRPr="001D39B0" w:rsidRDefault="00F934A9" w:rsidP="00D37292">
      <w:pPr>
        <w:spacing w:after="0" w:line="480" w:lineRule="auto"/>
        <w:jc w:val="both"/>
        <w:rPr>
          <w:rFonts w:ascii="Times New Roman" w:eastAsia="Arial Unicode MS" w:hAnsi="Times New Roman" w:cs="Times New Roman"/>
          <w:bCs/>
          <w:sz w:val="24"/>
          <w:szCs w:val="24"/>
          <w:bdr w:val="nil"/>
        </w:rPr>
      </w:pPr>
      <w:r w:rsidRPr="001D39B0">
        <w:rPr>
          <w:rFonts w:ascii="Times New Roman" w:eastAsia="Arial Unicode MS" w:hAnsi="Times New Roman" w:cs="Times New Roman"/>
          <w:b/>
          <w:bCs/>
          <w:sz w:val="24"/>
          <w:szCs w:val="24"/>
          <w:bdr w:val="nil"/>
          <w:lang w:val="de-DE"/>
        </w:rPr>
        <w:t>CHATUKUTA</w:t>
      </w:r>
      <w:r w:rsidRPr="001D39B0">
        <w:rPr>
          <w:rFonts w:ascii="Times New Roman" w:eastAsia="Arial Unicode MS" w:hAnsi="Times New Roman" w:cs="Times New Roman"/>
          <w:b/>
          <w:bCs/>
          <w:sz w:val="24"/>
          <w:szCs w:val="24"/>
          <w:bdr w:val="nil"/>
        </w:rPr>
        <w:t xml:space="preserve"> JA:</w:t>
      </w:r>
      <w:r w:rsidRPr="001D39B0">
        <w:rPr>
          <w:rFonts w:ascii="Times New Roman" w:eastAsia="Arial Unicode MS" w:hAnsi="Times New Roman" w:cs="Times New Roman"/>
          <w:bCs/>
          <w:sz w:val="24"/>
          <w:szCs w:val="24"/>
          <w:bdr w:val="nil"/>
        </w:rPr>
        <w:t xml:space="preserve"> </w:t>
      </w:r>
    </w:p>
    <w:p w:rsidR="00F934A9" w:rsidRPr="006043AD" w:rsidRDefault="00F934A9" w:rsidP="008164AF">
      <w:pPr>
        <w:pStyle w:val="ListParagraph"/>
        <w:numPr>
          <w:ilvl w:val="0"/>
          <w:numId w:val="6"/>
        </w:numPr>
        <w:spacing w:after="0" w:line="480" w:lineRule="auto"/>
        <w:ind w:left="270" w:hanging="270"/>
        <w:jc w:val="both"/>
        <w:rPr>
          <w:rFonts w:ascii="Times New Roman" w:eastAsia="Arial Unicode MS" w:hAnsi="Times New Roman" w:cs="Times New Roman"/>
          <w:bCs/>
          <w:sz w:val="24"/>
          <w:szCs w:val="24"/>
          <w:bdr w:val="nil"/>
        </w:rPr>
      </w:pPr>
      <w:r w:rsidRPr="001D39B0">
        <w:rPr>
          <w:rFonts w:ascii="Times New Roman" w:eastAsia="Calibri" w:hAnsi="Times New Roman" w:cs="Times New Roman"/>
          <w:sz w:val="24"/>
          <w:szCs w:val="24"/>
        </w:rPr>
        <w:t xml:space="preserve">This is an appeal against the whole judgment of the High Court (the court </w:t>
      </w:r>
      <w:r w:rsidRPr="001D39B0">
        <w:rPr>
          <w:rFonts w:ascii="Times New Roman" w:eastAsia="Calibri" w:hAnsi="Times New Roman" w:cs="Times New Roman"/>
          <w:i/>
          <w:sz w:val="24"/>
          <w:szCs w:val="24"/>
        </w:rPr>
        <w:t>a quo</w:t>
      </w:r>
      <w:r w:rsidRPr="001D39B0">
        <w:rPr>
          <w:rFonts w:ascii="Times New Roman" w:eastAsia="Calibri" w:hAnsi="Times New Roman" w:cs="Times New Roman"/>
          <w:sz w:val="24"/>
          <w:szCs w:val="24"/>
        </w:rPr>
        <w:t xml:space="preserve">) </w:t>
      </w:r>
      <w:r w:rsidRPr="001D39B0">
        <w:rPr>
          <w:rFonts w:ascii="Times New Roman" w:hAnsi="Times New Roman" w:cs="Times New Roman"/>
          <w:sz w:val="24"/>
          <w:szCs w:val="24"/>
        </w:rPr>
        <w:t>handed down on 17 June 2020 u</w:t>
      </w:r>
      <w:r w:rsidR="006043AD">
        <w:rPr>
          <w:rFonts w:ascii="Times New Roman" w:hAnsi="Times New Roman" w:cs="Times New Roman"/>
          <w:sz w:val="24"/>
          <w:szCs w:val="24"/>
        </w:rPr>
        <w:t xml:space="preserve">nder judgment number HH-405-20.  </w:t>
      </w:r>
      <w:r w:rsidRPr="001D39B0">
        <w:rPr>
          <w:rFonts w:ascii="Times New Roman" w:hAnsi="Times New Roman" w:cs="Times New Roman"/>
          <w:sz w:val="24"/>
          <w:szCs w:val="24"/>
        </w:rPr>
        <w:t xml:space="preserve">The court </w:t>
      </w:r>
      <w:r w:rsidRPr="001D39B0">
        <w:rPr>
          <w:rFonts w:ascii="Times New Roman" w:hAnsi="Times New Roman" w:cs="Times New Roman"/>
          <w:i/>
          <w:sz w:val="24"/>
          <w:szCs w:val="24"/>
        </w:rPr>
        <w:t>a quo</w:t>
      </w:r>
      <w:r w:rsidRPr="001D39B0">
        <w:rPr>
          <w:rFonts w:ascii="Times New Roman" w:hAnsi="Times New Roman" w:cs="Times New Roman"/>
          <w:sz w:val="24"/>
          <w:szCs w:val="24"/>
        </w:rPr>
        <w:t xml:space="preserve"> s</w:t>
      </w:r>
      <w:r w:rsidRPr="001D39B0">
        <w:rPr>
          <w:rFonts w:ascii="Times New Roman" w:eastAsia="Calibri" w:hAnsi="Times New Roman" w:cs="Times New Roman"/>
          <w:sz w:val="24"/>
          <w:szCs w:val="24"/>
        </w:rPr>
        <w:t>et aside portions of a forensic audit report on the National Social Security Authority (NSSA)</w:t>
      </w:r>
      <w:r w:rsidRPr="001D39B0">
        <w:rPr>
          <w:rFonts w:ascii="Times New Roman" w:hAnsi="Times New Roman" w:cs="Times New Roman"/>
          <w:sz w:val="24"/>
          <w:szCs w:val="24"/>
        </w:rPr>
        <w:t xml:space="preserve"> wherever the first respondent was refe</w:t>
      </w:r>
      <w:r w:rsidR="006043AD">
        <w:rPr>
          <w:rFonts w:ascii="Times New Roman" w:hAnsi="Times New Roman" w:cs="Times New Roman"/>
          <w:sz w:val="24"/>
          <w:szCs w:val="24"/>
        </w:rPr>
        <w:t xml:space="preserve">rred to directly or indirectly.  </w:t>
      </w:r>
      <w:r w:rsidRPr="001D39B0">
        <w:rPr>
          <w:rFonts w:ascii="Times New Roman" w:hAnsi="Times New Roman" w:cs="Times New Roman"/>
          <w:sz w:val="24"/>
          <w:szCs w:val="24"/>
        </w:rPr>
        <w:t xml:space="preserve">The </w:t>
      </w:r>
      <w:r w:rsidR="00B43646">
        <w:rPr>
          <w:rFonts w:ascii="Times New Roman" w:hAnsi="Times New Roman" w:cs="Times New Roman"/>
          <w:sz w:val="24"/>
          <w:szCs w:val="24"/>
        </w:rPr>
        <w:t xml:space="preserve">forensic </w:t>
      </w:r>
      <w:r w:rsidRPr="001D39B0">
        <w:rPr>
          <w:rFonts w:ascii="Times New Roman" w:hAnsi="Times New Roman" w:cs="Times New Roman"/>
          <w:sz w:val="24"/>
          <w:szCs w:val="24"/>
        </w:rPr>
        <w:t xml:space="preserve">audit had been conducted by BDO Zimbabwe Chartered Accountants on behalf of the </w:t>
      </w:r>
      <w:r w:rsidR="00B43646">
        <w:rPr>
          <w:rFonts w:ascii="Times New Roman" w:hAnsi="Times New Roman" w:cs="Times New Roman"/>
          <w:sz w:val="24"/>
          <w:szCs w:val="24"/>
        </w:rPr>
        <w:t>Auditor-General</w:t>
      </w:r>
      <w:r w:rsidRPr="001D39B0">
        <w:rPr>
          <w:rFonts w:ascii="Times New Roman" w:hAnsi="Times New Roman" w:cs="Times New Roman"/>
          <w:sz w:val="24"/>
          <w:szCs w:val="24"/>
        </w:rPr>
        <w:t xml:space="preserve"> of Zimbabwe.</w:t>
      </w:r>
    </w:p>
    <w:p w:rsidR="006043AD" w:rsidRPr="001D39B0" w:rsidRDefault="006043AD" w:rsidP="006043AD">
      <w:pPr>
        <w:pStyle w:val="ListParagraph"/>
        <w:spacing w:after="0" w:line="240" w:lineRule="auto"/>
        <w:ind w:left="360"/>
        <w:jc w:val="both"/>
        <w:rPr>
          <w:rFonts w:ascii="Times New Roman" w:eastAsia="Arial Unicode MS" w:hAnsi="Times New Roman" w:cs="Times New Roman"/>
          <w:bCs/>
          <w:sz w:val="24"/>
          <w:szCs w:val="24"/>
          <w:bdr w:val="nil"/>
        </w:rPr>
      </w:pPr>
    </w:p>
    <w:p w:rsidR="00F934A9" w:rsidRPr="008164AF" w:rsidRDefault="00F934A9" w:rsidP="008164AF">
      <w:pPr>
        <w:pStyle w:val="ListParagraph"/>
        <w:numPr>
          <w:ilvl w:val="0"/>
          <w:numId w:val="6"/>
        </w:numPr>
        <w:spacing w:before="240" w:line="480" w:lineRule="auto"/>
        <w:ind w:left="270" w:hanging="270"/>
        <w:jc w:val="both"/>
        <w:rPr>
          <w:rFonts w:ascii="Times New Roman" w:eastAsia="Arial Unicode MS" w:hAnsi="Times New Roman" w:cs="Times New Roman"/>
          <w:bCs/>
          <w:sz w:val="24"/>
          <w:szCs w:val="24"/>
          <w:bdr w:val="nil"/>
        </w:rPr>
      </w:pPr>
      <w:r w:rsidRPr="001D39B0">
        <w:rPr>
          <w:rFonts w:ascii="Times New Roman" w:eastAsia="Calibri" w:hAnsi="Times New Roman" w:cs="Times New Roman"/>
          <w:sz w:val="24"/>
          <w:szCs w:val="24"/>
        </w:rPr>
        <w:t xml:space="preserve">BDO Zimbabwe Chartered Accountants and the </w:t>
      </w:r>
      <w:r w:rsidR="00B43646">
        <w:rPr>
          <w:rFonts w:ascii="Times New Roman" w:eastAsia="Calibri" w:hAnsi="Times New Roman" w:cs="Times New Roman"/>
          <w:sz w:val="24"/>
          <w:szCs w:val="24"/>
        </w:rPr>
        <w:t>Auditor-General</w:t>
      </w:r>
      <w:r w:rsidRPr="001D39B0">
        <w:rPr>
          <w:rFonts w:ascii="Times New Roman" w:eastAsia="Calibri" w:hAnsi="Times New Roman" w:cs="Times New Roman"/>
          <w:sz w:val="24"/>
          <w:szCs w:val="24"/>
        </w:rPr>
        <w:t xml:space="preserve"> of Zimbabwe noted separate appeals under </w:t>
      </w:r>
      <w:r w:rsidR="00681C55">
        <w:rPr>
          <w:rFonts w:ascii="Times New Roman" w:eastAsia="Calibri" w:hAnsi="Times New Roman" w:cs="Times New Roman"/>
          <w:sz w:val="24"/>
          <w:szCs w:val="24"/>
        </w:rPr>
        <w:t>R-</w:t>
      </w:r>
      <w:r w:rsidRPr="001D39B0">
        <w:rPr>
          <w:rFonts w:ascii="Times New Roman" w:eastAsia="Calibri" w:hAnsi="Times New Roman" w:cs="Times New Roman"/>
          <w:sz w:val="24"/>
          <w:szCs w:val="24"/>
        </w:rPr>
        <w:t xml:space="preserve">SC 285/20 and </w:t>
      </w:r>
      <w:r w:rsidR="00F87323">
        <w:rPr>
          <w:rFonts w:ascii="Times New Roman" w:eastAsia="Calibri" w:hAnsi="Times New Roman" w:cs="Times New Roman"/>
          <w:sz w:val="24"/>
          <w:szCs w:val="24"/>
        </w:rPr>
        <w:t>R-</w:t>
      </w:r>
      <w:r w:rsidRPr="001D39B0">
        <w:rPr>
          <w:rFonts w:ascii="Times New Roman" w:eastAsia="Calibri" w:hAnsi="Times New Roman" w:cs="Times New Roman"/>
          <w:sz w:val="24"/>
          <w:szCs w:val="24"/>
        </w:rPr>
        <w:t xml:space="preserve">SC 258/20 respectively. </w:t>
      </w:r>
      <w:r w:rsidR="00F87323">
        <w:rPr>
          <w:rFonts w:ascii="Times New Roman" w:eastAsia="Calibri" w:hAnsi="Times New Roman" w:cs="Times New Roman"/>
          <w:sz w:val="24"/>
          <w:szCs w:val="24"/>
        </w:rPr>
        <w:t xml:space="preserve"> </w:t>
      </w:r>
      <w:r w:rsidRPr="001D39B0">
        <w:rPr>
          <w:rFonts w:ascii="Times New Roman" w:eastAsia="Calibri" w:hAnsi="Times New Roman" w:cs="Times New Roman"/>
          <w:sz w:val="24"/>
          <w:szCs w:val="24"/>
        </w:rPr>
        <w:t xml:space="preserve">The two appeals were consolidated as they relate to the same judgment. </w:t>
      </w:r>
      <w:r w:rsidR="00F87323">
        <w:rPr>
          <w:rFonts w:ascii="Times New Roman" w:eastAsia="Calibri" w:hAnsi="Times New Roman" w:cs="Times New Roman"/>
          <w:sz w:val="24"/>
          <w:szCs w:val="24"/>
        </w:rPr>
        <w:t xml:space="preserve"> </w:t>
      </w:r>
      <w:r w:rsidRPr="001D39B0">
        <w:rPr>
          <w:rFonts w:ascii="Times New Roman" w:hAnsi="Times New Roman" w:cs="Times New Roman"/>
          <w:sz w:val="24"/>
          <w:szCs w:val="24"/>
        </w:rPr>
        <w:t xml:space="preserve">For the sake of expediency, the appellant </w:t>
      </w:r>
      <w:r w:rsidRPr="001D39B0">
        <w:rPr>
          <w:rFonts w:ascii="Times New Roman" w:eastAsia="Calibri" w:hAnsi="Times New Roman" w:cs="Times New Roman"/>
          <w:sz w:val="24"/>
          <w:szCs w:val="24"/>
        </w:rPr>
        <w:lastRenderedPageBreak/>
        <w:t>in R-SC 285/20 and second respondent in R-SC 258/20</w:t>
      </w:r>
      <w:r>
        <w:rPr>
          <w:rFonts w:ascii="Times New Roman" w:eastAsia="Calibri" w:hAnsi="Times New Roman" w:cs="Times New Roman"/>
          <w:sz w:val="24"/>
          <w:szCs w:val="24"/>
        </w:rPr>
        <w:t xml:space="preserve">, being the </w:t>
      </w:r>
      <w:r w:rsidR="00B43646">
        <w:rPr>
          <w:rFonts w:ascii="Times New Roman" w:eastAsia="Calibri" w:hAnsi="Times New Roman" w:cs="Times New Roman"/>
          <w:sz w:val="24"/>
          <w:szCs w:val="24"/>
        </w:rPr>
        <w:t>Auditor-General</w:t>
      </w:r>
      <w:r w:rsidRPr="001D39B0">
        <w:rPr>
          <w:rFonts w:ascii="Times New Roman" w:eastAsia="Calibri" w:hAnsi="Times New Roman" w:cs="Times New Roman"/>
          <w:sz w:val="24"/>
          <w:szCs w:val="24"/>
        </w:rPr>
        <w:t xml:space="preserve"> of Zimbabwe</w:t>
      </w:r>
      <w:r>
        <w:rPr>
          <w:rFonts w:ascii="Times New Roman" w:eastAsia="Calibri" w:hAnsi="Times New Roman" w:cs="Times New Roman"/>
          <w:sz w:val="24"/>
          <w:szCs w:val="24"/>
        </w:rPr>
        <w:t>,</w:t>
      </w:r>
      <w:r w:rsidRPr="001D39B0">
        <w:rPr>
          <w:rFonts w:ascii="Times New Roman" w:eastAsia="Calibri" w:hAnsi="Times New Roman" w:cs="Times New Roman"/>
          <w:sz w:val="24"/>
          <w:szCs w:val="24"/>
        </w:rPr>
        <w:t xml:space="preserve"> shall be referred to</w:t>
      </w:r>
      <w:r w:rsidR="00B43646">
        <w:rPr>
          <w:rFonts w:ascii="Times New Roman" w:eastAsia="Calibri" w:hAnsi="Times New Roman" w:cs="Times New Roman"/>
          <w:sz w:val="24"/>
          <w:szCs w:val="24"/>
        </w:rPr>
        <w:t xml:space="preserve"> as “the Auditor-General” in this</w:t>
      </w:r>
      <w:r w:rsidRPr="001D39B0">
        <w:rPr>
          <w:rFonts w:ascii="Times New Roman" w:eastAsia="Calibri" w:hAnsi="Times New Roman" w:cs="Times New Roman"/>
          <w:sz w:val="24"/>
          <w:szCs w:val="24"/>
        </w:rPr>
        <w:t xml:space="preserve"> composite judgment. </w:t>
      </w:r>
      <w:r w:rsidR="00F87323">
        <w:rPr>
          <w:rFonts w:ascii="Times New Roman" w:eastAsia="Calibri" w:hAnsi="Times New Roman" w:cs="Times New Roman"/>
          <w:sz w:val="24"/>
          <w:szCs w:val="24"/>
        </w:rPr>
        <w:t xml:space="preserve"> </w:t>
      </w:r>
      <w:r w:rsidRPr="001D39B0">
        <w:rPr>
          <w:rFonts w:ascii="Times New Roman" w:eastAsia="Calibri" w:hAnsi="Times New Roman" w:cs="Times New Roman"/>
          <w:sz w:val="24"/>
          <w:szCs w:val="24"/>
        </w:rPr>
        <w:t>The appellant in R-SC 258/20 and second respondent in R-SC 285/20</w:t>
      </w:r>
      <w:r>
        <w:rPr>
          <w:rFonts w:ascii="Times New Roman" w:eastAsia="Calibri" w:hAnsi="Times New Roman" w:cs="Times New Roman"/>
          <w:sz w:val="24"/>
          <w:szCs w:val="24"/>
        </w:rPr>
        <w:t xml:space="preserve">, being </w:t>
      </w:r>
      <w:r w:rsidRPr="001D39B0">
        <w:rPr>
          <w:rFonts w:ascii="Times New Roman" w:eastAsia="Calibri" w:hAnsi="Times New Roman" w:cs="Times New Roman"/>
          <w:sz w:val="24"/>
          <w:szCs w:val="24"/>
        </w:rPr>
        <w:t>BDO Zimbabwe Chartered Accountants</w:t>
      </w:r>
      <w:r>
        <w:rPr>
          <w:rFonts w:ascii="Times New Roman" w:eastAsia="Calibri" w:hAnsi="Times New Roman" w:cs="Times New Roman"/>
          <w:sz w:val="24"/>
          <w:szCs w:val="24"/>
        </w:rPr>
        <w:t>,</w:t>
      </w:r>
      <w:r w:rsidRPr="001D39B0">
        <w:rPr>
          <w:rFonts w:ascii="Times New Roman" w:eastAsia="Calibri" w:hAnsi="Times New Roman" w:cs="Times New Roman"/>
          <w:sz w:val="24"/>
          <w:szCs w:val="24"/>
        </w:rPr>
        <w:t xml:space="preserve"> shall be referred to as “BDO”. </w:t>
      </w:r>
      <w:r w:rsidR="00F87323">
        <w:rPr>
          <w:rFonts w:ascii="Times New Roman" w:eastAsia="Calibri" w:hAnsi="Times New Roman" w:cs="Times New Roman"/>
          <w:sz w:val="24"/>
          <w:szCs w:val="24"/>
        </w:rPr>
        <w:t xml:space="preserve"> </w:t>
      </w:r>
      <w:r w:rsidRPr="001D39B0">
        <w:rPr>
          <w:rFonts w:ascii="Times New Roman" w:eastAsia="Calibri" w:hAnsi="Times New Roman" w:cs="Times New Roman"/>
          <w:sz w:val="24"/>
          <w:szCs w:val="24"/>
        </w:rPr>
        <w:t xml:space="preserve">Where necessary the </w:t>
      </w:r>
      <w:r w:rsidR="00B43646">
        <w:rPr>
          <w:rFonts w:ascii="Times New Roman" w:eastAsia="Calibri" w:hAnsi="Times New Roman" w:cs="Times New Roman"/>
          <w:sz w:val="24"/>
          <w:szCs w:val="24"/>
        </w:rPr>
        <w:t>Auditor-General</w:t>
      </w:r>
      <w:r>
        <w:rPr>
          <w:rFonts w:ascii="Times New Roman" w:eastAsia="Calibri" w:hAnsi="Times New Roman" w:cs="Times New Roman"/>
          <w:sz w:val="24"/>
          <w:szCs w:val="24"/>
        </w:rPr>
        <w:t xml:space="preserve"> and BDO will be jointly </w:t>
      </w:r>
      <w:r w:rsidRPr="001D39B0">
        <w:rPr>
          <w:rFonts w:ascii="Times New Roman" w:eastAsia="Calibri" w:hAnsi="Times New Roman" w:cs="Times New Roman"/>
          <w:sz w:val="24"/>
          <w:szCs w:val="24"/>
        </w:rPr>
        <w:t xml:space="preserve">referred to as </w:t>
      </w:r>
      <w:r>
        <w:rPr>
          <w:rFonts w:ascii="Times New Roman" w:eastAsia="Calibri" w:hAnsi="Times New Roman" w:cs="Times New Roman"/>
          <w:sz w:val="24"/>
          <w:szCs w:val="24"/>
        </w:rPr>
        <w:t>“</w:t>
      </w:r>
      <w:r w:rsidRPr="001D39B0">
        <w:rPr>
          <w:rFonts w:ascii="Times New Roman" w:eastAsia="Calibri" w:hAnsi="Times New Roman" w:cs="Times New Roman"/>
          <w:sz w:val="24"/>
          <w:szCs w:val="24"/>
        </w:rPr>
        <w:t xml:space="preserve">the appellants”. </w:t>
      </w:r>
      <w:r w:rsidR="00F87323">
        <w:rPr>
          <w:rFonts w:ascii="Times New Roman" w:eastAsia="Calibri" w:hAnsi="Times New Roman" w:cs="Times New Roman"/>
          <w:sz w:val="24"/>
          <w:szCs w:val="24"/>
        </w:rPr>
        <w:t xml:space="preserve"> </w:t>
      </w:r>
      <w:r w:rsidRPr="001D39B0">
        <w:rPr>
          <w:rFonts w:ascii="Times New Roman" w:eastAsia="Calibri" w:hAnsi="Times New Roman" w:cs="Times New Roman"/>
          <w:sz w:val="24"/>
          <w:szCs w:val="24"/>
        </w:rPr>
        <w:t xml:space="preserve">The first respondent in both appeals shall simply be referred to as the respondent. </w:t>
      </w:r>
    </w:p>
    <w:p w:rsidR="008164AF" w:rsidRPr="008164AF" w:rsidRDefault="008164AF" w:rsidP="008164AF">
      <w:pPr>
        <w:pStyle w:val="ListParagraph"/>
        <w:spacing w:after="0"/>
        <w:rPr>
          <w:rFonts w:ascii="Times New Roman" w:eastAsia="Arial Unicode MS" w:hAnsi="Times New Roman" w:cs="Times New Roman"/>
          <w:bCs/>
          <w:sz w:val="24"/>
          <w:szCs w:val="24"/>
          <w:bdr w:val="nil"/>
        </w:rPr>
      </w:pPr>
    </w:p>
    <w:p w:rsidR="00F934A9" w:rsidRPr="001D39B0" w:rsidRDefault="00F934A9" w:rsidP="00F87323">
      <w:pPr>
        <w:spacing w:after="0" w:line="480" w:lineRule="auto"/>
        <w:jc w:val="both"/>
        <w:rPr>
          <w:rFonts w:ascii="Times New Roman" w:eastAsia="Calibri" w:hAnsi="Times New Roman" w:cs="Times New Roman"/>
          <w:b/>
          <w:sz w:val="24"/>
          <w:szCs w:val="24"/>
          <w:u w:val="single"/>
        </w:rPr>
      </w:pPr>
      <w:r w:rsidRPr="001D39B0">
        <w:rPr>
          <w:rFonts w:ascii="Times New Roman" w:eastAsia="Calibri" w:hAnsi="Times New Roman" w:cs="Times New Roman"/>
          <w:b/>
          <w:sz w:val="24"/>
          <w:szCs w:val="24"/>
          <w:u w:val="single"/>
        </w:rPr>
        <w:t>FACTUAL BACKGROUND</w:t>
      </w:r>
    </w:p>
    <w:p w:rsidR="00F934A9" w:rsidRPr="00246CE5" w:rsidRDefault="00F934A9" w:rsidP="008164AF">
      <w:pPr>
        <w:pStyle w:val="ListParagraph"/>
        <w:numPr>
          <w:ilvl w:val="0"/>
          <w:numId w:val="6"/>
        </w:numPr>
        <w:spacing w:after="0" w:line="480" w:lineRule="auto"/>
        <w:ind w:left="270" w:hanging="270"/>
        <w:jc w:val="both"/>
        <w:rPr>
          <w:rFonts w:ascii="Times New Roman" w:eastAsia="Arial Unicode MS" w:hAnsi="Times New Roman" w:cs="Times New Roman"/>
          <w:bCs/>
          <w:sz w:val="24"/>
          <w:szCs w:val="24"/>
          <w:bdr w:val="nil"/>
        </w:rPr>
      </w:pPr>
      <w:r w:rsidRPr="001D39B0">
        <w:rPr>
          <w:rFonts w:ascii="Times New Roman" w:hAnsi="Times New Roman" w:cs="Times New Roman"/>
          <w:sz w:val="24"/>
          <w:szCs w:val="24"/>
        </w:rPr>
        <w:t xml:space="preserve">The </w:t>
      </w:r>
      <w:r w:rsidR="00B43646">
        <w:rPr>
          <w:rFonts w:ascii="Times New Roman" w:hAnsi="Times New Roman" w:cs="Times New Roman"/>
          <w:sz w:val="24"/>
          <w:szCs w:val="24"/>
        </w:rPr>
        <w:t>Auditor-General</w:t>
      </w:r>
      <w:r w:rsidRPr="001D39B0">
        <w:rPr>
          <w:rFonts w:ascii="Times New Roman" w:hAnsi="Times New Roman" w:cs="Times New Roman"/>
          <w:sz w:val="24"/>
          <w:szCs w:val="24"/>
        </w:rPr>
        <w:t xml:space="preserve"> of Zimbabwe </w:t>
      </w:r>
      <w:r w:rsidR="00900AAC">
        <w:rPr>
          <w:rFonts w:ascii="Times New Roman" w:hAnsi="Times New Roman" w:cs="Times New Roman"/>
          <w:sz w:val="24"/>
          <w:szCs w:val="24"/>
        </w:rPr>
        <w:t xml:space="preserve">is </w:t>
      </w:r>
      <w:r w:rsidRPr="001D39B0">
        <w:rPr>
          <w:rFonts w:ascii="Times New Roman" w:hAnsi="Times New Roman" w:cs="Times New Roman"/>
          <w:sz w:val="24"/>
          <w:szCs w:val="24"/>
        </w:rPr>
        <w:t>appointed in terms of s 310 of the Constitution of Zimbabwe, 2013 (the Constitution).</w:t>
      </w:r>
      <w:r w:rsidRPr="001D39B0">
        <w:rPr>
          <w:rFonts w:ascii="Times New Roman" w:eastAsia="Calibri" w:hAnsi="Times New Roman" w:cs="Times New Roman"/>
          <w:sz w:val="24"/>
          <w:szCs w:val="24"/>
        </w:rPr>
        <w:t xml:space="preserve"> </w:t>
      </w:r>
      <w:r>
        <w:rPr>
          <w:rFonts w:ascii="Times New Roman" w:hAnsi="Times New Roman" w:cs="Times New Roman"/>
          <w:sz w:val="24"/>
          <w:szCs w:val="24"/>
        </w:rPr>
        <w:t xml:space="preserve">BDO </w:t>
      </w:r>
      <w:r w:rsidRPr="001D39B0">
        <w:rPr>
          <w:rFonts w:ascii="Times New Roman" w:hAnsi="Times New Roman" w:cs="Times New Roman"/>
          <w:sz w:val="24"/>
          <w:szCs w:val="24"/>
        </w:rPr>
        <w:t>is a private accounting firm registered in terms of the Public Accountants and Auditors Act [</w:t>
      </w:r>
      <w:r w:rsidRPr="001D39B0">
        <w:rPr>
          <w:rFonts w:ascii="Times New Roman" w:hAnsi="Times New Roman" w:cs="Times New Roman"/>
          <w:i/>
          <w:sz w:val="24"/>
          <w:szCs w:val="24"/>
        </w:rPr>
        <w:t>Chapter 27:12</w:t>
      </w:r>
      <w:r w:rsidRPr="001D39B0">
        <w:rPr>
          <w:rFonts w:ascii="Times New Roman" w:hAnsi="Times New Roman" w:cs="Times New Roman"/>
          <w:sz w:val="24"/>
          <w:szCs w:val="24"/>
        </w:rPr>
        <w:t xml:space="preserve">]. </w:t>
      </w:r>
      <w:r w:rsidR="00246CE5">
        <w:rPr>
          <w:rFonts w:ascii="Times New Roman" w:hAnsi="Times New Roman" w:cs="Times New Roman"/>
          <w:sz w:val="24"/>
          <w:szCs w:val="24"/>
        </w:rPr>
        <w:t xml:space="preserve"> </w:t>
      </w:r>
      <w:r w:rsidR="00900AAC">
        <w:rPr>
          <w:rFonts w:ascii="Times New Roman" w:hAnsi="Times New Roman" w:cs="Times New Roman"/>
          <w:sz w:val="24"/>
          <w:szCs w:val="24"/>
        </w:rPr>
        <w:t>The respondent was</w:t>
      </w:r>
      <w:r w:rsidRPr="001D39B0">
        <w:rPr>
          <w:rFonts w:ascii="Times New Roman" w:hAnsi="Times New Roman" w:cs="Times New Roman"/>
          <w:sz w:val="24"/>
          <w:szCs w:val="24"/>
        </w:rPr>
        <w:t xml:space="preserve"> the erstwhile board chairman of the National Social Security (NSSA), a body corporate established in terms of s 4 of the National Social Security Authority Act [</w:t>
      </w:r>
      <w:r w:rsidRPr="001D39B0">
        <w:rPr>
          <w:rFonts w:ascii="Times New Roman" w:hAnsi="Times New Roman" w:cs="Times New Roman"/>
          <w:i/>
          <w:sz w:val="24"/>
          <w:szCs w:val="24"/>
        </w:rPr>
        <w:t>Chapter 17:04</w:t>
      </w:r>
      <w:r w:rsidRPr="001D39B0">
        <w:rPr>
          <w:rFonts w:ascii="Times New Roman" w:hAnsi="Times New Roman" w:cs="Times New Roman"/>
          <w:sz w:val="24"/>
          <w:szCs w:val="24"/>
        </w:rPr>
        <w:t xml:space="preserve">]. </w:t>
      </w:r>
      <w:r w:rsidR="00246CE5">
        <w:rPr>
          <w:rFonts w:ascii="Times New Roman" w:hAnsi="Times New Roman" w:cs="Times New Roman"/>
          <w:sz w:val="24"/>
          <w:szCs w:val="24"/>
        </w:rPr>
        <w:t xml:space="preserve"> </w:t>
      </w:r>
      <w:r w:rsidRPr="001D39B0">
        <w:rPr>
          <w:rFonts w:ascii="Times New Roman" w:hAnsi="Times New Roman" w:cs="Times New Roman"/>
          <w:sz w:val="24"/>
          <w:szCs w:val="24"/>
        </w:rPr>
        <w:t xml:space="preserve">He had been the board chairman for the period extending from 12 June 2015 to 27 March 2018. </w:t>
      </w:r>
    </w:p>
    <w:p w:rsidR="00246CE5" w:rsidRPr="001D39B0" w:rsidRDefault="00246CE5" w:rsidP="00246CE5">
      <w:pPr>
        <w:pStyle w:val="ListParagraph"/>
        <w:spacing w:after="0" w:line="240" w:lineRule="auto"/>
        <w:ind w:left="567"/>
        <w:jc w:val="both"/>
        <w:rPr>
          <w:rFonts w:ascii="Times New Roman" w:eastAsia="Arial Unicode MS" w:hAnsi="Times New Roman" w:cs="Times New Roman"/>
          <w:bCs/>
          <w:sz w:val="24"/>
          <w:szCs w:val="24"/>
          <w:bdr w:val="nil"/>
        </w:rPr>
      </w:pPr>
    </w:p>
    <w:p w:rsidR="00F934A9" w:rsidRPr="001D39B0" w:rsidRDefault="00F934A9" w:rsidP="006019BE">
      <w:pPr>
        <w:pStyle w:val="ListParagraph"/>
        <w:numPr>
          <w:ilvl w:val="0"/>
          <w:numId w:val="6"/>
        </w:numPr>
        <w:spacing w:after="0" w:line="480" w:lineRule="auto"/>
        <w:ind w:left="270" w:hanging="270"/>
        <w:jc w:val="both"/>
        <w:rPr>
          <w:rFonts w:ascii="Times New Roman" w:eastAsia="Arial Unicode MS" w:hAnsi="Times New Roman" w:cs="Times New Roman"/>
          <w:bCs/>
          <w:sz w:val="24"/>
          <w:szCs w:val="24"/>
          <w:bdr w:val="nil"/>
        </w:rPr>
      </w:pPr>
      <w:r w:rsidRPr="001D39B0">
        <w:rPr>
          <w:rFonts w:ascii="Times New Roman" w:eastAsia="Calibri" w:hAnsi="Times New Roman" w:cs="Times New Roman"/>
          <w:sz w:val="24"/>
          <w:szCs w:val="24"/>
        </w:rPr>
        <w:t xml:space="preserve">The background to the appeals is </w:t>
      </w:r>
      <w:r w:rsidRPr="001D39B0">
        <w:rPr>
          <w:rFonts w:ascii="Times New Roman" w:eastAsia="Arial Unicode MS" w:hAnsi="Times New Roman" w:cs="Times New Roman"/>
          <w:bCs/>
          <w:color w:val="000000"/>
          <w:sz w:val="24"/>
          <w:szCs w:val="24"/>
          <w:u w:color="000000"/>
          <w:bdr w:val="nil"/>
          <w:lang w:val="en-ZA"/>
          <w14:textOutline w14:w="0" w14:cap="flat" w14:cmpd="sng" w14:algn="ctr">
            <w14:noFill/>
            <w14:prstDash w14:val="solid"/>
            <w14:bevel/>
          </w14:textOutline>
        </w:rPr>
        <w:t>succinctly</w:t>
      </w:r>
      <w:r w:rsidRPr="001D39B0">
        <w:rPr>
          <w:rFonts w:ascii="Times New Roman" w:eastAsia="Calibri" w:hAnsi="Times New Roman" w:cs="Times New Roman"/>
          <w:sz w:val="24"/>
          <w:szCs w:val="24"/>
        </w:rPr>
        <w:t xml:space="preserve"> set out in </w:t>
      </w:r>
      <w:r w:rsidRPr="001D39B0">
        <w:rPr>
          <w:rFonts w:ascii="Times New Roman" w:eastAsia="Times New Roman" w:hAnsi="Times New Roman" w:cs="Times New Roman"/>
          <w:bCs/>
          <w:i/>
          <w:color w:val="000000"/>
          <w:sz w:val="24"/>
          <w:szCs w:val="24"/>
          <w:u w:color="000000"/>
          <w:bdr w:val="nil"/>
          <w14:textOutline w14:w="0" w14:cap="flat" w14:cmpd="sng" w14:algn="ctr">
            <w14:noFill/>
            <w14:prstDash w14:val="solid"/>
            <w14:bevel/>
          </w14:textOutline>
        </w:rPr>
        <w:t>Robin Vela</w:t>
      </w:r>
      <w:r w:rsidRPr="001D39B0">
        <w:rPr>
          <w:rFonts w:ascii="Times New Roman" w:eastAsia="Times New Roman" w:hAnsi="Times New Roman" w:cs="Times New Roman"/>
          <w:bCs/>
          <w:color w:val="000000"/>
          <w:sz w:val="24"/>
          <w:szCs w:val="24"/>
          <w:u w:color="000000"/>
          <w:bdr w:val="nil"/>
          <w14:textOutline w14:w="0" w14:cap="flat" w14:cmpd="sng" w14:algn="ctr">
            <w14:noFill/>
            <w14:prstDash w14:val="solid"/>
            <w14:bevel/>
          </w14:textOutline>
        </w:rPr>
        <w:t xml:space="preserve"> v </w:t>
      </w:r>
      <w:r w:rsidR="00B43646">
        <w:rPr>
          <w:rFonts w:ascii="Times New Roman" w:eastAsia="Times New Roman" w:hAnsi="Times New Roman" w:cs="Times New Roman"/>
          <w:bCs/>
          <w:i/>
          <w:color w:val="000000"/>
          <w:sz w:val="24"/>
          <w:szCs w:val="24"/>
          <w:u w:color="000000"/>
          <w:bdr w:val="nil"/>
          <w14:textOutline w14:w="0" w14:cap="flat" w14:cmpd="sng" w14:algn="ctr">
            <w14:noFill/>
            <w14:prstDash w14:val="solid"/>
            <w14:bevel/>
          </w14:textOutline>
        </w:rPr>
        <w:t xml:space="preserve">The </w:t>
      </w:r>
      <w:r w:rsidR="00B43646">
        <w:rPr>
          <w:rFonts w:ascii="Times New Roman" w:eastAsia="Arial Unicode MS" w:hAnsi="Times New Roman" w:cs="Times New Roman"/>
          <w:bCs/>
          <w:i/>
          <w:color w:val="000000"/>
          <w:sz w:val="24"/>
          <w:szCs w:val="24"/>
          <w:u w:color="000000"/>
          <w:bdr w:val="nil"/>
          <w:lang w:val="en-ZA"/>
          <w14:textOutline w14:w="0" w14:cap="flat" w14:cmpd="sng" w14:algn="ctr">
            <w14:noFill/>
            <w14:prstDash w14:val="solid"/>
            <w14:bevel/>
          </w14:textOutline>
        </w:rPr>
        <w:t>Auditor-General</w:t>
      </w:r>
      <w:r w:rsidR="00055426">
        <w:rPr>
          <w:rFonts w:ascii="Times New Roman" w:eastAsia="Arial Unicode MS" w:hAnsi="Times New Roman" w:cs="Times New Roman"/>
          <w:bCs/>
          <w:color w:val="000000"/>
          <w:sz w:val="24"/>
          <w:szCs w:val="24"/>
          <w:u w:color="000000"/>
          <w:bdr w:val="nil"/>
          <w:lang w:val="en-ZA"/>
          <w14:textOutline w14:w="0" w14:cap="flat" w14:cmpd="sng" w14:algn="ctr">
            <w14:noFill/>
            <w14:prstDash w14:val="solid"/>
            <w14:bevel/>
          </w14:textOutline>
        </w:rPr>
        <w:t xml:space="preserve"> CCZ 10/</w:t>
      </w:r>
      <w:r w:rsidRPr="001D39B0">
        <w:rPr>
          <w:rFonts w:ascii="Times New Roman" w:eastAsia="Arial Unicode MS" w:hAnsi="Times New Roman" w:cs="Times New Roman"/>
          <w:bCs/>
          <w:color w:val="000000"/>
          <w:sz w:val="24"/>
          <w:szCs w:val="24"/>
          <w:u w:color="000000"/>
          <w:bdr w:val="nil"/>
          <w:lang w:val="en-ZA"/>
          <w14:textOutline w14:w="0" w14:cap="flat" w14:cmpd="sng" w14:algn="ctr">
            <w14:noFill/>
            <w14:prstDash w14:val="solid"/>
            <w14:bevel/>
          </w14:textOutline>
        </w:rPr>
        <w:t>24 as follows:</w:t>
      </w:r>
    </w:p>
    <w:p w:rsidR="00F934A9" w:rsidRDefault="00F934A9" w:rsidP="006019BE">
      <w:pPr>
        <w:spacing w:after="0" w:line="240" w:lineRule="auto"/>
        <w:ind w:left="1440" w:hanging="450"/>
        <w:jc w:val="both"/>
        <w:rPr>
          <w:rFonts w:ascii="Times New Roman" w:hAnsi="Times New Roman" w:cs="Times New Roman"/>
          <w:sz w:val="24"/>
          <w:szCs w:val="24"/>
        </w:rPr>
      </w:pPr>
      <w:r w:rsidRPr="001D39B0">
        <w:rPr>
          <w:rFonts w:ascii="Times New Roman" w:hAnsi="Times New Roman" w:cs="Times New Roman"/>
          <w:sz w:val="24"/>
          <w:szCs w:val="24"/>
        </w:rPr>
        <w:t>“[3]</w:t>
      </w:r>
      <w:r w:rsidRPr="001D39B0">
        <w:rPr>
          <w:rFonts w:ascii="Times New Roman" w:hAnsi="Times New Roman" w:cs="Times New Roman"/>
          <w:sz w:val="24"/>
          <w:szCs w:val="24"/>
        </w:rPr>
        <w:tab/>
        <w:t xml:space="preserve">The appellant was the Board Chairman of the National Social Security Authority (“NSSA”) from 12 July 2015 to 27 March 2018. </w:t>
      </w:r>
      <w:r w:rsidR="006A60D9">
        <w:rPr>
          <w:rFonts w:ascii="Times New Roman" w:hAnsi="Times New Roman" w:cs="Times New Roman"/>
          <w:sz w:val="24"/>
          <w:szCs w:val="24"/>
        </w:rPr>
        <w:t xml:space="preserve"> </w:t>
      </w:r>
      <w:r w:rsidRPr="001D39B0">
        <w:rPr>
          <w:rFonts w:ascii="Times New Roman" w:hAnsi="Times New Roman" w:cs="Times New Roman"/>
          <w:sz w:val="24"/>
          <w:szCs w:val="24"/>
        </w:rPr>
        <w:t xml:space="preserve">The second respondent (BDO) is an accounting firm. </w:t>
      </w:r>
      <w:r w:rsidR="006A60D9">
        <w:rPr>
          <w:rFonts w:ascii="Times New Roman" w:hAnsi="Times New Roman" w:cs="Times New Roman"/>
          <w:sz w:val="24"/>
          <w:szCs w:val="24"/>
        </w:rPr>
        <w:t xml:space="preserve"> </w:t>
      </w:r>
      <w:r w:rsidRPr="001D39B0">
        <w:rPr>
          <w:rFonts w:ascii="Times New Roman" w:hAnsi="Times New Roman" w:cs="Times New Roman"/>
          <w:sz w:val="24"/>
          <w:szCs w:val="24"/>
        </w:rPr>
        <w:t xml:space="preserve">It was contracted by the first respondent (the </w:t>
      </w:r>
      <w:r w:rsidR="00B43646">
        <w:rPr>
          <w:rFonts w:ascii="Times New Roman" w:hAnsi="Times New Roman" w:cs="Times New Roman"/>
          <w:sz w:val="24"/>
          <w:szCs w:val="24"/>
        </w:rPr>
        <w:t>Auditor-General</w:t>
      </w:r>
      <w:r w:rsidRPr="001D39B0">
        <w:rPr>
          <w:rFonts w:ascii="Times New Roman" w:hAnsi="Times New Roman" w:cs="Times New Roman"/>
          <w:sz w:val="24"/>
          <w:szCs w:val="24"/>
        </w:rPr>
        <w:t xml:space="preserve">) to conduct a forensic audit of the affairs of NSSA for the period 1 January 2015 to 28 February 2018. </w:t>
      </w:r>
      <w:r w:rsidR="006A60D9">
        <w:rPr>
          <w:rFonts w:ascii="Times New Roman" w:hAnsi="Times New Roman" w:cs="Times New Roman"/>
          <w:sz w:val="24"/>
          <w:szCs w:val="24"/>
        </w:rPr>
        <w:t xml:space="preserve"> </w:t>
      </w:r>
      <w:r w:rsidRPr="001D39B0">
        <w:rPr>
          <w:rFonts w:ascii="Times New Roman" w:hAnsi="Times New Roman" w:cs="Times New Roman"/>
          <w:sz w:val="24"/>
          <w:szCs w:val="24"/>
        </w:rPr>
        <w:t>The audit report was delivered to the first respondent by the second respondent on 4 March 2019.</w:t>
      </w:r>
    </w:p>
    <w:p w:rsidR="00F26CD0" w:rsidRPr="001D39B0" w:rsidRDefault="00F26CD0" w:rsidP="00055426">
      <w:pPr>
        <w:spacing w:after="0" w:line="240" w:lineRule="auto"/>
        <w:ind w:left="1440" w:hanging="731"/>
        <w:jc w:val="both"/>
        <w:rPr>
          <w:rFonts w:ascii="Times New Roman" w:hAnsi="Times New Roman" w:cs="Times New Roman"/>
          <w:sz w:val="24"/>
          <w:szCs w:val="24"/>
        </w:rPr>
      </w:pPr>
    </w:p>
    <w:p w:rsidR="00F934A9" w:rsidRDefault="00F934A9" w:rsidP="006019BE">
      <w:pPr>
        <w:spacing w:after="0" w:line="240" w:lineRule="auto"/>
        <w:ind w:left="1440" w:hanging="360"/>
        <w:jc w:val="both"/>
        <w:rPr>
          <w:rFonts w:ascii="Times New Roman" w:hAnsi="Times New Roman" w:cs="Times New Roman"/>
          <w:sz w:val="24"/>
          <w:szCs w:val="24"/>
        </w:rPr>
      </w:pPr>
      <w:r w:rsidRPr="001D39B0">
        <w:rPr>
          <w:rFonts w:ascii="Times New Roman" w:hAnsi="Times New Roman" w:cs="Times New Roman"/>
          <w:sz w:val="24"/>
          <w:szCs w:val="24"/>
        </w:rPr>
        <w:t>[4]</w:t>
      </w:r>
      <w:r w:rsidRPr="001D39B0">
        <w:rPr>
          <w:rFonts w:ascii="Times New Roman" w:hAnsi="Times New Roman" w:cs="Times New Roman"/>
          <w:sz w:val="24"/>
          <w:szCs w:val="24"/>
        </w:rPr>
        <w:tab/>
        <w:t xml:space="preserve">The audit was in essence a forensic investigation into several corporate affairs of NSSA. </w:t>
      </w:r>
      <w:r w:rsidR="006A60D9">
        <w:rPr>
          <w:rFonts w:ascii="Times New Roman" w:hAnsi="Times New Roman" w:cs="Times New Roman"/>
          <w:sz w:val="24"/>
          <w:szCs w:val="24"/>
        </w:rPr>
        <w:t xml:space="preserve"> </w:t>
      </w:r>
      <w:r w:rsidRPr="001D39B0">
        <w:rPr>
          <w:rFonts w:ascii="Times New Roman" w:hAnsi="Times New Roman" w:cs="Times New Roman"/>
          <w:sz w:val="24"/>
          <w:szCs w:val="24"/>
        </w:rPr>
        <w:t xml:space="preserve">It assessed the investments made by NSSA during the period under audit to find out, among other things, whether any related party transactions, if any, were above board. </w:t>
      </w:r>
      <w:r w:rsidR="00F92C8E">
        <w:rPr>
          <w:rFonts w:ascii="Times New Roman" w:hAnsi="Times New Roman" w:cs="Times New Roman"/>
          <w:sz w:val="24"/>
          <w:szCs w:val="24"/>
        </w:rPr>
        <w:t xml:space="preserve"> </w:t>
      </w:r>
      <w:r w:rsidRPr="001D39B0">
        <w:rPr>
          <w:rFonts w:ascii="Times New Roman" w:hAnsi="Times New Roman" w:cs="Times New Roman"/>
          <w:sz w:val="24"/>
          <w:szCs w:val="24"/>
        </w:rPr>
        <w:t xml:space="preserve">It further considered NSSA’s human resources practices to establish whether executive management recruited during the period 2015 – 2017 had been recruited in terms of the NSSA policy and laws and whether the remuneration framework had been approved by the NSSA Board and parent Ministry. </w:t>
      </w:r>
      <w:r w:rsidR="00F92C8E">
        <w:rPr>
          <w:rFonts w:ascii="Times New Roman" w:hAnsi="Times New Roman" w:cs="Times New Roman"/>
          <w:sz w:val="24"/>
          <w:szCs w:val="24"/>
        </w:rPr>
        <w:t xml:space="preserve"> </w:t>
      </w:r>
      <w:r w:rsidRPr="001D39B0">
        <w:rPr>
          <w:rFonts w:ascii="Times New Roman" w:hAnsi="Times New Roman" w:cs="Times New Roman"/>
          <w:sz w:val="24"/>
          <w:szCs w:val="24"/>
        </w:rPr>
        <w:t xml:space="preserve">It also investigated the pensioner database, with attention being paid </w:t>
      </w:r>
      <w:r w:rsidRPr="001D39B0">
        <w:rPr>
          <w:rFonts w:ascii="Times New Roman" w:hAnsi="Times New Roman" w:cs="Times New Roman"/>
          <w:sz w:val="24"/>
          <w:szCs w:val="24"/>
        </w:rPr>
        <w:lastRenderedPageBreak/>
        <w:t xml:space="preserve">towards the integrity of the database, in order to verify the existence of ghost pensioners and identify weaknesses in the database. </w:t>
      </w:r>
    </w:p>
    <w:p w:rsidR="00E76DEE" w:rsidRPr="001D39B0" w:rsidRDefault="00E76DEE" w:rsidP="00F26CD0">
      <w:pPr>
        <w:spacing w:after="0" w:line="240" w:lineRule="auto"/>
        <w:ind w:left="1260" w:hanging="551"/>
        <w:jc w:val="both"/>
        <w:rPr>
          <w:rFonts w:ascii="Times New Roman" w:hAnsi="Times New Roman" w:cs="Times New Roman"/>
          <w:sz w:val="24"/>
          <w:szCs w:val="24"/>
        </w:rPr>
      </w:pPr>
    </w:p>
    <w:p w:rsidR="00F934A9" w:rsidRDefault="00F934A9" w:rsidP="003A24D1">
      <w:pPr>
        <w:spacing w:after="0" w:line="240" w:lineRule="auto"/>
        <w:ind w:left="1440" w:hanging="360"/>
        <w:jc w:val="both"/>
        <w:rPr>
          <w:rFonts w:ascii="Times New Roman" w:eastAsia="Calibri" w:hAnsi="Times New Roman" w:cs="Times New Roman"/>
          <w:sz w:val="24"/>
          <w:szCs w:val="24"/>
        </w:rPr>
      </w:pPr>
      <w:r w:rsidRPr="001D39B0">
        <w:rPr>
          <w:rFonts w:ascii="Times New Roman" w:hAnsi="Times New Roman" w:cs="Times New Roman"/>
          <w:sz w:val="24"/>
          <w:szCs w:val="24"/>
        </w:rPr>
        <w:t>[5]</w:t>
      </w:r>
      <w:r w:rsidRPr="001D39B0">
        <w:rPr>
          <w:rFonts w:ascii="Times New Roman" w:hAnsi="Times New Roman" w:cs="Times New Roman"/>
          <w:sz w:val="24"/>
          <w:szCs w:val="24"/>
        </w:rPr>
        <w:tab/>
        <w:t xml:space="preserve">Upon conclusion of the audit, the second respondent’s report made a number of adverse findings. </w:t>
      </w:r>
      <w:r w:rsidR="00F92C8E">
        <w:rPr>
          <w:rFonts w:ascii="Times New Roman" w:hAnsi="Times New Roman" w:cs="Times New Roman"/>
          <w:sz w:val="24"/>
          <w:szCs w:val="24"/>
        </w:rPr>
        <w:t xml:space="preserve"> </w:t>
      </w:r>
      <w:r w:rsidRPr="001D39B0">
        <w:rPr>
          <w:rFonts w:ascii="Times New Roman" w:hAnsi="Times New Roman" w:cs="Times New Roman"/>
          <w:sz w:val="24"/>
          <w:szCs w:val="24"/>
        </w:rPr>
        <w:t xml:space="preserve">The report concluded that NSSA’s investments in </w:t>
      </w:r>
      <w:proofErr w:type="spellStart"/>
      <w:r w:rsidRPr="001D39B0">
        <w:rPr>
          <w:rFonts w:ascii="Times New Roman" w:hAnsi="Times New Roman" w:cs="Times New Roman"/>
          <w:sz w:val="24"/>
          <w:szCs w:val="24"/>
        </w:rPr>
        <w:t>Metbank</w:t>
      </w:r>
      <w:proofErr w:type="spellEnd"/>
      <w:r w:rsidRPr="001D39B0">
        <w:rPr>
          <w:rFonts w:ascii="Times New Roman" w:hAnsi="Times New Roman" w:cs="Times New Roman"/>
          <w:sz w:val="24"/>
          <w:szCs w:val="24"/>
        </w:rPr>
        <w:t xml:space="preserve"> were not above board and that they had caused NSSA losses. </w:t>
      </w:r>
      <w:r w:rsidR="00F92C8E">
        <w:rPr>
          <w:rFonts w:ascii="Times New Roman" w:hAnsi="Times New Roman" w:cs="Times New Roman"/>
          <w:sz w:val="24"/>
          <w:szCs w:val="24"/>
        </w:rPr>
        <w:t xml:space="preserve"> </w:t>
      </w:r>
      <w:r w:rsidRPr="001D39B0">
        <w:rPr>
          <w:rFonts w:ascii="Times New Roman" w:hAnsi="Times New Roman" w:cs="Times New Roman"/>
          <w:sz w:val="24"/>
          <w:szCs w:val="24"/>
        </w:rPr>
        <w:t xml:space="preserve">In addition, it was found that the appellant was the proximate cause of an agreement between NSSA and Housing Corporation of Zimbabwe (Private) Limited, which agreement was said to have been irregularly entered into and had also caused loss to NSSA. </w:t>
      </w:r>
      <w:r w:rsidR="00F92C8E">
        <w:rPr>
          <w:rFonts w:ascii="Times New Roman" w:hAnsi="Times New Roman" w:cs="Times New Roman"/>
          <w:sz w:val="24"/>
          <w:szCs w:val="24"/>
        </w:rPr>
        <w:t xml:space="preserve"> </w:t>
      </w:r>
      <w:r w:rsidRPr="001D39B0">
        <w:rPr>
          <w:rFonts w:ascii="Times New Roman" w:hAnsi="Times New Roman" w:cs="Times New Roman"/>
          <w:sz w:val="24"/>
          <w:szCs w:val="24"/>
        </w:rPr>
        <w:t>The report also concluded that the appellant had inte</w:t>
      </w:r>
      <w:r w:rsidR="00F92C8E">
        <w:rPr>
          <w:rFonts w:ascii="Times New Roman" w:hAnsi="Times New Roman" w:cs="Times New Roman"/>
          <w:sz w:val="24"/>
          <w:szCs w:val="24"/>
        </w:rPr>
        <w:t>rfered in management issues…</w:t>
      </w:r>
      <w:r w:rsidRPr="001D39B0">
        <w:rPr>
          <w:rFonts w:ascii="Times New Roman" w:hAnsi="Times New Roman" w:cs="Times New Roman"/>
          <w:sz w:val="24"/>
          <w:szCs w:val="24"/>
        </w:rPr>
        <w:t>”</w:t>
      </w:r>
      <w:r w:rsidRPr="001D39B0">
        <w:rPr>
          <w:rFonts w:ascii="Times New Roman" w:eastAsia="Calibri" w:hAnsi="Times New Roman" w:cs="Times New Roman"/>
          <w:sz w:val="24"/>
          <w:szCs w:val="24"/>
        </w:rPr>
        <w:t xml:space="preserve"> </w:t>
      </w:r>
    </w:p>
    <w:p w:rsidR="00C2734E" w:rsidRPr="001D39B0" w:rsidRDefault="00C2734E" w:rsidP="00E76DEE">
      <w:pPr>
        <w:spacing w:after="0" w:line="240" w:lineRule="auto"/>
        <w:ind w:left="1260" w:hanging="551"/>
        <w:jc w:val="both"/>
        <w:rPr>
          <w:rFonts w:ascii="Times New Roman" w:eastAsia="Calibri" w:hAnsi="Times New Roman" w:cs="Times New Roman"/>
          <w:sz w:val="24"/>
          <w:szCs w:val="24"/>
        </w:rPr>
      </w:pPr>
    </w:p>
    <w:p w:rsidR="00681C55" w:rsidRDefault="00F934A9" w:rsidP="003A24D1">
      <w:pPr>
        <w:pStyle w:val="ListParagraph"/>
        <w:numPr>
          <w:ilvl w:val="0"/>
          <w:numId w:val="6"/>
        </w:numPr>
        <w:spacing w:before="240" w:after="0" w:line="480" w:lineRule="auto"/>
        <w:ind w:left="270" w:hanging="270"/>
        <w:jc w:val="both"/>
        <w:rPr>
          <w:rFonts w:ascii="Times New Roman" w:hAnsi="Times New Roman" w:cs="Times New Roman"/>
          <w:sz w:val="24"/>
          <w:szCs w:val="24"/>
        </w:rPr>
      </w:pPr>
      <w:r w:rsidRPr="003537FD">
        <w:rPr>
          <w:rFonts w:ascii="Times New Roman" w:hAnsi="Times New Roman" w:cs="Times New Roman"/>
          <w:sz w:val="24"/>
          <w:szCs w:val="24"/>
        </w:rPr>
        <w:t xml:space="preserve">Aggrieved by the audit report, the respondent filed in the court </w:t>
      </w:r>
      <w:r w:rsidRPr="003537FD">
        <w:rPr>
          <w:rFonts w:ascii="Times New Roman" w:hAnsi="Times New Roman" w:cs="Times New Roman"/>
          <w:i/>
          <w:sz w:val="24"/>
          <w:szCs w:val="24"/>
        </w:rPr>
        <w:t xml:space="preserve">a quo </w:t>
      </w:r>
      <w:r w:rsidRPr="003537FD">
        <w:rPr>
          <w:rFonts w:ascii="Times New Roman" w:hAnsi="Times New Roman" w:cs="Times New Roman"/>
          <w:sz w:val="24"/>
          <w:szCs w:val="24"/>
        </w:rPr>
        <w:t>an application for its review in terms of s 3</w:t>
      </w:r>
      <w:r w:rsidR="0061321B">
        <w:rPr>
          <w:rFonts w:ascii="Times New Roman" w:hAnsi="Times New Roman" w:cs="Times New Roman"/>
          <w:sz w:val="24"/>
          <w:szCs w:val="24"/>
        </w:rPr>
        <w:t xml:space="preserve"> </w:t>
      </w:r>
      <w:r w:rsidRPr="003537FD">
        <w:rPr>
          <w:rFonts w:ascii="Times New Roman" w:hAnsi="Times New Roman" w:cs="Times New Roman"/>
          <w:sz w:val="24"/>
          <w:szCs w:val="24"/>
        </w:rPr>
        <w:t>(1)</w:t>
      </w:r>
      <w:r w:rsidR="0061321B">
        <w:rPr>
          <w:rFonts w:ascii="Times New Roman" w:hAnsi="Times New Roman" w:cs="Times New Roman"/>
          <w:sz w:val="24"/>
          <w:szCs w:val="24"/>
        </w:rPr>
        <w:t xml:space="preserve"> </w:t>
      </w:r>
      <w:r w:rsidRPr="003537FD">
        <w:rPr>
          <w:rFonts w:ascii="Times New Roman" w:hAnsi="Times New Roman" w:cs="Times New Roman"/>
          <w:sz w:val="24"/>
          <w:szCs w:val="24"/>
        </w:rPr>
        <w:t>(a) as read with s 4 of the Administrative Justice Act [</w:t>
      </w:r>
      <w:r w:rsidRPr="003537FD">
        <w:rPr>
          <w:rFonts w:ascii="Times New Roman" w:hAnsi="Times New Roman" w:cs="Times New Roman"/>
          <w:i/>
          <w:sz w:val="24"/>
          <w:szCs w:val="24"/>
        </w:rPr>
        <w:t>Chapter 10:28</w:t>
      </w:r>
      <w:r w:rsidRPr="003537FD">
        <w:rPr>
          <w:rFonts w:ascii="Times New Roman" w:hAnsi="Times New Roman" w:cs="Times New Roman"/>
          <w:sz w:val="24"/>
          <w:szCs w:val="24"/>
        </w:rPr>
        <w:t>] (</w:t>
      </w:r>
      <w:r w:rsidR="00330B9D">
        <w:rPr>
          <w:rFonts w:ascii="Times New Roman" w:hAnsi="Times New Roman" w:cs="Times New Roman"/>
          <w:sz w:val="24"/>
          <w:szCs w:val="24"/>
        </w:rPr>
        <w:t>the AJA</w:t>
      </w:r>
      <w:r w:rsidRPr="003537FD">
        <w:rPr>
          <w:rFonts w:ascii="Times New Roman" w:hAnsi="Times New Roman" w:cs="Times New Roman"/>
          <w:sz w:val="24"/>
          <w:szCs w:val="24"/>
        </w:rPr>
        <w:t xml:space="preserve">). </w:t>
      </w:r>
    </w:p>
    <w:p w:rsidR="00E32B26" w:rsidRDefault="00E32B26" w:rsidP="00E32B26">
      <w:pPr>
        <w:pStyle w:val="ListParagraph"/>
        <w:spacing w:after="0" w:line="240" w:lineRule="auto"/>
        <w:ind w:left="567"/>
        <w:jc w:val="both"/>
        <w:rPr>
          <w:rFonts w:ascii="Times New Roman" w:hAnsi="Times New Roman" w:cs="Times New Roman"/>
          <w:sz w:val="24"/>
          <w:szCs w:val="24"/>
        </w:rPr>
      </w:pPr>
    </w:p>
    <w:p w:rsidR="00681C55" w:rsidRPr="00681C55" w:rsidRDefault="00681C55" w:rsidP="00C2734E">
      <w:pPr>
        <w:spacing w:after="0" w:line="480" w:lineRule="auto"/>
        <w:jc w:val="both"/>
        <w:rPr>
          <w:rFonts w:ascii="Times New Roman" w:eastAsia="Calibri" w:hAnsi="Times New Roman" w:cs="Times New Roman"/>
          <w:b/>
          <w:sz w:val="24"/>
          <w:szCs w:val="24"/>
          <w:u w:val="single"/>
        </w:rPr>
      </w:pPr>
      <w:r w:rsidRPr="00681C55">
        <w:rPr>
          <w:rFonts w:ascii="Times New Roman" w:eastAsia="Calibri" w:hAnsi="Times New Roman" w:cs="Times New Roman"/>
          <w:b/>
          <w:sz w:val="24"/>
          <w:szCs w:val="24"/>
          <w:u w:val="single"/>
        </w:rPr>
        <w:t xml:space="preserve">PROCEEDINGS BEFORE THE COURT </w:t>
      </w:r>
      <w:r w:rsidRPr="00681C55">
        <w:rPr>
          <w:rFonts w:ascii="Times New Roman" w:eastAsia="Calibri" w:hAnsi="Times New Roman" w:cs="Times New Roman"/>
          <w:b/>
          <w:i/>
          <w:sz w:val="24"/>
          <w:szCs w:val="24"/>
          <w:u w:val="single"/>
        </w:rPr>
        <w:t>A QUO</w:t>
      </w:r>
    </w:p>
    <w:p w:rsidR="00F934A9" w:rsidRDefault="00681C55" w:rsidP="003A24D1">
      <w:pPr>
        <w:pStyle w:val="ListParagraph"/>
        <w:numPr>
          <w:ilvl w:val="0"/>
          <w:numId w:val="6"/>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F934A9" w:rsidRPr="003537FD">
        <w:rPr>
          <w:rFonts w:ascii="Times New Roman" w:hAnsi="Times New Roman" w:cs="Times New Roman"/>
          <w:sz w:val="24"/>
          <w:szCs w:val="24"/>
        </w:rPr>
        <w:t xml:space="preserve">contended </w:t>
      </w:r>
      <w:r>
        <w:rPr>
          <w:rFonts w:ascii="Times New Roman" w:hAnsi="Times New Roman" w:cs="Times New Roman"/>
          <w:sz w:val="24"/>
          <w:szCs w:val="24"/>
        </w:rPr>
        <w:t xml:space="preserve">in the court </w:t>
      </w:r>
      <w:r>
        <w:rPr>
          <w:rFonts w:ascii="Times New Roman" w:hAnsi="Times New Roman" w:cs="Times New Roman"/>
          <w:i/>
          <w:sz w:val="24"/>
          <w:szCs w:val="24"/>
        </w:rPr>
        <w:t xml:space="preserve">a quo </w:t>
      </w:r>
      <w:r w:rsidR="00F934A9" w:rsidRPr="003537FD">
        <w:rPr>
          <w:rFonts w:ascii="Times New Roman" w:hAnsi="Times New Roman" w:cs="Times New Roman"/>
          <w:sz w:val="24"/>
          <w:szCs w:val="24"/>
        </w:rPr>
        <w:t>that BDO’s audit report was compiled in a manne</w:t>
      </w:r>
      <w:r>
        <w:rPr>
          <w:rFonts w:ascii="Times New Roman" w:hAnsi="Times New Roman" w:cs="Times New Roman"/>
          <w:sz w:val="24"/>
          <w:szCs w:val="24"/>
        </w:rPr>
        <w:t>r that violated s 3</w:t>
      </w:r>
      <w:r w:rsidR="0061321B">
        <w:rPr>
          <w:rFonts w:ascii="Times New Roman" w:hAnsi="Times New Roman" w:cs="Times New Roman"/>
          <w:sz w:val="24"/>
          <w:szCs w:val="24"/>
        </w:rPr>
        <w:t xml:space="preserve"> </w:t>
      </w:r>
      <w:r>
        <w:rPr>
          <w:rFonts w:ascii="Times New Roman" w:hAnsi="Times New Roman" w:cs="Times New Roman"/>
          <w:sz w:val="24"/>
          <w:szCs w:val="24"/>
        </w:rPr>
        <w:t>(1)</w:t>
      </w:r>
      <w:r w:rsidR="0061321B">
        <w:rPr>
          <w:rFonts w:ascii="Times New Roman" w:hAnsi="Times New Roman" w:cs="Times New Roman"/>
          <w:sz w:val="24"/>
          <w:szCs w:val="24"/>
        </w:rPr>
        <w:t xml:space="preserve"> </w:t>
      </w:r>
      <w:r>
        <w:rPr>
          <w:rFonts w:ascii="Times New Roman" w:hAnsi="Times New Roman" w:cs="Times New Roman"/>
          <w:sz w:val="24"/>
          <w:szCs w:val="24"/>
        </w:rPr>
        <w:t xml:space="preserve">(a) of </w:t>
      </w:r>
      <w:r w:rsidR="00330B9D">
        <w:rPr>
          <w:rFonts w:ascii="Times New Roman" w:hAnsi="Times New Roman" w:cs="Times New Roman"/>
          <w:sz w:val="24"/>
          <w:szCs w:val="24"/>
        </w:rPr>
        <w:t>the AJA</w:t>
      </w:r>
      <w:r w:rsidR="00F934A9" w:rsidRPr="003537FD">
        <w:rPr>
          <w:rFonts w:ascii="Times New Roman" w:hAnsi="Times New Roman" w:cs="Times New Roman"/>
          <w:sz w:val="24"/>
          <w:szCs w:val="24"/>
        </w:rPr>
        <w:t xml:space="preserve"> warr</w:t>
      </w:r>
      <w:r w:rsidR="001A312C">
        <w:rPr>
          <w:rFonts w:ascii="Times New Roman" w:hAnsi="Times New Roman" w:cs="Times New Roman"/>
          <w:sz w:val="24"/>
          <w:szCs w:val="24"/>
        </w:rPr>
        <w:t xml:space="preserve">anting a review of the report.  </w:t>
      </w:r>
      <w:r w:rsidR="00F934A9" w:rsidRPr="003537FD">
        <w:rPr>
          <w:rFonts w:ascii="Times New Roman" w:hAnsi="Times New Roman" w:cs="Times New Roman"/>
          <w:sz w:val="24"/>
          <w:szCs w:val="24"/>
        </w:rPr>
        <w:t xml:space="preserve">He </w:t>
      </w:r>
      <w:r>
        <w:rPr>
          <w:rFonts w:ascii="Times New Roman" w:hAnsi="Times New Roman" w:cs="Times New Roman"/>
          <w:sz w:val="24"/>
          <w:szCs w:val="24"/>
        </w:rPr>
        <w:t>argued</w:t>
      </w:r>
      <w:r w:rsidR="00F934A9" w:rsidRPr="003537FD">
        <w:rPr>
          <w:rFonts w:ascii="Times New Roman" w:hAnsi="Times New Roman" w:cs="Times New Roman"/>
          <w:sz w:val="24"/>
          <w:szCs w:val="24"/>
        </w:rPr>
        <w:t xml:space="preserve"> that BDO was exercising public power and jurisdiction </w:t>
      </w:r>
      <w:r w:rsidR="009C671D">
        <w:rPr>
          <w:rFonts w:ascii="Times New Roman" w:hAnsi="Times New Roman" w:cs="Times New Roman"/>
          <w:sz w:val="24"/>
          <w:szCs w:val="24"/>
        </w:rPr>
        <w:t xml:space="preserve">that </w:t>
      </w:r>
      <w:r w:rsidR="00F934A9" w:rsidRPr="003537FD">
        <w:rPr>
          <w:rFonts w:ascii="Times New Roman" w:hAnsi="Times New Roman" w:cs="Times New Roman"/>
          <w:sz w:val="24"/>
          <w:szCs w:val="24"/>
        </w:rPr>
        <w:t>it did not have when it carried out the audit</w:t>
      </w:r>
      <w:r w:rsidR="00F934A9">
        <w:rPr>
          <w:rFonts w:ascii="Times New Roman" w:hAnsi="Times New Roman" w:cs="Times New Roman"/>
          <w:sz w:val="24"/>
          <w:szCs w:val="24"/>
        </w:rPr>
        <w:t xml:space="preserve">. </w:t>
      </w:r>
      <w:r w:rsidR="001A312C">
        <w:rPr>
          <w:rFonts w:ascii="Times New Roman" w:hAnsi="Times New Roman" w:cs="Times New Roman"/>
          <w:sz w:val="24"/>
          <w:szCs w:val="24"/>
        </w:rPr>
        <w:t xml:space="preserve"> </w:t>
      </w:r>
      <w:r w:rsidR="00F934A9">
        <w:rPr>
          <w:rFonts w:ascii="Times New Roman" w:hAnsi="Times New Roman" w:cs="Times New Roman"/>
          <w:sz w:val="24"/>
          <w:szCs w:val="24"/>
        </w:rPr>
        <w:t xml:space="preserve">He </w:t>
      </w:r>
      <w:r w:rsidR="00F934A9" w:rsidRPr="003537FD">
        <w:rPr>
          <w:rFonts w:ascii="Times New Roman" w:hAnsi="Times New Roman" w:cs="Times New Roman"/>
          <w:sz w:val="24"/>
          <w:szCs w:val="24"/>
        </w:rPr>
        <w:t>also contended that the audit report was biased, malicious, irrational, incompetent and unfair.</w:t>
      </w:r>
    </w:p>
    <w:p w:rsidR="00706BBA" w:rsidRPr="003537FD" w:rsidRDefault="00706BBA" w:rsidP="00706BBA">
      <w:pPr>
        <w:pStyle w:val="ListParagraph"/>
        <w:spacing w:after="0" w:line="240" w:lineRule="auto"/>
        <w:ind w:left="567"/>
        <w:jc w:val="both"/>
        <w:rPr>
          <w:rFonts w:ascii="Times New Roman" w:hAnsi="Times New Roman" w:cs="Times New Roman"/>
          <w:sz w:val="24"/>
          <w:szCs w:val="24"/>
        </w:rPr>
      </w:pPr>
    </w:p>
    <w:p w:rsidR="00F934A9" w:rsidRPr="001D39B0" w:rsidRDefault="00F934A9" w:rsidP="003A24D1">
      <w:pPr>
        <w:pStyle w:val="ListParagraph"/>
        <w:numPr>
          <w:ilvl w:val="0"/>
          <w:numId w:val="6"/>
        </w:numPr>
        <w:spacing w:before="240" w:after="0" w:line="480" w:lineRule="auto"/>
        <w:ind w:left="270" w:hanging="270"/>
        <w:jc w:val="both"/>
        <w:rPr>
          <w:rFonts w:ascii="Times New Roman" w:hAnsi="Times New Roman" w:cs="Times New Roman"/>
          <w:sz w:val="24"/>
          <w:szCs w:val="24"/>
        </w:rPr>
      </w:pPr>
      <w:r w:rsidRPr="001D39B0">
        <w:rPr>
          <w:rFonts w:ascii="Times New Roman" w:hAnsi="Times New Roman" w:cs="Times New Roman"/>
          <w:sz w:val="24"/>
          <w:szCs w:val="24"/>
        </w:rPr>
        <w:t xml:space="preserve">The application was opposed by both appellants. </w:t>
      </w:r>
      <w:r w:rsidR="009A0254">
        <w:rPr>
          <w:rFonts w:ascii="Times New Roman" w:hAnsi="Times New Roman" w:cs="Times New Roman"/>
          <w:sz w:val="24"/>
          <w:szCs w:val="24"/>
        </w:rPr>
        <w:t xml:space="preserve"> </w:t>
      </w:r>
      <w:r w:rsidR="002815A9">
        <w:rPr>
          <w:rFonts w:ascii="Times New Roman" w:hAnsi="Times New Roman" w:cs="Times New Roman"/>
          <w:sz w:val="24"/>
          <w:szCs w:val="24"/>
        </w:rPr>
        <w:t>They</w:t>
      </w:r>
      <w:r w:rsidRPr="001D39B0">
        <w:rPr>
          <w:rFonts w:ascii="Times New Roman" w:hAnsi="Times New Roman" w:cs="Times New Roman"/>
          <w:sz w:val="24"/>
          <w:szCs w:val="24"/>
        </w:rPr>
        <w:t xml:space="preserve"> argued that BDO was not an administrative authority whose actions are subject to review. </w:t>
      </w:r>
      <w:r w:rsidR="009A0254">
        <w:rPr>
          <w:rFonts w:ascii="Times New Roman" w:hAnsi="Times New Roman" w:cs="Times New Roman"/>
          <w:sz w:val="24"/>
          <w:szCs w:val="24"/>
        </w:rPr>
        <w:t xml:space="preserve"> </w:t>
      </w:r>
      <w:r w:rsidRPr="001D39B0">
        <w:rPr>
          <w:rFonts w:ascii="Times New Roman" w:hAnsi="Times New Roman" w:cs="Times New Roman"/>
          <w:sz w:val="24"/>
          <w:szCs w:val="24"/>
        </w:rPr>
        <w:t xml:space="preserve">Its compilation of the audit report at the behest of the </w:t>
      </w:r>
      <w:r w:rsidR="00B43646">
        <w:rPr>
          <w:rFonts w:ascii="Times New Roman" w:hAnsi="Times New Roman" w:cs="Times New Roman"/>
          <w:sz w:val="24"/>
          <w:szCs w:val="24"/>
        </w:rPr>
        <w:t>Auditor-General</w:t>
      </w:r>
      <w:r w:rsidRPr="001D39B0">
        <w:rPr>
          <w:rFonts w:ascii="Times New Roman" w:hAnsi="Times New Roman" w:cs="Times New Roman"/>
          <w:sz w:val="24"/>
          <w:szCs w:val="24"/>
        </w:rPr>
        <w:t xml:space="preserve"> was not therefore subject to review under </w:t>
      </w:r>
      <w:r w:rsidR="00330B9D">
        <w:rPr>
          <w:rFonts w:ascii="Times New Roman" w:hAnsi="Times New Roman" w:cs="Times New Roman"/>
          <w:sz w:val="24"/>
          <w:szCs w:val="24"/>
        </w:rPr>
        <w:t>the AJA</w:t>
      </w:r>
      <w:r w:rsidRPr="001D39B0">
        <w:rPr>
          <w:rFonts w:ascii="Times New Roman" w:hAnsi="Times New Roman" w:cs="Times New Roman"/>
          <w:sz w:val="24"/>
          <w:szCs w:val="24"/>
        </w:rPr>
        <w:t xml:space="preserve">. </w:t>
      </w:r>
    </w:p>
    <w:p w:rsidR="00F934A9" w:rsidRPr="001D39B0" w:rsidRDefault="00F934A9" w:rsidP="00F934A9">
      <w:pPr>
        <w:pStyle w:val="ListParagraph"/>
        <w:rPr>
          <w:rFonts w:ascii="Times New Roman" w:hAnsi="Times New Roman" w:cs="Times New Roman"/>
          <w:sz w:val="24"/>
          <w:szCs w:val="24"/>
        </w:rPr>
      </w:pPr>
    </w:p>
    <w:p w:rsidR="00F934A9" w:rsidRPr="001D39B0" w:rsidRDefault="00F934A9" w:rsidP="003A24D1">
      <w:pPr>
        <w:pStyle w:val="ListParagraph"/>
        <w:numPr>
          <w:ilvl w:val="0"/>
          <w:numId w:val="6"/>
        </w:numPr>
        <w:spacing w:before="240" w:after="0" w:line="480" w:lineRule="auto"/>
        <w:ind w:left="270" w:hanging="270"/>
        <w:jc w:val="both"/>
        <w:rPr>
          <w:rFonts w:ascii="Times New Roman" w:hAnsi="Times New Roman" w:cs="Times New Roman"/>
          <w:sz w:val="24"/>
          <w:szCs w:val="24"/>
        </w:rPr>
      </w:pPr>
      <w:r w:rsidRPr="001D39B0">
        <w:rPr>
          <w:rFonts w:ascii="Times New Roman" w:hAnsi="Times New Roman" w:cs="Times New Roman"/>
          <w:sz w:val="24"/>
          <w:szCs w:val="24"/>
        </w:rPr>
        <w:t xml:space="preserve">BDO </w:t>
      </w:r>
      <w:r w:rsidR="00681C55">
        <w:rPr>
          <w:rFonts w:ascii="Times New Roman" w:hAnsi="Times New Roman" w:cs="Times New Roman"/>
          <w:sz w:val="24"/>
          <w:szCs w:val="24"/>
        </w:rPr>
        <w:t xml:space="preserve">specifically </w:t>
      </w:r>
      <w:r w:rsidRPr="001D39B0">
        <w:rPr>
          <w:rFonts w:ascii="Times New Roman" w:hAnsi="Times New Roman" w:cs="Times New Roman"/>
          <w:sz w:val="24"/>
          <w:szCs w:val="24"/>
        </w:rPr>
        <w:t xml:space="preserve">argued that it had been </w:t>
      </w:r>
      <w:proofErr w:type="spellStart"/>
      <w:r w:rsidRPr="001D39B0">
        <w:rPr>
          <w:rFonts w:ascii="Times New Roman" w:hAnsi="Times New Roman" w:cs="Times New Roman"/>
          <w:sz w:val="24"/>
          <w:szCs w:val="24"/>
        </w:rPr>
        <w:t>misjoined</w:t>
      </w:r>
      <w:proofErr w:type="spellEnd"/>
      <w:r w:rsidRPr="001D39B0">
        <w:rPr>
          <w:rFonts w:ascii="Times New Roman" w:hAnsi="Times New Roman" w:cs="Times New Roman"/>
          <w:sz w:val="24"/>
          <w:szCs w:val="24"/>
        </w:rPr>
        <w:t xml:space="preserve"> to the proceedings as it was not an administrativ</w:t>
      </w:r>
      <w:r>
        <w:rPr>
          <w:rFonts w:ascii="Times New Roman" w:hAnsi="Times New Roman" w:cs="Times New Roman"/>
          <w:sz w:val="24"/>
          <w:szCs w:val="24"/>
        </w:rPr>
        <w:t xml:space="preserve">e authority as envisaged by </w:t>
      </w:r>
      <w:r w:rsidR="0008158C">
        <w:rPr>
          <w:rFonts w:ascii="Times New Roman" w:hAnsi="Times New Roman" w:cs="Times New Roman"/>
          <w:sz w:val="24"/>
          <w:szCs w:val="24"/>
        </w:rPr>
        <w:t>the</w:t>
      </w:r>
      <w:r w:rsidR="00330B9D">
        <w:rPr>
          <w:rFonts w:ascii="Times New Roman" w:hAnsi="Times New Roman" w:cs="Times New Roman"/>
          <w:sz w:val="24"/>
          <w:szCs w:val="24"/>
        </w:rPr>
        <w:t xml:space="preserve"> AJA</w:t>
      </w:r>
      <w:r w:rsidRPr="001D39B0">
        <w:rPr>
          <w:rFonts w:ascii="Times New Roman" w:hAnsi="Times New Roman" w:cs="Times New Roman"/>
          <w:sz w:val="24"/>
          <w:szCs w:val="24"/>
        </w:rPr>
        <w:t xml:space="preserve">. </w:t>
      </w:r>
      <w:r w:rsidR="000C5C0D">
        <w:rPr>
          <w:rFonts w:ascii="Times New Roman" w:hAnsi="Times New Roman" w:cs="Times New Roman"/>
          <w:sz w:val="24"/>
          <w:szCs w:val="24"/>
        </w:rPr>
        <w:t xml:space="preserve"> </w:t>
      </w:r>
      <w:r w:rsidRPr="001D39B0">
        <w:rPr>
          <w:rFonts w:ascii="Times New Roman" w:hAnsi="Times New Roman" w:cs="Times New Roman"/>
          <w:sz w:val="24"/>
          <w:szCs w:val="24"/>
        </w:rPr>
        <w:t>It denied the allegations of bias, malice and incompetence</w:t>
      </w:r>
      <w:r w:rsidR="00681C55">
        <w:rPr>
          <w:rFonts w:ascii="Times New Roman" w:hAnsi="Times New Roman" w:cs="Times New Roman"/>
          <w:sz w:val="24"/>
          <w:szCs w:val="24"/>
        </w:rPr>
        <w:t>,</w:t>
      </w:r>
      <w:r w:rsidRPr="001D39B0">
        <w:rPr>
          <w:rFonts w:ascii="Times New Roman" w:hAnsi="Times New Roman" w:cs="Times New Roman"/>
          <w:sz w:val="24"/>
          <w:szCs w:val="24"/>
        </w:rPr>
        <w:t xml:space="preserve"> arguing that the audit</w:t>
      </w:r>
      <w:r w:rsidR="00090DCE">
        <w:rPr>
          <w:rFonts w:ascii="Times New Roman" w:hAnsi="Times New Roman" w:cs="Times New Roman"/>
          <w:sz w:val="24"/>
          <w:szCs w:val="24"/>
        </w:rPr>
        <w:t xml:space="preserve"> report did not target the</w:t>
      </w:r>
      <w:r w:rsidRPr="001D39B0">
        <w:rPr>
          <w:rFonts w:ascii="Times New Roman" w:hAnsi="Times New Roman" w:cs="Times New Roman"/>
          <w:sz w:val="24"/>
          <w:szCs w:val="24"/>
        </w:rPr>
        <w:t xml:space="preserve"> respondent personally but was targeted at NSSA’s operations.</w:t>
      </w:r>
    </w:p>
    <w:p w:rsidR="00F934A9" w:rsidRPr="001D39B0" w:rsidRDefault="00F934A9" w:rsidP="003A24D1">
      <w:pPr>
        <w:pStyle w:val="ListParagraph"/>
        <w:numPr>
          <w:ilvl w:val="0"/>
          <w:numId w:val="6"/>
        </w:numPr>
        <w:spacing w:before="240" w:line="480" w:lineRule="auto"/>
        <w:ind w:left="270" w:hanging="270"/>
        <w:jc w:val="both"/>
        <w:rPr>
          <w:rFonts w:ascii="Times New Roman" w:hAnsi="Times New Roman" w:cs="Times New Roman"/>
          <w:sz w:val="24"/>
          <w:szCs w:val="24"/>
        </w:rPr>
      </w:pPr>
      <w:r w:rsidRPr="001D39B0">
        <w:rPr>
          <w:rFonts w:ascii="Times New Roman" w:hAnsi="Times New Roman" w:cs="Times New Roman"/>
          <w:sz w:val="24"/>
          <w:szCs w:val="24"/>
        </w:rPr>
        <w:lastRenderedPageBreak/>
        <w:t xml:space="preserve">The </w:t>
      </w:r>
      <w:r w:rsidR="00B43646">
        <w:rPr>
          <w:rFonts w:ascii="Times New Roman" w:hAnsi="Times New Roman" w:cs="Times New Roman"/>
          <w:sz w:val="24"/>
          <w:szCs w:val="24"/>
        </w:rPr>
        <w:t>Auditor-General</w:t>
      </w:r>
      <w:r w:rsidRPr="001D39B0">
        <w:rPr>
          <w:rFonts w:ascii="Times New Roman" w:hAnsi="Times New Roman" w:cs="Times New Roman"/>
          <w:sz w:val="24"/>
          <w:szCs w:val="24"/>
        </w:rPr>
        <w:t xml:space="preserve"> also opposed the application on the </w:t>
      </w:r>
      <w:r w:rsidR="00681C55">
        <w:rPr>
          <w:rFonts w:ascii="Times New Roman" w:hAnsi="Times New Roman" w:cs="Times New Roman"/>
          <w:sz w:val="24"/>
          <w:szCs w:val="24"/>
        </w:rPr>
        <w:t xml:space="preserve">additional </w:t>
      </w:r>
      <w:r w:rsidRPr="001D39B0">
        <w:rPr>
          <w:rFonts w:ascii="Times New Roman" w:hAnsi="Times New Roman" w:cs="Times New Roman"/>
          <w:sz w:val="24"/>
          <w:szCs w:val="24"/>
        </w:rPr>
        <w:t>ground that the audit was conducted lawfully and that the respondent's remedy, if he considered that the report unfairly damaged his reputation, was to pursue a defamation lawsuit.</w:t>
      </w:r>
    </w:p>
    <w:p w:rsidR="00F934A9" w:rsidRPr="00FF3A71" w:rsidRDefault="00F934A9" w:rsidP="00FF3A71">
      <w:pPr>
        <w:spacing w:after="0" w:line="480" w:lineRule="auto"/>
        <w:jc w:val="both"/>
        <w:rPr>
          <w:rFonts w:ascii="Times New Roman" w:eastAsia="Calibri" w:hAnsi="Times New Roman" w:cs="Times New Roman"/>
          <w:b/>
          <w:sz w:val="24"/>
          <w:szCs w:val="24"/>
          <w:u w:val="single"/>
        </w:rPr>
      </w:pPr>
      <w:r w:rsidRPr="00FF3A71">
        <w:rPr>
          <w:rFonts w:ascii="Times New Roman" w:hAnsi="Times New Roman" w:cs="Times New Roman"/>
          <w:b/>
          <w:sz w:val="24"/>
          <w:szCs w:val="24"/>
          <w:u w:val="single"/>
        </w:rPr>
        <w:t>DETERMINATION BY</w:t>
      </w:r>
      <w:r w:rsidRPr="00FF3A71">
        <w:rPr>
          <w:rFonts w:ascii="Times New Roman" w:eastAsia="Calibri" w:hAnsi="Times New Roman" w:cs="Times New Roman"/>
          <w:b/>
          <w:sz w:val="24"/>
          <w:szCs w:val="24"/>
          <w:u w:val="single"/>
        </w:rPr>
        <w:t xml:space="preserve"> THE COURT </w:t>
      </w:r>
      <w:r w:rsidRPr="00FF3A71">
        <w:rPr>
          <w:rFonts w:ascii="Times New Roman" w:eastAsia="Calibri" w:hAnsi="Times New Roman" w:cs="Times New Roman"/>
          <w:b/>
          <w:i/>
          <w:sz w:val="24"/>
          <w:szCs w:val="24"/>
          <w:u w:val="single"/>
        </w:rPr>
        <w:t>A QUO</w:t>
      </w:r>
    </w:p>
    <w:p w:rsidR="00F934A9" w:rsidRPr="00F62C11" w:rsidRDefault="00F934A9" w:rsidP="003A24D1">
      <w:pPr>
        <w:pStyle w:val="ListParagraph"/>
        <w:numPr>
          <w:ilvl w:val="0"/>
          <w:numId w:val="6"/>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 its determination, t</w:t>
      </w:r>
      <w:r w:rsidRPr="001D39B0">
        <w:rPr>
          <w:rFonts w:ascii="Times New Roman" w:hAnsi="Times New Roman" w:cs="Times New Roman"/>
          <w:sz w:val="24"/>
          <w:szCs w:val="24"/>
        </w:rPr>
        <w:t xml:space="preserve">he court </w:t>
      </w:r>
      <w:r w:rsidRPr="001D39B0">
        <w:rPr>
          <w:rFonts w:ascii="Times New Roman" w:hAnsi="Times New Roman" w:cs="Times New Roman"/>
          <w:i/>
          <w:sz w:val="24"/>
          <w:szCs w:val="24"/>
        </w:rPr>
        <w:t>a quo</w:t>
      </w:r>
      <w:r w:rsidRPr="001D39B0">
        <w:rPr>
          <w:rFonts w:ascii="Times New Roman" w:hAnsi="Times New Roman" w:cs="Times New Roman"/>
          <w:sz w:val="24"/>
          <w:szCs w:val="24"/>
        </w:rPr>
        <w:t xml:space="preserve"> </w:t>
      </w:r>
      <w:r w:rsidRPr="001D39B0">
        <w:rPr>
          <w:rFonts w:ascii="Times New Roman" w:hAnsi="Times New Roman" w:cs="Times New Roman"/>
          <w:iCs/>
          <w:sz w:val="24"/>
          <w:szCs w:val="24"/>
        </w:rPr>
        <w:t>considered the provisions of s 8</w:t>
      </w:r>
      <w:r>
        <w:rPr>
          <w:rFonts w:ascii="Times New Roman" w:hAnsi="Times New Roman" w:cs="Times New Roman"/>
          <w:iCs/>
          <w:sz w:val="24"/>
          <w:szCs w:val="24"/>
        </w:rPr>
        <w:t xml:space="preserve"> </w:t>
      </w:r>
      <w:r w:rsidRPr="001D39B0">
        <w:rPr>
          <w:rFonts w:ascii="Times New Roman" w:hAnsi="Times New Roman" w:cs="Times New Roman"/>
          <w:iCs/>
          <w:sz w:val="24"/>
          <w:szCs w:val="24"/>
        </w:rPr>
        <w:t>(1) of the Audit Office Act [</w:t>
      </w:r>
      <w:r w:rsidRPr="001D39B0">
        <w:rPr>
          <w:rFonts w:ascii="Times New Roman" w:hAnsi="Times New Roman" w:cs="Times New Roman"/>
          <w:i/>
          <w:iCs/>
          <w:sz w:val="24"/>
          <w:szCs w:val="24"/>
        </w:rPr>
        <w:t>Chapter 22:18</w:t>
      </w:r>
      <w:r w:rsidRPr="001D39B0">
        <w:rPr>
          <w:rFonts w:ascii="Times New Roman" w:hAnsi="Times New Roman" w:cs="Times New Roman"/>
          <w:iCs/>
          <w:sz w:val="24"/>
          <w:szCs w:val="24"/>
        </w:rPr>
        <w:t xml:space="preserve">] (Audit Office Act) </w:t>
      </w:r>
      <w:r>
        <w:rPr>
          <w:rFonts w:ascii="Times New Roman" w:hAnsi="Times New Roman" w:cs="Times New Roman"/>
          <w:iCs/>
          <w:sz w:val="24"/>
          <w:szCs w:val="24"/>
        </w:rPr>
        <w:t>and</w:t>
      </w:r>
      <w:r w:rsidR="00A16CDB">
        <w:rPr>
          <w:rFonts w:ascii="Times New Roman" w:hAnsi="Times New Roman" w:cs="Times New Roman"/>
          <w:iCs/>
          <w:sz w:val="24"/>
          <w:szCs w:val="24"/>
        </w:rPr>
        <w:t xml:space="preserve"> s 309 of the Constitution.  </w:t>
      </w:r>
      <w:r w:rsidRPr="001D39B0">
        <w:rPr>
          <w:rFonts w:ascii="Times New Roman" w:hAnsi="Times New Roman" w:cs="Times New Roman"/>
          <w:iCs/>
          <w:sz w:val="24"/>
          <w:szCs w:val="24"/>
        </w:rPr>
        <w:t xml:space="preserve">It held that the </w:t>
      </w:r>
      <w:r w:rsidR="00B43646">
        <w:rPr>
          <w:rFonts w:ascii="Times New Roman" w:hAnsi="Times New Roman" w:cs="Times New Roman"/>
          <w:iCs/>
          <w:sz w:val="24"/>
          <w:szCs w:val="24"/>
        </w:rPr>
        <w:t>Auditor-General</w:t>
      </w:r>
      <w:r w:rsidRPr="001D39B0">
        <w:rPr>
          <w:rFonts w:ascii="Times New Roman" w:hAnsi="Times New Roman" w:cs="Times New Roman"/>
          <w:iCs/>
          <w:sz w:val="24"/>
          <w:szCs w:val="24"/>
        </w:rPr>
        <w:t>’s powers</w:t>
      </w:r>
      <w:r w:rsidR="00681C55">
        <w:rPr>
          <w:rFonts w:ascii="Times New Roman" w:hAnsi="Times New Roman" w:cs="Times New Roman"/>
          <w:iCs/>
          <w:sz w:val="24"/>
          <w:szCs w:val="24"/>
        </w:rPr>
        <w:t xml:space="preserve"> and functions</w:t>
      </w:r>
      <w:r w:rsidRPr="001D39B0">
        <w:rPr>
          <w:rFonts w:ascii="Times New Roman" w:hAnsi="Times New Roman" w:cs="Times New Roman"/>
          <w:iCs/>
          <w:sz w:val="24"/>
          <w:szCs w:val="24"/>
        </w:rPr>
        <w:t xml:space="preserve"> were set out in s 309 (2) of the Constitution. </w:t>
      </w:r>
      <w:r w:rsidR="00A16CDB">
        <w:rPr>
          <w:rFonts w:ascii="Times New Roman" w:hAnsi="Times New Roman" w:cs="Times New Roman"/>
          <w:iCs/>
          <w:sz w:val="24"/>
          <w:szCs w:val="24"/>
        </w:rPr>
        <w:t xml:space="preserve"> </w:t>
      </w:r>
      <w:r w:rsidRPr="001D39B0">
        <w:rPr>
          <w:rFonts w:ascii="Times New Roman" w:hAnsi="Times New Roman" w:cs="Times New Roman"/>
          <w:iCs/>
          <w:sz w:val="24"/>
          <w:szCs w:val="24"/>
        </w:rPr>
        <w:t xml:space="preserve">It thereafter held that the </w:t>
      </w:r>
      <w:r w:rsidR="00B43646">
        <w:rPr>
          <w:rFonts w:ascii="Times New Roman" w:hAnsi="Times New Roman" w:cs="Times New Roman"/>
          <w:iCs/>
          <w:sz w:val="24"/>
          <w:szCs w:val="24"/>
        </w:rPr>
        <w:t>Auditor-General</w:t>
      </w:r>
      <w:r>
        <w:rPr>
          <w:rFonts w:ascii="Times New Roman" w:hAnsi="Times New Roman" w:cs="Times New Roman"/>
          <w:iCs/>
          <w:sz w:val="24"/>
          <w:szCs w:val="24"/>
        </w:rPr>
        <w:t xml:space="preserve"> had, by virtue of</w:t>
      </w:r>
      <w:r w:rsidRPr="001D39B0">
        <w:rPr>
          <w:rFonts w:ascii="Times New Roman" w:hAnsi="Times New Roman" w:cs="Times New Roman"/>
          <w:iCs/>
          <w:sz w:val="24"/>
          <w:szCs w:val="24"/>
        </w:rPr>
        <w:t xml:space="preserve"> s 8 (1) of the Audit Office Act</w:t>
      </w:r>
      <w:r>
        <w:rPr>
          <w:rFonts w:ascii="Times New Roman" w:hAnsi="Times New Roman" w:cs="Times New Roman"/>
          <w:iCs/>
          <w:sz w:val="24"/>
          <w:szCs w:val="24"/>
        </w:rPr>
        <w:t>,</w:t>
      </w:r>
      <w:r w:rsidRPr="001D39B0">
        <w:rPr>
          <w:rFonts w:ascii="Times New Roman" w:hAnsi="Times New Roman" w:cs="Times New Roman"/>
          <w:iCs/>
          <w:sz w:val="24"/>
          <w:szCs w:val="24"/>
        </w:rPr>
        <w:t xml:space="preserve"> delegated those </w:t>
      </w:r>
      <w:r w:rsidR="00FD7631">
        <w:rPr>
          <w:rFonts w:ascii="Times New Roman" w:hAnsi="Times New Roman" w:cs="Times New Roman"/>
          <w:iCs/>
          <w:sz w:val="24"/>
          <w:szCs w:val="24"/>
        </w:rPr>
        <w:t xml:space="preserve">powers and </w:t>
      </w:r>
      <w:r w:rsidRPr="001D39B0">
        <w:rPr>
          <w:rFonts w:ascii="Times New Roman" w:hAnsi="Times New Roman" w:cs="Times New Roman"/>
          <w:iCs/>
          <w:sz w:val="24"/>
          <w:szCs w:val="24"/>
        </w:rPr>
        <w:t>functions to BDO when it contracted BDO to conduct th</w:t>
      </w:r>
      <w:r>
        <w:rPr>
          <w:rFonts w:ascii="Times New Roman" w:hAnsi="Times New Roman" w:cs="Times New Roman"/>
          <w:iCs/>
          <w:sz w:val="24"/>
          <w:szCs w:val="24"/>
        </w:rPr>
        <w:t>e audit.</w:t>
      </w:r>
    </w:p>
    <w:p w:rsidR="00F62C11" w:rsidRPr="00394EE0" w:rsidRDefault="00F62C11" w:rsidP="00F62C11">
      <w:pPr>
        <w:pStyle w:val="ListParagraph"/>
        <w:spacing w:after="0" w:line="240" w:lineRule="auto"/>
        <w:ind w:left="360"/>
        <w:jc w:val="both"/>
        <w:rPr>
          <w:rFonts w:ascii="Times New Roman" w:hAnsi="Times New Roman" w:cs="Times New Roman"/>
          <w:sz w:val="24"/>
          <w:szCs w:val="24"/>
        </w:rPr>
      </w:pPr>
    </w:p>
    <w:p w:rsidR="00247FAB" w:rsidRDefault="00F934A9" w:rsidP="003A24D1">
      <w:pPr>
        <w:pStyle w:val="ListParagraph"/>
        <w:numPr>
          <w:ilvl w:val="0"/>
          <w:numId w:val="6"/>
        </w:numPr>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The court</w:t>
      </w:r>
      <w:r>
        <w:rPr>
          <w:rFonts w:ascii="Times New Roman" w:hAnsi="Times New Roman" w:cs="Times New Roman"/>
          <w:i/>
          <w:sz w:val="24"/>
          <w:szCs w:val="24"/>
        </w:rPr>
        <w:t xml:space="preserve"> a </w:t>
      </w:r>
      <w:r w:rsidRPr="00394EE0">
        <w:rPr>
          <w:rFonts w:ascii="Times New Roman" w:hAnsi="Times New Roman" w:cs="Times New Roman"/>
          <w:i/>
          <w:sz w:val="24"/>
          <w:szCs w:val="24"/>
        </w:rPr>
        <w:t>quo</w:t>
      </w:r>
      <w:r>
        <w:rPr>
          <w:rFonts w:ascii="Times New Roman" w:hAnsi="Times New Roman" w:cs="Times New Roman"/>
          <w:i/>
          <w:sz w:val="24"/>
          <w:szCs w:val="24"/>
        </w:rPr>
        <w:t xml:space="preserve"> </w:t>
      </w:r>
      <w:r w:rsidRPr="001D39B0">
        <w:rPr>
          <w:rFonts w:ascii="Times New Roman" w:hAnsi="Times New Roman" w:cs="Times New Roman"/>
          <w:sz w:val="24"/>
          <w:szCs w:val="24"/>
        </w:rPr>
        <w:t xml:space="preserve">held that BDO </w:t>
      </w:r>
      <w:r>
        <w:rPr>
          <w:rFonts w:ascii="Times New Roman" w:hAnsi="Times New Roman" w:cs="Times New Roman"/>
          <w:sz w:val="24"/>
          <w:szCs w:val="24"/>
        </w:rPr>
        <w:t>therefore exercised</w:t>
      </w:r>
      <w:r w:rsidRPr="001D39B0">
        <w:rPr>
          <w:rFonts w:ascii="Times New Roman" w:hAnsi="Times New Roman" w:cs="Times New Roman"/>
          <w:sz w:val="24"/>
          <w:szCs w:val="24"/>
        </w:rPr>
        <w:t xml:space="preserve"> delegated functions when it carried out the audit thereby performing a public function</w:t>
      </w:r>
      <w:r w:rsidR="009E6224">
        <w:rPr>
          <w:rFonts w:ascii="Times New Roman" w:hAnsi="Times New Roman" w:cs="Times New Roman"/>
          <w:sz w:val="24"/>
          <w:szCs w:val="24"/>
        </w:rPr>
        <w:t xml:space="preserve"> or exercising</w:t>
      </w:r>
      <w:r>
        <w:rPr>
          <w:rFonts w:ascii="Times New Roman" w:hAnsi="Times New Roman" w:cs="Times New Roman"/>
          <w:sz w:val="24"/>
          <w:szCs w:val="24"/>
        </w:rPr>
        <w:t xml:space="preserve"> public authority</w:t>
      </w:r>
      <w:r w:rsidRPr="001D39B0">
        <w:rPr>
          <w:rFonts w:ascii="Times New Roman" w:hAnsi="Times New Roman" w:cs="Times New Roman"/>
          <w:sz w:val="24"/>
          <w:szCs w:val="24"/>
        </w:rPr>
        <w:t xml:space="preserve">. </w:t>
      </w:r>
      <w:r w:rsidR="00247FAB">
        <w:rPr>
          <w:rFonts w:ascii="Times New Roman" w:hAnsi="Times New Roman" w:cs="Times New Roman"/>
          <w:sz w:val="24"/>
          <w:szCs w:val="24"/>
        </w:rPr>
        <w:t xml:space="preserve"> </w:t>
      </w:r>
      <w:r w:rsidRPr="001D39B0">
        <w:rPr>
          <w:rFonts w:ascii="Times New Roman" w:hAnsi="Times New Roman" w:cs="Times New Roman"/>
          <w:sz w:val="24"/>
          <w:szCs w:val="24"/>
        </w:rPr>
        <w:t xml:space="preserve">The court </w:t>
      </w:r>
      <w:r w:rsidRPr="001D39B0">
        <w:rPr>
          <w:rFonts w:ascii="Times New Roman" w:hAnsi="Times New Roman" w:cs="Times New Roman"/>
          <w:i/>
          <w:sz w:val="24"/>
          <w:szCs w:val="24"/>
        </w:rPr>
        <w:t>a quo</w:t>
      </w:r>
      <w:r w:rsidRPr="001D39B0">
        <w:rPr>
          <w:rFonts w:ascii="Times New Roman" w:hAnsi="Times New Roman" w:cs="Times New Roman"/>
          <w:sz w:val="24"/>
          <w:szCs w:val="24"/>
        </w:rPr>
        <w:t xml:space="preserve"> also held that by carrying out the forensic audit, BDO’s conduct fell squarely within the definition of administra</w:t>
      </w:r>
      <w:r w:rsidR="0008158C">
        <w:rPr>
          <w:rFonts w:ascii="Times New Roman" w:hAnsi="Times New Roman" w:cs="Times New Roman"/>
          <w:sz w:val="24"/>
          <w:szCs w:val="24"/>
        </w:rPr>
        <w:t>tive action contemplated by the</w:t>
      </w:r>
      <w:r w:rsidR="00330B9D">
        <w:rPr>
          <w:rFonts w:ascii="Times New Roman" w:hAnsi="Times New Roman" w:cs="Times New Roman"/>
          <w:sz w:val="24"/>
          <w:szCs w:val="24"/>
        </w:rPr>
        <w:t xml:space="preserve"> AJA</w:t>
      </w:r>
      <w:r w:rsidRPr="001D39B0">
        <w:rPr>
          <w:rFonts w:ascii="Times New Roman" w:hAnsi="Times New Roman" w:cs="Times New Roman"/>
          <w:sz w:val="24"/>
          <w:szCs w:val="24"/>
        </w:rPr>
        <w:t xml:space="preserve">. </w:t>
      </w:r>
      <w:r w:rsidR="00247FAB">
        <w:rPr>
          <w:rFonts w:ascii="Times New Roman" w:hAnsi="Times New Roman" w:cs="Times New Roman"/>
          <w:sz w:val="24"/>
          <w:szCs w:val="24"/>
        </w:rPr>
        <w:t xml:space="preserve"> </w:t>
      </w:r>
      <w:r w:rsidRPr="001D39B0">
        <w:rPr>
          <w:rFonts w:ascii="Times New Roman" w:hAnsi="Times New Roman" w:cs="Times New Roman"/>
          <w:sz w:val="24"/>
          <w:szCs w:val="24"/>
        </w:rPr>
        <w:t xml:space="preserve">It </w:t>
      </w:r>
      <w:r w:rsidR="002F6527">
        <w:rPr>
          <w:rFonts w:ascii="Times New Roman" w:hAnsi="Times New Roman" w:cs="Times New Roman"/>
          <w:sz w:val="24"/>
          <w:szCs w:val="24"/>
        </w:rPr>
        <w:t>held that</w:t>
      </w:r>
      <w:r w:rsidRPr="001D39B0">
        <w:rPr>
          <w:rFonts w:ascii="Times New Roman" w:hAnsi="Times New Roman" w:cs="Times New Roman"/>
          <w:sz w:val="24"/>
          <w:szCs w:val="24"/>
        </w:rPr>
        <w:t xml:space="preserve"> the forensic investigation undertaken by BDO</w:t>
      </w:r>
      <w:r>
        <w:rPr>
          <w:rFonts w:ascii="Times New Roman" w:hAnsi="Times New Roman" w:cs="Times New Roman"/>
          <w:sz w:val="24"/>
          <w:szCs w:val="24"/>
        </w:rPr>
        <w:t xml:space="preserve"> and its</w:t>
      </w:r>
      <w:r w:rsidRPr="001D39B0">
        <w:rPr>
          <w:rFonts w:ascii="Times New Roman" w:hAnsi="Times New Roman" w:cs="Times New Roman"/>
          <w:sz w:val="24"/>
          <w:szCs w:val="24"/>
        </w:rPr>
        <w:t xml:space="preserve"> report </w:t>
      </w:r>
      <w:r>
        <w:rPr>
          <w:rFonts w:ascii="Times New Roman" w:hAnsi="Times New Roman" w:cs="Times New Roman"/>
          <w:sz w:val="24"/>
          <w:szCs w:val="24"/>
        </w:rPr>
        <w:t>were</w:t>
      </w:r>
      <w:r w:rsidRPr="001D39B0">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1D39B0">
        <w:rPr>
          <w:rFonts w:ascii="Times New Roman" w:hAnsi="Times New Roman" w:cs="Times New Roman"/>
          <w:sz w:val="24"/>
          <w:szCs w:val="24"/>
        </w:rPr>
        <w:t>subject to review.</w:t>
      </w:r>
    </w:p>
    <w:p w:rsidR="00F934A9" w:rsidRPr="001D39B0" w:rsidRDefault="00F934A9" w:rsidP="00247FAB">
      <w:pPr>
        <w:pStyle w:val="ListParagraph"/>
        <w:spacing w:after="0" w:line="240" w:lineRule="auto"/>
        <w:ind w:left="450"/>
        <w:jc w:val="both"/>
        <w:rPr>
          <w:rFonts w:ascii="Times New Roman" w:hAnsi="Times New Roman" w:cs="Times New Roman"/>
          <w:sz w:val="24"/>
          <w:szCs w:val="24"/>
        </w:rPr>
      </w:pPr>
      <w:r w:rsidRPr="00394EE0">
        <w:rPr>
          <w:rFonts w:ascii="Times New Roman" w:hAnsi="Times New Roman" w:cs="Times New Roman"/>
          <w:sz w:val="24"/>
          <w:szCs w:val="24"/>
        </w:rPr>
        <w:t xml:space="preserve"> </w:t>
      </w:r>
    </w:p>
    <w:p w:rsidR="00F934A9" w:rsidRDefault="00F934A9" w:rsidP="003A24D1">
      <w:pPr>
        <w:pStyle w:val="ListParagraph"/>
        <w:numPr>
          <w:ilvl w:val="0"/>
          <w:numId w:val="6"/>
        </w:numPr>
        <w:spacing w:before="240" w:line="480" w:lineRule="auto"/>
        <w:ind w:left="360"/>
        <w:jc w:val="both"/>
        <w:rPr>
          <w:rFonts w:ascii="Times New Roman" w:hAnsi="Times New Roman" w:cs="Times New Roman"/>
          <w:sz w:val="24"/>
          <w:szCs w:val="24"/>
        </w:rPr>
      </w:pPr>
      <w:r w:rsidRPr="001D39B0">
        <w:rPr>
          <w:rFonts w:ascii="Times New Roman" w:hAnsi="Times New Roman" w:cs="Times New Roman"/>
          <w:sz w:val="24"/>
          <w:szCs w:val="24"/>
        </w:rPr>
        <w:t xml:space="preserve">The court </w:t>
      </w:r>
      <w:r w:rsidRPr="001D39B0">
        <w:rPr>
          <w:rFonts w:ascii="Times New Roman" w:hAnsi="Times New Roman" w:cs="Times New Roman"/>
          <w:i/>
          <w:sz w:val="24"/>
          <w:szCs w:val="24"/>
        </w:rPr>
        <w:t>a quo</w:t>
      </w:r>
      <w:r w:rsidRPr="001D39B0">
        <w:rPr>
          <w:rFonts w:ascii="Times New Roman" w:hAnsi="Times New Roman" w:cs="Times New Roman"/>
          <w:sz w:val="24"/>
          <w:szCs w:val="24"/>
        </w:rPr>
        <w:t xml:space="preserve"> determined that the engagement letter addressed to BDO indicated the possibility of disciplinary or criminal action </w:t>
      </w:r>
      <w:r w:rsidR="00A64A63">
        <w:rPr>
          <w:rFonts w:ascii="Times New Roman" w:hAnsi="Times New Roman" w:cs="Times New Roman"/>
          <w:sz w:val="24"/>
          <w:szCs w:val="24"/>
        </w:rPr>
        <w:t>against the respondent arising from the audit. It thus held that</w:t>
      </w:r>
      <w:r w:rsidRPr="001D39B0">
        <w:rPr>
          <w:rFonts w:ascii="Times New Roman" w:hAnsi="Times New Roman" w:cs="Times New Roman"/>
          <w:sz w:val="24"/>
          <w:szCs w:val="24"/>
        </w:rPr>
        <w:t xml:space="preserve"> it was reasonable for the respondent to perceive that the auditors were compromised as they appeared to be soliciting business related to proceedings that could either lead to the respondent’s prosecution or his dismissal from employment. </w:t>
      </w:r>
    </w:p>
    <w:p w:rsidR="00A73B67" w:rsidRPr="00A73B67" w:rsidRDefault="00A73B67" w:rsidP="00A73B67">
      <w:pPr>
        <w:pStyle w:val="ListParagraph"/>
        <w:rPr>
          <w:rFonts w:ascii="Times New Roman" w:hAnsi="Times New Roman" w:cs="Times New Roman"/>
          <w:sz w:val="24"/>
          <w:szCs w:val="24"/>
        </w:rPr>
      </w:pPr>
    </w:p>
    <w:p w:rsidR="00A64A63" w:rsidRDefault="00F934A9" w:rsidP="003A24D1">
      <w:pPr>
        <w:pStyle w:val="ListParagraph"/>
        <w:numPr>
          <w:ilvl w:val="0"/>
          <w:numId w:val="6"/>
        </w:numPr>
        <w:spacing w:before="240" w:line="480" w:lineRule="auto"/>
        <w:ind w:left="360"/>
        <w:jc w:val="both"/>
        <w:rPr>
          <w:rFonts w:ascii="Times New Roman" w:hAnsi="Times New Roman" w:cs="Times New Roman"/>
          <w:sz w:val="24"/>
          <w:szCs w:val="24"/>
        </w:rPr>
      </w:pPr>
      <w:r w:rsidRPr="00BF7313">
        <w:rPr>
          <w:rFonts w:ascii="Times New Roman" w:hAnsi="Times New Roman" w:cs="Times New Roman"/>
          <w:sz w:val="24"/>
          <w:szCs w:val="24"/>
        </w:rPr>
        <w:t xml:space="preserve">The court </w:t>
      </w:r>
      <w:r w:rsidRPr="00BF7313">
        <w:rPr>
          <w:rFonts w:ascii="Times New Roman" w:hAnsi="Times New Roman" w:cs="Times New Roman"/>
          <w:i/>
          <w:sz w:val="24"/>
          <w:szCs w:val="24"/>
        </w:rPr>
        <w:t>a quo</w:t>
      </w:r>
      <w:r w:rsidRPr="00BF7313">
        <w:rPr>
          <w:rFonts w:ascii="Times New Roman" w:hAnsi="Times New Roman" w:cs="Times New Roman"/>
          <w:sz w:val="24"/>
          <w:szCs w:val="24"/>
        </w:rPr>
        <w:t xml:space="preserve"> found that the report, in so far as it related </w:t>
      </w:r>
      <w:r w:rsidR="00330B9D">
        <w:rPr>
          <w:rFonts w:ascii="Times New Roman" w:hAnsi="Times New Roman" w:cs="Times New Roman"/>
          <w:sz w:val="24"/>
          <w:szCs w:val="24"/>
        </w:rPr>
        <w:t xml:space="preserve">to the </w:t>
      </w:r>
      <w:r w:rsidRPr="00BF7313">
        <w:rPr>
          <w:rFonts w:ascii="Times New Roman" w:hAnsi="Times New Roman" w:cs="Times New Roman"/>
          <w:sz w:val="24"/>
          <w:szCs w:val="24"/>
        </w:rPr>
        <w:t>responde</w:t>
      </w:r>
      <w:r w:rsidR="00330B9D">
        <w:rPr>
          <w:rFonts w:ascii="Times New Roman" w:hAnsi="Times New Roman" w:cs="Times New Roman"/>
          <w:sz w:val="24"/>
          <w:szCs w:val="24"/>
        </w:rPr>
        <w:t>nt</w:t>
      </w:r>
      <w:r w:rsidR="00F84CA3">
        <w:rPr>
          <w:rFonts w:ascii="Times New Roman" w:hAnsi="Times New Roman" w:cs="Times New Roman"/>
          <w:sz w:val="24"/>
          <w:szCs w:val="24"/>
        </w:rPr>
        <w:t>, was contrary to the</w:t>
      </w:r>
      <w:r w:rsidR="00330B9D">
        <w:rPr>
          <w:rFonts w:ascii="Times New Roman" w:hAnsi="Times New Roman" w:cs="Times New Roman"/>
          <w:sz w:val="24"/>
          <w:szCs w:val="24"/>
        </w:rPr>
        <w:t xml:space="preserve"> AJA</w:t>
      </w:r>
      <w:r w:rsidRPr="00BF7313">
        <w:rPr>
          <w:rFonts w:ascii="Times New Roman" w:hAnsi="Times New Roman" w:cs="Times New Roman"/>
          <w:sz w:val="24"/>
          <w:szCs w:val="24"/>
        </w:rPr>
        <w:t xml:space="preserve"> as read </w:t>
      </w:r>
      <w:r w:rsidR="00AF0751">
        <w:rPr>
          <w:rFonts w:ascii="Times New Roman" w:hAnsi="Times New Roman" w:cs="Times New Roman"/>
          <w:sz w:val="24"/>
          <w:szCs w:val="24"/>
        </w:rPr>
        <w:t xml:space="preserve">with s 309 of the Constitution.  </w:t>
      </w:r>
      <w:r w:rsidRPr="00BF7313">
        <w:rPr>
          <w:rFonts w:ascii="Times New Roman" w:hAnsi="Times New Roman" w:cs="Times New Roman"/>
          <w:sz w:val="24"/>
          <w:szCs w:val="24"/>
        </w:rPr>
        <w:t xml:space="preserve">Consequently, it ordered that the forensic audit be reviewed and set </w:t>
      </w:r>
      <w:r w:rsidR="009E6224">
        <w:rPr>
          <w:rFonts w:ascii="Times New Roman" w:hAnsi="Times New Roman" w:cs="Times New Roman"/>
          <w:sz w:val="24"/>
          <w:szCs w:val="24"/>
        </w:rPr>
        <w:t xml:space="preserve">it </w:t>
      </w:r>
      <w:r w:rsidRPr="00BF7313">
        <w:rPr>
          <w:rFonts w:ascii="Times New Roman" w:hAnsi="Times New Roman" w:cs="Times New Roman"/>
          <w:sz w:val="24"/>
          <w:szCs w:val="24"/>
        </w:rPr>
        <w:t>aside in all those respects that pertained, whether directly and/or indirectly, to the respondent.</w:t>
      </w:r>
      <w:r w:rsidR="00A64A63">
        <w:rPr>
          <w:rFonts w:ascii="Times New Roman" w:hAnsi="Times New Roman" w:cs="Times New Roman"/>
          <w:sz w:val="24"/>
          <w:szCs w:val="24"/>
        </w:rPr>
        <w:t xml:space="preserve"> </w:t>
      </w:r>
    </w:p>
    <w:p w:rsidR="00457A39" w:rsidRPr="00AF0751" w:rsidRDefault="00457A39" w:rsidP="00AF0751">
      <w:pPr>
        <w:spacing w:after="0" w:line="480" w:lineRule="auto"/>
        <w:jc w:val="both"/>
        <w:rPr>
          <w:rFonts w:ascii="Times New Roman" w:hAnsi="Times New Roman" w:cs="Times New Roman"/>
          <w:b/>
          <w:sz w:val="24"/>
          <w:szCs w:val="24"/>
          <w:u w:val="single"/>
        </w:rPr>
      </w:pPr>
      <w:r w:rsidRPr="00AF0751">
        <w:rPr>
          <w:rFonts w:ascii="Times New Roman" w:hAnsi="Times New Roman" w:cs="Times New Roman"/>
          <w:b/>
          <w:sz w:val="24"/>
          <w:szCs w:val="24"/>
          <w:u w:val="single"/>
        </w:rPr>
        <w:lastRenderedPageBreak/>
        <w:t>GROUNDS OF APPEAL</w:t>
      </w:r>
    </w:p>
    <w:p w:rsidR="00A64A63" w:rsidRDefault="00F934A9" w:rsidP="003A24D1">
      <w:pPr>
        <w:pStyle w:val="ListParagraph"/>
        <w:numPr>
          <w:ilvl w:val="0"/>
          <w:numId w:val="6"/>
        </w:numPr>
        <w:spacing w:after="0" w:line="480" w:lineRule="auto"/>
        <w:ind w:left="360"/>
        <w:jc w:val="both"/>
        <w:rPr>
          <w:rFonts w:ascii="Times New Roman" w:hAnsi="Times New Roman" w:cs="Times New Roman"/>
          <w:sz w:val="24"/>
          <w:szCs w:val="24"/>
        </w:rPr>
      </w:pPr>
      <w:r w:rsidRPr="00A64A63">
        <w:rPr>
          <w:rFonts w:ascii="Times New Roman" w:hAnsi="Times New Roman" w:cs="Times New Roman"/>
          <w:sz w:val="24"/>
          <w:szCs w:val="24"/>
        </w:rPr>
        <w:t xml:space="preserve">Aggrieved, the </w:t>
      </w:r>
      <w:r w:rsidR="00A64A63" w:rsidRPr="00A64A63">
        <w:rPr>
          <w:rFonts w:ascii="Times New Roman" w:hAnsi="Times New Roman" w:cs="Times New Roman"/>
          <w:sz w:val="24"/>
          <w:szCs w:val="24"/>
        </w:rPr>
        <w:t>appellants</w:t>
      </w:r>
      <w:r w:rsidRPr="00A64A63">
        <w:rPr>
          <w:rFonts w:ascii="Times New Roman" w:hAnsi="Times New Roman" w:cs="Times New Roman"/>
          <w:sz w:val="24"/>
          <w:szCs w:val="24"/>
        </w:rPr>
        <w:t xml:space="preserve"> noted the present appeals. </w:t>
      </w:r>
      <w:r w:rsidR="00A64A63" w:rsidRPr="00A64A63">
        <w:rPr>
          <w:rFonts w:ascii="Times New Roman" w:hAnsi="Times New Roman" w:cs="Times New Roman"/>
          <w:sz w:val="24"/>
          <w:szCs w:val="24"/>
        </w:rPr>
        <w:t xml:space="preserve">The grounds of appeal are essentially twofold. The first </w:t>
      </w:r>
      <w:r w:rsidR="00457A39">
        <w:rPr>
          <w:rFonts w:ascii="Times New Roman" w:hAnsi="Times New Roman" w:cs="Times New Roman"/>
          <w:sz w:val="24"/>
          <w:szCs w:val="24"/>
        </w:rPr>
        <w:t xml:space="preserve">ground </w:t>
      </w:r>
      <w:r w:rsidR="00A64A63" w:rsidRPr="00A64A63">
        <w:rPr>
          <w:rFonts w:ascii="Times New Roman" w:hAnsi="Times New Roman" w:cs="Times New Roman"/>
          <w:sz w:val="24"/>
          <w:szCs w:val="24"/>
        </w:rPr>
        <w:t xml:space="preserve">is premised on the contention that BDO’s investigations and report </w:t>
      </w:r>
      <w:r w:rsidR="00CC7F8C">
        <w:rPr>
          <w:rFonts w:ascii="Times New Roman" w:hAnsi="Times New Roman" w:cs="Times New Roman"/>
          <w:sz w:val="24"/>
          <w:szCs w:val="24"/>
        </w:rPr>
        <w:t>did not constitute</w:t>
      </w:r>
      <w:r w:rsidR="00A64A63" w:rsidRPr="00A64A63">
        <w:rPr>
          <w:rFonts w:ascii="Times New Roman" w:hAnsi="Times New Roman" w:cs="Times New Roman"/>
          <w:sz w:val="24"/>
          <w:szCs w:val="24"/>
        </w:rPr>
        <w:t xml:space="preserve"> an administrative action which is subject to review.  The second is grounded </w:t>
      </w:r>
      <w:r w:rsidR="00A64A63">
        <w:rPr>
          <w:rFonts w:ascii="Times New Roman" w:hAnsi="Times New Roman" w:cs="Times New Roman"/>
          <w:sz w:val="24"/>
          <w:szCs w:val="24"/>
        </w:rPr>
        <w:t xml:space="preserve">on the contention that </w:t>
      </w:r>
      <w:r w:rsidR="00A64A63" w:rsidRPr="001D39B0">
        <w:rPr>
          <w:rFonts w:ascii="Times New Roman" w:hAnsi="Times New Roman" w:cs="Times New Roman"/>
          <w:sz w:val="24"/>
          <w:szCs w:val="24"/>
        </w:rPr>
        <w:t xml:space="preserve">the audit was </w:t>
      </w:r>
      <w:r w:rsidR="00CC7F8C">
        <w:rPr>
          <w:rFonts w:ascii="Times New Roman" w:hAnsi="Times New Roman" w:cs="Times New Roman"/>
          <w:sz w:val="24"/>
          <w:szCs w:val="24"/>
        </w:rPr>
        <w:t xml:space="preserve">fair </w:t>
      </w:r>
      <w:r w:rsidR="00457A39">
        <w:rPr>
          <w:rFonts w:ascii="Times New Roman" w:hAnsi="Times New Roman" w:cs="Times New Roman"/>
          <w:sz w:val="24"/>
          <w:szCs w:val="24"/>
        </w:rPr>
        <w:t>on</w:t>
      </w:r>
      <w:r w:rsidR="00A64A63" w:rsidRPr="001D39B0">
        <w:rPr>
          <w:rFonts w:ascii="Times New Roman" w:hAnsi="Times New Roman" w:cs="Times New Roman"/>
          <w:sz w:val="24"/>
          <w:szCs w:val="24"/>
        </w:rPr>
        <w:t xml:space="preserve"> the </w:t>
      </w:r>
      <w:r w:rsidR="00A64A63" w:rsidRPr="00A64A63">
        <w:rPr>
          <w:rFonts w:ascii="Times New Roman" w:hAnsi="Times New Roman" w:cs="Times New Roman"/>
          <w:sz w:val="24"/>
          <w:szCs w:val="24"/>
        </w:rPr>
        <w:t>respondent</w:t>
      </w:r>
      <w:r w:rsidR="00A64A63">
        <w:rPr>
          <w:rFonts w:ascii="Times New Roman" w:hAnsi="Times New Roman" w:cs="Times New Roman"/>
          <w:sz w:val="24"/>
          <w:szCs w:val="24"/>
        </w:rPr>
        <w:t xml:space="preserve"> and </w:t>
      </w:r>
      <w:r w:rsidR="00CC7F8C">
        <w:rPr>
          <w:rFonts w:ascii="Times New Roman" w:hAnsi="Times New Roman" w:cs="Times New Roman"/>
          <w:sz w:val="24"/>
          <w:szCs w:val="24"/>
        </w:rPr>
        <w:t xml:space="preserve">did not </w:t>
      </w:r>
      <w:r w:rsidR="00A64A63" w:rsidRPr="001D39B0">
        <w:rPr>
          <w:rFonts w:ascii="Times New Roman" w:hAnsi="Times New Roman" w:cs="Times New Roman"/>
          <w:sz w:val="24"/>
          <w:szCs w:val="24"/>
        </w:rPr>
        <w:t xml:space="preserve">exhibited </w:t>
      </w:r>
      <w:r w:rsidR="00CC7F8C">
        <w:rPr>
          <w:rFonts w:ascii="Times New Roman" w:hAnsi="Times New Roman" w:cs="Times New Roman"/>
          <w:sz w:val="24"/>
          <w:szCs w:val="24"/>
        </w:rPr>
        <w:t xml:space="preserve">any </w:t>
      </w:r>
      <w:r w:rsidR="00A64A63" w:rsidRPr="001D39B0">
        <w:rPr>
          <w:rFonts w:ascii="Times New Roman" w:hAnsi="Times New Roman" w:cs="Times New Roman"/>
          <w:sz w:val="24"/>
          <w:szCs w:val="24"/>
        </w:rPr>
        <w:t>bias against</w:t>
      </w:r>
      <w:r w:rsidR="00A64A63">
        <w:rPr>
          <w:rFonts w:ascii="Times New Roman" w:hAnsi="Times New Roman" w:cs="Times New Roman"/>
          <w:sz w:val="24"/>
          <w:szCs w:val="24"/>
        </w:rPr>
        <w:t xml:space="preserve"> him</w:t>
      </w:r>
      <w:r w:rsidR="00A64A63" w:rsidRPr="00A64A63">
        <w:rPr>
          <w:rFonts w:ascii="Times New Roman" w:hAnsi="Times New Roman" w:cs="Times New Roman"/>
          <w:sz w:val="24"/>
          <w:szCs w:val="24"/>
        </w:rPr>
        <w:t>.</w:t>
      </w:r>
    </w:p>
    <w:p w:rsidR="003A24D1" w:rsidRPr="00A64A63" w:rsidRDefault="003A24D1" w:rsidP="003A24D1">
      <w:pPr>
        <w:pStyle w:val="ListParagraph"/>
        <w:spacing w:after="0" w:line="240" w:lineRule="auto"/>
        <w:ind w:left="360"/>
        <w:jc w:val="both"/>
        <w:rPr>
          <w:rFonts w:ascii="Times New Roman" w:hAnsi="Times New Roman" w:cs="Times New Roman"/>
          <w:sz w:val="24"/>
          <w:szCs w:val="24"/>
        </w:rPr>
      </w:pPr>
    </w:p>
    <w:p w:rsidR="00F934A9" w:rsidRPr="000255AE" w:rsidRDefault="00F934A9" w:rsidP="003A24D1">
      <w:pPr>
        <w:pStyle w:val="Default"/>
        <w:numPr>
          <w:ilvl w:val="0"/>
          <w:numId w:val="6"/>
        </w:numPr>
        <w:tabs>
          <w:tab w:val="left" w:pos="1276"/>
        </w:tabs>
        <w:spacing w:after="169" w:line="480" w:lineRule="auto"/>
        <w:ind w:left="360"/>
        <w:jc w:val="both"/>
      </w:pPr>
      <w:r>
        <w:rPr>
          <w:iCs/>
        </w:rPr>
        <w:t xml:space="preserve">Both appellants sought an order allowing the appeal and for the setting aside of the court </w:t>
      </w:r>
      <w:r>
        <w:rPr>
          <w:i/>
          <w:iCs/>
        </w:rPr>
        <w:t>a quo</w:t>
      </w:r>
      <w:r>
        <w:rPr>
          <w:iCs/>
        </w:rPr>
        <w:t xml:space="preserve">’s judgment and substitution thereof with an order dismissing the application before the court </w:t>
      </w:r>
      <w:r w:rsidRPr="000A30EB">
        <w:rPr>
          <w:i/>
          <w:iCs/>
        </w:rPr>
        <w:t>a quo</w:t>
      </w:r>
      <w:r>
        <w:rPr>
          <w:iCs/>
        </w:rPr>
        <w:t>.</w:t>
      </w:r>
    </w:p>
    <w:p w:rsidR="00F934A9" w:rsidRPr="001D39B0" w:rsidRDefault="00F934A9" w:rsidP="006A74A1">
      <w:pPr>
        <w:spacing w:after="0" w:line="240" w:lineRule="auto"/>
        <w:jc w:val="both"/>
        <w:rPr>
          <w:rFonts w:ascii="Times New Roman" w:eastAsia="Calibri" w:hAnsi="Times New Roman" w:cs="Times New Roman"/>
          <w:b/>
          <w:sz w:val="24"/>
          <w:szCs w:val="24"/>
          <w:u w:val="single"/>
        </w:rPr>
      </w:pPr>
      <w:r w:rsidRPr="001D39B0">
        <w:rPr>
          <w:rFonts w:ascii="Times New Roman" w:eastAsia="Calibri" w:hAnsi="Times New Roman" w:cs="Times New Roman"/>
          <w:b/>
          <w:sz w:val="24"/>
          <w:szCs w:val="24"/>
          <w:u w:val="single"/>
        </w:rPr>
        <w:t>PROCEEDINGS BEFORE THIS COURT</w:t>
      </w:r>
    </w:p>
    <w:p w:rsidR="00F934A9" w:rsidRPr="001D39B0" w:rsidRDefault="00F934A9" w:rsidP="006A74A1">
      <w:pPr>
        <w:spacing w:after="0" w:line="276" w:lineRule="auto"/>
        <w:jc w:val="both"/>
        <w:rPr>
          <w:rFonts w:ascii="Times New Roman" w:eastAsia="Calibri" w:hAnsi="Times New Roman" w:cs="Times New Roman"/>
          <w:b/>
          <w:sz w:val="24"/>
          <w:szCs w:val="24"/>
          <w:u w:val="single"/>
        </w:rPr>
      </w:pPr>
      <w:r w:rsidRPr="001D39B0">
        <w:rPr>
          <w:rFonts w:ascii="Times New Roman" w:eastAsia="Calibri" w:hAnsi="Times New Roman" w:cs="Times New Roman"/>
          <w:b/>
          <w:sz w:val="24"/>
          <w:szCs w:val="24"/>
          <w:u w:val="single"/>
        </w:rPr>
        <w:t>Submissions by appellants</w:t>
      </w:r>
    </w:p>
    <w:p w:rsidR="00F934A9" w:rsidRPr="00494D0A" w:rsidRDefault="00F934A9" w:rsidP="00B94C5D">
      <w:pPr>
        <w:pStyle w:val="ListParagraph"/>
        <w:numPr>
          <w:ilvl w:val="0"/>
          <w:numId w:val="6"/>
        </w:numPr>
        <w:spacing w:before="240" w:line="480" w:lineRule="auto"/>
        <w:ind w:left="360"/>
        <w:jc w:val="both"/>
        <w:rPr>
          <w:rFonts w:ascii="Times New Roman" w:eastAsia="Calibri" w:hAnsi="Times New Roman" w:cs="Times New Roman"/>
          <w:sz w:val="24"/>
          <w:szCs w:val="24"/>
        </w:rPr>
      </w:pPr>
      <w:proofErr w:type="spellStart"/>
      <w:r w:rsidRPr="00611882">
        <w:rPr>
          <w:rFonts w:ascii="Times New Roman" w:eastAsia="Calibri" w:hAnsi="Times New Roman" w:cs="Times New Roman"/>
          <w:sz w:val="24"/>
          <w:szCs w:val="24"/>
        </w:rPr>
        <w:t>Mr</w:t>
      </w:r>
      <w:proofErr w:type="spellEnd"/>
      <w:r w:rsidRPr="00611882">
        <w:rPr>
          <w:rFonts w:ascii="Times New Roman" w:eastAsia="Calibri" w:hAnsi="Times New Roman" w:cs="Times New Roman"/>
          <w:sz w:val="24"/>
          <w:szCs w:val="24"/>
        </w:rPr>
        <w:t xml:space="preserve"> </w:t>
      </w:r>
      <w:r w:rsidRPr="00611882">
        <w:rPr>
          <w:rFonts w:ascii="Times New Roman" w:eastAsia="Calibri" w:hAnsi="Times New Roman" w:cs="Times New Roman"/>
          <w:i/>
          <w:sz w:val="24"/>
          <w:szCs w:val="24"/>
        </w:rPr>
        <w:t>Zhuwarara</w:t>
      </w:r>
      <w:r w:rsidRPr="00611882">
        <w:rPr>
          <w:rFonts w:ascii="Times New Roman" w:eastAsia="Calibri" w:hAnsi="Times New Roman" w:cs="Times New Roman"/>
          <w:sz w:val="24"/>
          <w:szCs w:val="24"/>
        </w:rPr>
        <w:t xml:space="preserve">, appearing </w:t>
      </w:r>
      <w:r w:rsidR="00330B9D">
        <w:rPr>
          <w:rFonts w:ascii="Times New Roman" w:eastAsia="Calibri" w:hAnsi="Times New Roman" w:cs="Times New Roman"/>
          <w:sz w:val="24"/>
          <w:szCs w:val="24"/>
        </w:rPr>
        <w:t>on behalf of</w:t>
      </w:r>
      <w:r w:rsidRPr="00611882">
        <w:rPr>
          <w:rFonts w:ascii="Times New Roman" w:eastAsia="Calibri" w:hAnsi="Times New Roman" w:cs="Times New Roman"/>
          <w:sz w:val="24"/>
          <w:szCs w:val="24"/>
        </w:rPr>
        <w:t xml:space="preserve"> BDO, argued that the respondent could only </w:t>
      </w:r>
      <w:r w:rsidRPr="00611882">
        <w:rPr>
          <w:rFonts w:ascii="Times New Roman" w:hAnsi="Times New Roman" w:cs="Times New Roman"/>
          <w:sz w:val="24"/>
          <w:szCs w:val="24"/>
        </w:rPr>
        <w:t>impugn a decision of an administrati</w:t>
      </w:r>
      <w:r w:rsidR="00330B9D">
        <w:rPr>
          <w:rFonts w:ascii="Times New Roman" w:hAnsi="Times New Roman" w:cs="Times New Roman"/>
          <w:sz w:val="24"/>
          <w:szCs w:val="24"/>
        </w:rPr>
        <w:t>ve authority in terms of s 4 of the AJA</w:t>
      </w:r>
      <w:r w:rsidRPr="00611882">
        <w:rPr>
          <w:rFonts w:ascii="Times New Roman" w:hAnsi="Times New Roman" w:cs="Times New Roman"/>
          <w:sz w:val="24"/>
          <w:szCs w:val="24"/>
        </w:rPr>
        <w:t>.</w:t>
      </w:r>
      <w:r w:rsidRPr="00611882">
        <w:rPr>
          <w:rFonts w:ascii="Times New Roman" w:eastAsia="Calibri" w:hAnsi="Times New Roman" w:cs="Times New Roman"/>
          <w:sz w:val="24"/>
          <w:szCs w:val="24"/>
        </w:rPr>
        <w:t xml:space="preserve"> </w:t>
      </w:r>
      <w:r w:rsidR="00494D0A">
        <w:rPr>
          <w:rFonts w:ascii="Times New Roman" w:eastAsia="Calibri" w:hAnsi="Times New Roman" w:cs="Times New Roman"/>
          <w:sz w:val="24"/>
          <w:szCs w:val="24"/>
        </w:rPr>
        <w:t xml:space="preserve"> </w:t>
      </w:r>
      <w:r w:rsidRPr="00611882">
        <w:rPr>
          <w:rFonts w:ascii="Times New Roman" w:eastAsia="Calibri" w:hAnsi="Times New Roman" w:cs="Times New Roman"/>
          <w:sz w:val="24"/>
          <w:szCs w:val="24"/>
        </w:rPr>
        <w:t xml:space="preserve">He further argued that BDO was not an administrative authority. </w:t>
      </w:r>
      <w:r w:rsidR="00494D0A">
        <w:rPr>
          <w:rFonts w:ascii="Times New Roman" w:eastAsia="Calibri" w:hAnsi="Times New Roman" w:cs="Times New Roman"/>
          <w:sz w:val="24"/>
          <w:szCs w:val="24"/>
        </w:rPr>
        <w:t xml:space="preserve"> </w:t>
      </w:r>
      <w:r w:rsidRPr="00611882">
        <w:rPr>
          <w:rFonts w:ascii="Times New Roman" w:eastAsia="Calibri" w:hAnsi="Times New Roman" w:cs="Times New Roman"/>
          <w:sz w:val="24"/>
          <w:szCs w:val="24"/>
        </w:rPr>
        <w:t xml:space="preserve">He submitted that its actions were not grounded in statute but rather in terms of the contract concluded with the </w:t>
      </w:r>
      <w:r w:rsidR="00B43646">
        <w:rPr>
          <w:rFonts w:ascii="Times New Roman" w:eastAsia="Calibri" w:hAnsi="Times New Roman" w:cs="Times New Roman"/>
          <w:sz w:val="24"/>
          <w:szCs w:val="24"/>
        </w:rPr>
        <w:t>Auditor-General</w:t>
      </w:r>
      <w:r w:rsidR="009E6224">
        <w:rPr>
          <w:rFonts w:ascii="Times New Roman" w:eastAsia="Calibri" w:hAnsi="Times New Roman" w:cs="Times New Roman"/>
          <w:sz w:val="24"/>
          <w:szCs w:val="24"/>
        </w:rPr>
        <w:t xml:space="preserve"> in terms of the Audit</w:t>
      </w:r>
      <w:r w:rsidRPr="00611882">
        <w:rPr>
          <w:rFonts w:ascii="Times New Roman" w:eastAsia="Calibri" w:hAnsi="Times New Roman" w:cs="Times New Roman"/>
          <w:sz w:val="24"/>
          <w:szCs w:val="24"/>
        </w:rPr>
        <w:t xml:space="preserve"> Office Act. </w:t>
      </w:r>
      <w:r w:rsidR="00494D0A">
        <w:rPr>
          <w:rFonts w:ascii="Times New Roman" w:eastAsia="Calibri" w:hAnsi="Times New Roman" w:cs="Times New Roman"/>
          <w:sz w:val="24"/>
          <w:szCs w:val="24"/>
        </w:rPr>
        <w:t xml:space="preserve"> </w:t>
      </w:r>
      <w:r w:rsidRPr="00611882">
        <w:rPr>
          <w:rFonts w:ascii="Times New Roman" w:eastAsia="Calibri" w:hAnsi="Times New Roman" w:cs="Times New Roman"/>
          <w:sz w:val="24"/>
          <w:szCs w:val="24"/>
        </w:rPr>
        <w:t xml:space="preserve">He submitted that BDO was therefore not exercising administrative authority when it investigated NSSA and prepared its forensic report. </w:t>
      </w:r>
      <w:r w:rsidR="00494D0A">
        <w:rPr>
          <w:rFonts w:ascii="Times New Roman" w:eastAsia="Calibri" w:hAnsi="Times New Roman" w:cs="Times New Roman"/>
          <w:sz w:val="24"/>
          <w:szCs w:val="24"/>
        </w:rPr>
        <w:t xml:space="preserve"> </w:t>
      </w:r>
      <w:r w:rsidRPr="00611882">
        <w:rPr>
          <w:rFonts w:ascii="Times New Roman" w:eastAsia="Calibri" w:hAnsi="Times New Roman" w:cs="Times New Roman"/>
          <w:sz w:val="24"/>
          <w:szCs w:val="24"/>
        </w:rPr>
        <w:t xml:space="preserve">It was merely making recommendations for the </w:t>
      </w:r>
      <w:r w:rsidR="00B43646">
        <w:rPr>
          <w:rFonts w:ascii="Times New Roman" w:eastAsia="Calibri" w:hAnsi="Times New Roman" w:cs="Times New Roman"/>
          <w:sz w:val="24"/>
          <w:szCs w:val="24"/>
        </w:rPr>
        <w:t>Auditor-General</w:t>
      </w:r>
      <w:r w:rsidRPr="00611882">
        <w:rPr>
          <w:rFonts w:ascii="Times New Roman" w:eastAsia="Calibri" w:hAnsi="Times New Roman" w:cs="Times New Roman"/>
          <w:sz w:val="24"/>
          <w:szCs w:val="24"/>
        </w:rPr>
        <w:t xml:space="preserve">’s consideration. He argued that it is the </w:t>
      </w:r>
      <w:r w:rsidR="00B43646">
        <w:rPr>
          <w:rFonts w:ascii="Times New Roman" w:eastAsia="Calibri" w:hAnsi="Times New Roman" w:cs="Times New Roman"/>
          <w:sz w:val="24"/>
          <w:szCs w:val="24"/>
        </w:rPr>
        <w:t>Auditor-General</w:t>
      </w:r>
      <w:r w:rsidRPr="00611882">
        <w:rPr>
          <w:rFonts w:ascii="Times New Roman" w:eastAsia="Calibri" w:hAnsi="Times New Roman" w:cs="Times New Roman"/>
          <w:sz w:val="24"/>
          <w:szCs w:val="24"/>
        </w:rPr>
        <w:t xml:space="preserve"> who would exercise administrative authority when it would make a decision upon consideration of the forensic report.</w:t>
      </w:r>
      <w:r w:rsidRPr="00611882">
        <w:rPr>
          <w:rFonts w:ascii="Times New Roman" w:hAnsi="Times New Roman" w:cs="Times New Roman"/>
          <w:sz w:val="24"/>
          <w:szCs w:val="24"/>
        </w:rPr>
        <w:t xml:space="preserve"> </w:t>
      </w:r>
      <w:r w:rsidR="00494D0A">
        <w:rPr>
          <w:rFonts w:ascii="Times New Roman" w:hAnsi="Times New Roman" w:cs="Times New Roman"/>
          <w:sz w:val="24"/>
          <w:szCs w:val="24"/>
        </w:rPr>
        <w:t xml:space="preserve"> </w:t>
      </w:r>
      <w:r w:rsidR="00900AAC">
        <w:rPr>
          <w:rFonts w:ascii="Times New Roman" w:hAnsi="Times New Roman" w:cs="Times New Roman"/>
          <w:sz w:val="24"/>
          <w:szCs w:val="24"/>
        </w:rPr>
        <w:t>He</w:t>
      </w:r>
      <w:r w:rsidRPr="00611882">
        <w:rPr>
          <w:rFonts w:ascii="Times New Roman" w:hAnsi="Times New Roman" w:cs="Times New Roman"/>
          <w:sz w:val="24"/>
          <w:szCs w:val="24"/>
        </w:rPr>
        <w:t xml:space="preserve"> further argued that the court </w:t>
      </w:r>
      <w:r w:rsidRPr="00611882">
        <w:rPr>
          <w:rFonts w:ascii="Times New Roman" w:hAnsi="Times New Roman" w:cs="Times New Roman"/>
          <w:i/>
          <w:sz w:val="24"/>
          <w:szCs w:val="24"/>
        </w:rPr>
        <w:t xml:space="preserve">a quo </w:t>
      </w:r>
      <w:r w:rsidRPr="00611882">
        <w:rPr>
          <w:rFonts w:ascii="Times New Roman" w:hAnsi="Times New Roman" w:cs="Times New Roman"/>
          <w:sz w:val="24"/>
          <w:szCs w:val="24"/>
        </w:rPr>
        <w:t>misdirected itself in finding that BDO was an administrative authority and that its forensic report was therefore reviewable.</w:t>
      </w:r>
    </w:p>
    <w:p w:rsidR="00494D0A" w:rsidRPr="00611882" w:rsidRDefault="00494D0A" w:rsidP="00494D0A">
      <w:pPr>
        <w:pStyle w:val="ListParagraph"/>
        <w:spacing w:after="0" w:line="240" w:lineRule="auto"/>
        <w:ind w:left="450"/>
        <w:jc w:val="both"/>
        <w:rPr>
          <w:rFonts w:ascii="Times New Roman" w:eastAsia="Calibri" w:hAnsi="Times New Roman" w:cs="Times New Roman"/>
          <w:sz w:val="24"/>
          <w:szCs w:val="24"/>
        </w:rPr>
      </w:pPr>
    </w:p>
    <w:p w:rsidR="00385393" w:rsidRDefault="00F934A9" w:rsidP="00B94C5D">
      <w:pPr>
        <w:pStyle w:val="ListParagraph"/>
        <w:numPr>
          <w:ilvl w:val="0"/>
          <w:numId w:val="6"/>
        </w:numPr>
        <w:spacing w:before="240" w:line="480" w:lineRule="auto"/>
        <w:ind w:left="360"/>
        <w:jc w:val="both"/>
        <w:rPr>
          <w:rFonts w:ascii="Times New Roman" w:eastAsia="Calibri" w:hAnsi="Times New Roman" w:cs="Times New Roman"/>
          <w:sz w:val="24"/>
          <w:szCs w:val="24"/>
        </w:rPr>
      </w:pPr>
      <w:r w:rsidRPr="00385393">
        <w:rPr>
          <w:rFonts w:ascii="Times New Roman" w:eastAsia="Calibri" w:hAnsi="Times New Roman" w:cs="Times New Roman"/>
          <w:sz w:val="24"/>
          <w:szCs w:val="24"/>
        </w:rPr>
        <w:t xml:space="preserve">Counsel further contended that no constitutional question was placed before the High Court. The matter concerned an interpretation of </w:t>
      </w:r>
      <w:r w:rsidR="00330B9D" w:rsidRPr="00385393">
        <w:rPr>
          <w:rFonts w:ascii="Times New Roman" w:eastAsia="Calibri" w:hAnsi="Times New Roman" w:cs="Times New Roman"/>
          <w:sz w:val="24"/>
          <w:szCs w:val="24"/>
        </w:rPr>
        <w:t>the AJA</w:t>
      </w:r>
      <w:r w:rsidRPr="00385393">
        <w:rPr>
          <w:rFonts w:ascii="Times New Roman" w:eastAsia="Calibri" w:hAnsi="Times New Roman" w:cs="Times New Roman"/>
          <w:sz w:val="24"/>
          <w:szCs w:val="24"/>
        </w:rPr>
        <w:t xml:space="preserve">. He submitted that the </w:t>
      </w:r>
      <w:r w:rsidRPr="00385393">
        <w:rPr>
          <w:rFonts w:ascii="Times New Roman" w:eastAsia="Calibri" w:hAnsi="Times New Roman" w:cs="Times New Roman"/>
          <w:sz w:val="24"/>
          <w:szCs w:val="24"/>
        </w:rPr>
        <w:lastRenderedPageBreak/>
        <w:t xml:space="preserve">Constitutional Court was correct in its finding in </w:t>
      </w:r>
      <w:r w:rsidR="00EB15EC" w:rsidRPr="00385393">
        <w:rPr>
          <w:rFonts w:ascii="Times New Roman" w:eastAsia="Calibri" w:hAnsi="Times New Roman" w:cs="Times New Roman"/>
          <w:i/>
          <w:sz w:val="24"/>
          <w:szCs w:val="24"/>
        </w:rPr>
        <w:t>Vela</w:t>
      </w:r>
      <w:r w:rsidR="00EB15EC" w:rsidRPr="00385393">
        <w:rPr>
          <w:rFonts w:ascii="Times New Roman" w:eastAsia="Calibri" w:hAnsi="Times New Roman" w:cs="Times New Roman"/>
          <w:sz w:val="24"/>
          <w:szCs w:val="24"/>
        </w:rPr>
        <w:t xml:space="preserve"> v </w:t>
      </w:r>
      <w:r w:rsidR="00330B9D" w:rsidRPr="00385393">
        <w:rPr>
          <w:rFonts w:ascii="Times New Roman" w:eastAsia="Calibri" w:hAnsi="Times New Roman" w:cs="Times New Roman"/>
          <w:i/>
          <w:sz w:val="24"/>
          <w:szCs w:val="24"/>
        </w:rPr>
        <w:t>T</w:t>
      </w:r>
      <w:r w:rsidR="00EB15EC" w:rsidRPr="00385393">
        <w:rPr>
          <w:rFonts w:ascii="Times New Roman" w:eastAsia="Calibri" w:hAnsi="Times New Roman" w:cs="Times New Roman"/>
          <w:i/>
          <w:sz w:val="24"/>
          <w:szCs w:val="24"/>
        </w:rPr>
        <w:t xml:space="preserve">he </w:t>
      </w:r>
      <w:r w:rsidR="00B43646" w:rsidRPr="00385393">
        <w:rPr>
          <w:rFonts w:ascii="Times New Roman" w:eastAsia="Calibri" w:hAnsi="Times New Roman" w:cs="Times New Roman"/>
          <w:i/>
          <w:sz w:val="24"/>
          <w:szCs w:val="24"/>
        </w:rPr>
        <w:t>Auditor-General</w:t>
      </w:r>
      <w:r w:rsidR="00EB15EC" w:rsidRPr="00385393">
        <w:rPr>
          <w:rFonts w:ascii="Times New Roman" w:eastAsia="Calibri" w:hAnsi="Times New Roman" w:cs="Times New Roman"/>
          <w:i/>
          <w:sz w:val="24"/>
          <w:szCs w:val="24"/>
        </w:rPr>
        <w:t xml:space="preserve"> &amp; Anor</w:t>
      </w:r>
      <w:r w:rsidR="00494D0A">
        <w:rPr>
          <w:rFonts w:ascii="Times New Roman" w:eastAsia="Calibri" w:hAnsi="Times New Roman" w:cs="Times New Roman"/>
          <w:sz w:val="24"/>
          <w:szCs w:val="24"/>
        </w:rPr>
        <w:t xml:space="preserve"> CCZ 10/</w:t>
      </w:r>
      <w:r w:rsidR="00EB15EC" w:rsidRPr="00385393">
        <w:rPr>
          <w:rFonts w:ascii="Times New Roman" w:eastAsia="Calibri" w:hAnsi="Times New Roman" w:cs="Times New Roman"/>
          <w:sz w:val="24"/>
          <w:szCs w:val="24"/>
        </w:rPr>
        <w:t>24</w:t>
      </w:r>
      <w:r w:rsidRPr="00385393">
        <w:rPr>
          <w:rFonts w:ascii="Times New Roman" w:eastAsia="Calibri" w:hAnsi="Times New Roman" w:cs="Times New Roman"/>
          <w:sz w:val="24"/>
          <w:szCs w:val="24"/>
        </w:rPr>
        <w:t xml:space="preserve"> </w:t>
      </w:r>
      <w:r w:rsidR="00EB15EC" w:rsidRPr="00385393">
        <w:rPr>
          <w:rFonts w:ascii="Times New Roman" w:eastAsia="Calibri" w:hAnsi="Times New Roman" w:cs="Times New Roman"/>
          <w:sz w:val="24"/>
          <w:szCs w:val="24"/>
        </w:rPr>
        <w:t>(</w:t>
      </w:r>
      <w:r w:rsidR="00494D0A">
        <w:rPr>
          <w:rFonts w:ascii="Times New Roman" w:eastAsia="Calibri" w:hAnsi="Times New Roman" w:cs="Times New Roman"/>
          <w:sz w:val="24"/>
          <w:szCs w:val="24"/>
        </w:rPr>
        <w:t>CCZ 10/</w:t>
      </w:r>
      <w:r w:rsidRPr="00385393">
        <w:rPr>
          <w:rFonts w:ascii="Times New Roman" w:eastAsia="Calibri" w:hAnsi="Times New Roman" w:cs="Times New Roman"/>
          <w:sz w:val="24"/>
          <w:szCs w:val="24"/>
        </w:rPr>
        <w:t>24</w:t>
      </w:r>
      <w:r w:rsidR="00EB15EC" w:rsidRPr="00385393">
        <w:rPr>
          <w:rFonts w:ascii="Times New Roman" w:eastAsia="Calibri" w:hAnsi="Times New Roman" w:cs="Times New Roman"/>
          <w:sz w:val="24"/>
          <w:szCs w:val="24"/>
        </w:rPr>
        <w:t>)</w:t>
      </w:r>
      <w:r w:rsidRPr="00385393">
        <w:rPr>
          <w:rFonts w:ascii="Times New Roman" w:eastAsia="Calibri" w:hAnsi="Times New Roman" w:cs="Times New Roman"/>
          <w:sz w:val="24"/>
          <w:szCs w:val="24"/>
        </w:rPr>
        <w:t>, that the court</w:t>
      </w:r>
      <w:r w:rsidRPr="00385393">
        <w:rPr>
          <w:rFonts w:ascii="Times New Roman" w:eastAsia="Calibri" w:hAnsi="Times New Roman" w:cs="Times New Roman"/>
          <w:i/>
          <w:sz w:val="24"/>
          <w:szCs w:val="24"/>
        </w:rPr>
        <w:t xml:space="preserve"> a quo</w:t>
      </w:r>
      <w:r w:rsidRPr="00385393">
        <w:rPr>
          <w:rFonts w:ascii="Times New Roman" w:eastAsia="Calibri" w:hAnsi="Times New Roman" w:cs="Times New Roman"/>
          <w:sz w:val="24"/>
          <w:szCs w:val="24"/>
        </w:rPr>
        <w:t xml:space="preserve"> had erroneously r</w:t>
      </w:r>
      <w:r w:rsidR="0005009C">
        <w:rPr>
          <w:rFonts w:ascii="Times New Roman" w:eastAsia="Calibri" w:hAnsi="Times New Roman" w:cs="Times New Roman"/>
          <w:sz w:val="24"/>
          <w:szCs w:val="24"/>
        </w:rPr>
        <w:t>elied on an interpretation of s </w:t>
      </w:r>
      <w:r w:rsidRPr="00385393">
        <w:rPr>
          <w:rFonts w:ascii="Times New Roman" w:eastAsia="Calibri" w:hAnsi="Times New Roman" w:cs="Times New Roman"/>
          <w:sz w:val="24"/>
          <w:szCs w:val="24"/>
        </w:rPr>
        <w:t xml:space="preserve">309 of the Constitution in determining a non-constitutional matter. </w:t>
      </w:r>
      <w:r w:rsidR="0005009C">
        <w:rPr>
          <w:rFonts w:ascii="Times New Roman" w:eastAsia="Calibri" w:hAnsi="Times New Roman" w:cs="Times New Roman"/>
          <w:sz w:val="24"/>
          <w:szCs w:val="24"/>
        </w:rPr>
        <w:t xml:space="preserve"> </w:t>
      </w:r>
      <w:r w:rsidRPr="00385393">
        <w:rPr>
          <w:rFonts w:ascii="Times New Roman" w:eastAsia="Calibri" w:hAnsi="Times New Roman" w:cs="Times New Roman"/>
          <w:sz w:val="24"/>
          <w:szCs w:val="24"/>
        </w:rPr>
        <w:t xml:space="preserve">He further submitted that the court </w:t>
      </w:r>
      <w:r w:rsidRPr="00385393">
        <w:rPr>
          <w:rFonts w:ascii="Times New Roman" w:eastAsia="Calibri" w:hAnsi="Times New Roman" w:cs="Times New Roman"/>
          <w:i/>
          <w:sz w:val="24"/>
          <w:szCs w:val="24"/>
        </w:rPr>
        <w:t xml:space="preserve">a quo </w:t>
      </w:r>
      <w:r w:rsidRPr="00385393">
        <w:rPr>
          <w:rFonts w:ascii="Times New Roman" w:eastAsia="Calibri" w:hAnsi="Times New Roman" w:cs="Times New Roman"/>
          <w:sz w:val="24"/>
          <w:szCs w:val="24"/>
        </w:rPr>
        <w:t xml:space="preserve">also erroneously relied on </w:t>
      </w:r>
      <w:proofErr w:type="spellStart"/>
      <w:r w:rsidRPr="00385393">
        <w:rPr>
          <w:rFonts w:ascii="Times New Roman" w:eastAsia="Calibri" w:hAnsi="Times New Roman" w:cs="Times New Roman"/>
          <w:sz w:val="24"/>
          <w:szCs w:val="24"/>
        </w:rPr>
        <w:t>ss</w:t>
      </w:r>
      <w:proofErr w:type="spellEnd"/>
      <w:r w:rsidRPr="00385393">
        <w:rPr>
          <w:rFonts w:ascii="Times New Roman" w:eastAsia="Calibri" w:hAnsi="Times New Roman" w:cs="Times New Roman"/>
          <w:sz w:val="24"/>
          <w:szCs w:val="24"/>
        </w:rPr>
        <w:t xml:space="preserve"> 46 (2) and 68 of the Constitution in the same vein. </w:t>
      </w:r>
      <w:r w:rsidR="0005009C">
        <w:rPr>
          <w:rFonts w:ascii="Times New Roman" w:eastAsia="Calibri" w:hAnsi="Times New Roman" w:cs="Times New Roman"/>
          <w:sz w:val="24"/>
          <w:szCs w:val="24"/>
        </w:rPr>
        <w:t xml:space="preserve"> </w:t>
      </w:r>
      <w:r w:rsidRPr="00385393">
        <w:rPr>
          <w:rFonts w:ascii="Times New Roman" w:eastAsia="Calibri" w:hAnsi="Times New Roman" w:cs="Times New Roman"/>
          <w:sz w:val="24"/>
          <w:szCs w:val="24"/>
        </w:rPr>
        <w:t>He argued</w:t>
      </w:r>
      <w:r w:rsidR="00330B9D" w:rsidRPr="00385393">
        <w:rPr>
          <w:rFonts w:ascii="Times New Roman" w:eastAsia="Calibri" w:hAnsi="Times New Roman" w:cs="Times New Roman"/>
          <w:sz w:val="24"/>
          <w:szCs w:val="24"/>
        </w:rPr>
        <w:t xml:space="preserve"> that</w:t>
      </w:r>
      <w:r w:rsidRPr="00385393">
        <w:rPr>
          <w:rFonts w:ascii="Times New Roman" w:eastAsia="Calibri" w:hAnsi="Times New Roman" w:cs="Times New Roman"/>
          <w:sz w:val="24"/>
          <w:szCs w:val="24"/>
        </w:rPr>
        <w:t xml:space="preserve"> </w:t>
      </w:r>
      <w:r w:rsidRPr="00385393">
        <w:rPr>
          <w:rFonts w:ascii="Times New Roman" w:hAnsi="Times New Roman" w:cs="Times New Roman"/>
          <w:sz w:val="24"/>
          <w:szCs w:val="24"/>
        </w:rPr>
        <w:t>once it is established that the court</w:t>
      </w:r>
      <w:r w:rsidRPr="00385393">
        <w:rPr>
          <w:rFonts w:ascii="Times New Roman" w:hAnsi="Times New Roman" w:cs="Times New Roman"/>
          <w:i/>
          <w:sz w:val="24"/>
          <w:szCs w:val="24"/>
        </w:rPr>
        <w:t xml:space="preserve"> a quo</w:t>
      </w:r>
      <w:r w:rsidRPr="00385393">
        <w:rPr>
          <w:rFonts w:ascii="Times New Roman" w:hAnsi="Times New Roman" w:cs="Times New Roman"/>
          <w:sz w:val="24"/>
          <w:szCs w:val="24"/>
        </w:rPr>
        <w:t>’s</w:t>
      </w:r>
      <w:r w:rsidRPr="00385393">
        <w:rPr>
          <w:rFonts w:ascii="Times New Roman" w:hAnsi="Times New Roman" w:cs="Times New Roman"/>
          <w:i/>
          <w:sz w:val="24"/>
          <w:szCs w:val="24"/>
        </w:rPr>
        <w:t xml:space="preserve"> </w:t>
      </w:r>
      <w:r w:rsidRPr="00385393">
        <w:rPr>
          <w:rFonts w:ascii="Times New Roman" w:hAnsi="Times New Roman" w:cs="Times New Roman"/>
          <w:sz w:val="24"/>
          <w:szCs w:val="24"/>
        </w:rPr>
        <w:t xml:space="preserve">reference to the constitution was not necessary, </w:t>
      </w:r>
      <w:r w:rsidRPr="00385393">
        <w:rPr>
          <w:rFonts w:ascii="Times New Roman" w:eastAsia="Calibri" w:hAnsi="Times New Roman" w:cs="Times New Roman"/>
          <w:sz w:val="24"/>
          <w:szCs w:val="24"/>
        </w:rPr>
        <w:t xml:space="preserve">this Court is bound to set aside the judgment of the court </w:t>
      </w:r>
      <w:r w:rsidRPr="00385393">
        <w:rPr>
          <w:rFonts w:ascii="Times New Roman" w:eastAsia="Calibri" w:hAnsi="Times New Roman" w:cs="Times New Roman"/>
          <w:i/>
          <w:sz w:val="24"/>
          <w:szCs w:val="24"/>
        </w:rPr>
        <w:t xml:space="preserve">a quo </w:t>
      </w:r>
      <w:r w:rsidRPr="00385393">
        <w:rPr>
          <w:rFonts w:ascii="Times New Roman" w:eastAsia="Calibri" w:hAnsi="Times New Roman" w:cs="Times New Roman"/>
          <w:sz w:val="24"/>
          <w:szCs w:val="24"/>
        </w:rPr>
        <w:t xml:space="preserve">and remit the matter to the court </w:t>
      </w:r>
      <w:r w:rsidRPr="00385393">
        <w:rPr>
          <w:rFonts w:ascii="Times New Roman" w:eastAsia="Calibri" w:hAnsi="Times New Roman" w:cs="Times New Roman"/>
          <w:i/>
          <w:sz w:val="24"/>
          <w:szCs w:val="24"/>
        </w:rPr>
        <w:t>a quo</w:t>
      </w:r>
      <w:r w:rsidRPr="00385393">
        <w:rPr>
          <w:rFonts w:ascii="Times New Roman" w:eastAsia="Calibri" w:hAnsi="Times New Roman" w:cs="Times New Roman"/>
          <w:sz w:val="24"/>
          <w:szCs w:val="24"/>
        </w:rPr>
        <w:t xml:space="preserve"> for a fresh determination. </w:t>
      </w:r>
    </w:p>
    <w:p w:rsidR="0005009C" w:rsidRPr="0005009C" w:rsidRDefault="0005009C" w:rsidP="0005009C">
      <w:pPr>
        <w:pStyle w:val="ListParagraph"/>
        <w:rPr>
          <w:rFonts w:ascii="Times New Roman" w:eastAsia="Calibri" w:hAnsi="Times New Roman" w:cs="Times New Roman"/>
          <w:sz w:val="24"/>
          <w:szCs w:val="24"/>
        </w:rPr>
      </w:pPr>
    </w:p>
    <w:p w:rsidR="00C03C48" w:rsidRPr="00C03C48" w:rsidRDefault="00F934A9" w:rsidP="00B94C5D">
      <w:pPr>
        <w:pStyle w:val="ListParagraph"/>
        <w:numPr>
          <w:ilvl w:val="0"/>
          <w:numId w:val="6"/>
        </w:numPr>
        <w:spacing w:before="240" w:line="480" w:lineRule="auto"/>
        <w:ind w:left="360"/>
        <w:jc w:val="both"/>
        <w:rPr>
          <w:rFonts w:ascii="Times New Roman" w:eastAsia="Calibri" w:hAnsi="Times New Roman" w:cs="Times New Roman"/>
          <w:sz w:val="24"/>
          <w:szCs w:val="24"/>
        </w:rPr>
      </w:pPr>
      <w:proofErr w:type="spellStart"/>
      <w:r w:rsidRPr="00385393">
        <w:rPr>
          <w:rFonts w:ascii="Times New Roman" w:eastAsia="Calibri" w:hAnsi="Times New Roman" w:cs="Times New Roman"/>
          <w:sz w:val="24"/>
          <w:szCs w:val="24"/>
        </w:rPr>
        <w:t>Mr</w:t>
      </w:r>
      <w:proofErr w:type="spellEnd"/>
      <w:r w:rsidRPr="00385393">
        <w:rPr>
          <w:rFonts w:ascii="Times New Roman" w:eastAsia="Calibri" w:hAnsi="Times New Roman" w:cs="Times New Roman"/>
          <w:sz w:val="24"/>
          <w:szCs w:val="24"/>
        </w:rPr>
        <w:t xml:space="preserve"> </w:t>
      </w:r>
      <w:proofErr w:type="spellStart"/>
      <w:r w:rsidRPr="00385393">
        <w:rPr>
          <w:rFonts w:ascii="Times New Roman" w:eastAsia="Calibri" w:hAnsi="Times New Roman" w:cs="Times New Roman"/>
          <w:i/>
          <w:sz w:val="24"/>
          <w:szCs w:val="24"/>
        </w:rPr>
        <w:t>Magwaliba</w:t>
      </w:r>
      <w:proofErr w:type="spellEnd"/>
      <w:r w:rsidRPr="00385393">
        <w:rPr>
          <w:rFonts w:ascii="Times New Roman" w:eastAsia="Calibri" w:hAnsi="Times New Roman" w:cs="Times New Roman"/>
          <w:sz w:val="24"/>
          <w:szCs w:val="24"/>
        </w:rPr>
        <w:t xml:space="preserve">, for the </w:t>
      </w:r>
      <w:r w:rsidR="00B43646" w:rsidRPr="00385393">
        <w:rPr>
          <w:rFonts w:ascii="Times New Roman" w:eastAsia="Calibri" w:hAnsi="Times New Roman" w:cs="Times New Roman"/>
          <w:sz w:val="24"/>
          <w:szCs w:val="24"/>
        </w:rPr>
        <w:t>Auditor-General</w:t>
      </w:r>
      <w:r w:rsidRPr="00385393">
        <w:rPr>
          <w:rFonts w:ascii="Times New Roman" w:eastAsia="Calibri" w:hAnsi="Times New Roman" w:cs="Times New Roman"/>
          <w:sz w:val="24"/>
          <w:szCs w:val="24"/>
        </w:rPr>
        <w:t xml:space="preserve">, adopted </w:t>
      </w:r>
      <w:proofErr w:type="spellStart"/>
      <w:r w:rsidRPr="00385393">
        <w:rPr>
          <w:rFonts w:ascii="Times New Roman" w:eastAsia="Calibri" w:hAnsi="Times New Roman" w:cs="Times New Roman"/>
          <w:sz w:val="24"/>
          <w:szCs w:val="24"/>
        </w:rPr>
        <w:t>Mr</w:t>
      </w:r>
      <w:proofErr w:type="spellEnd"/>
      <w:r w:rsidRPr="00385393">
        <w:rPr>
          <w:rFonts w:ascii="Times New Roman" w:eastAsia="Calibri" w:hAnsi="Times New Roman" w:cs="Times New Roman"/>
          <w:sz w:val="24"/>
          <w:szCs w:val="24"/>
        </w:rPr>
        <w:t xml:space="preserve"> </w:t>
      </w:r>
      <w:proofErr w:type="spellStart"/>
      <w:r w:rsidRPr="00385393">
        <w:rPr>
          <w:rFonts w:ascii="Times New Roman" w:eastAsia="Calibri" w:hAnsi="Times New Roman" w:cs="Times New Roman"/>
          <w:i/>
          <w:sz w:val="24"/>
          <w:szCs w:val="24"/>
        </w:rPr>
        <w:t>Zhuwarara’s</w:t>
      </w:r>
      <w:proofErr w:type="spellEnd"/>
      <w:r w:rsidRPr="00385393">
        <w:rPr>
          <w:rFonts w:ascii="Times New Roman" w:eastAsia="Calibri" w:hAnsi="Times New Roman" w:cs="Times New Roman"/>
          <w:sz w:val="24"/>
          <w:szCs w:val="24"/>
        </w:rPr>
        <w:t xml:space="preserve"> submissions in their entirety. </w:t>
      </w:r>
      <w:r w:rsidR="00FE2939">
        <w:rPr>
          <w:rFonts w:ascii="Times New Roman" w:eastAsia="Calibri" w:hAnsi="Times New Roman" w:cs="Times New Roman"/>
          <w:sz w:val="24"/>
          <w:szCs w:val="24"/>
        </w:rPr>
        <w:t xml:space="preserve"> </w:t>
      </w:r>
      <w:r w:rsidRPr="00385393">
        <w:rPr>
          <w:rFonts w:ascii="Times New Roman" w:eastAsia="Calibri" w:hAnsi="Times New Roman" w:cs="Times New Roman"/>
          <w:sz w:val="24"/>
          <w:szCs w:val="24"/>
        </w:rPr>
        <w:t xml:space="preserve">He further submitted that the court </w:t>
      </w:r>
      <w:r w:rsidRPr="00385393">
        <w:rPr>
          <w:rFonts w:ascii="Times New Roman" w:eastAsia="Calibri" w:hAnsi="Times New Roman" w:cs="Times New Roman"/>
          <w:i/>
          <w:sz w:val="24"/>
          <w:szCs w:val="24"/>
        </w:rPr>
        <w:t>a quo</w:t>
      </w:r>
      <w:r w:rsidRPr="00385393">
        <w:rPr>
          <w:rFonts w:ascii="Times New Roman" w:eastAsia="Calibri" w:hAnsi="Times New Roman" w:cs="Times New Roman"/>
          <w:sz w:val="24"/>
          <w:szCs w:val="24"/>
        </w:rPr>
        <w:t xml:space="preserve"> relied in its determination on the term “public power”</w:t>
      </w:r>
      <w:r w:rsidR="00385393">
        <w:rPr>
          <w:rFonts w:ascii="Times New Roman" w:eastAsia="Calibri" w:hAnsi="Times New Roman" w:cs="Times New Roman"/>
          <w:sz w:val="24"/>
          <w:szCs w:val="24"/>
        </w:rPr>
        <w:t>,</w:t>
      </w:r>
      <w:r w:rsidRPr="00385393">
        <w:rPr>
          <w:rFonts w:ascii="Times New Roman" w:eastAsia="Calibri" w:hAnsi="Times New Roman" w:cs="Times New Roman"/>
          <w:sz w:val="24"/>
          <w:szCs w:val="24"/>
        </w:rPr>
        <w:t xml:space="preserve"> which term he submitted was alien to </w:t>
      </w:r>
      <w:r w:rsidR="00385393">
        <w:rPr>
          <w:rFonts w:ascii="Times New Roman" w:eastAsia="Calibri" w:hAnsi="Times New Roman" w:cs="Times New Roman"/>
          <w:sz w:val="24"/>
          <w:szCs w:val="24"/>
        </w:rPr>
        <w:t xml:space="preserve">the </w:t>
      </w:r>
      <w:r w:rsidR="00330B9D" w:rsidRPr="00385393">
        <w:rPr>
          <w:rFonts w:ascii="Times New Roman" w:eastAsia="Calibri" w:hAnsi="Times New Roman" w:cs="Times New Roman"/>
          <w:sz w:val="24"/>
          <w:szCs w:val="24"/>
        </w:rPr>
        <w:t>AJA</w:t>
      </w:r>
      <w:r w:rsidRPr="00385393">
        <w:rPr>
          <w:rFonts w:ascii="Times New Roman" w:eastAsia="Calibri" w:hAnsi="Times New Roman" w:cs="Times New Roman"/>
          <w:sz w:val="24"/>
          <w:szCs w:val="24"/>
        </w:rPr>
        <w:t xml:space="preserve">. </w:t>
      </w:r>
      <w:r w:rsidR="00FE2939">
        <w:rPr>
          <w:rFonts w:ascii="Times New Roman" w:eastAsia="Calibri" w:hAnsi="Times New Roman" w:cs="Times New Roman"/>
          <w:sz w:val="24"/>
          <w:szCs w:val="24"/>
        </w:rPr>
        <w:t xml:space="preserve"> </w:t>
      </w:r>
      <w:r w:rsidRPr="00385393">
        <w:rPr>
          <w:rFonts w:ascii="Times New Roman" w:eastAsia="Calibri" w:hAnsi="Times New Roman" w:cs="Times New Roman"/>
          <w:sz w:val="24"/>
          <w:szCs w:val="24"/>
        </w:rPr>
        <w:t xml:space="preserve">He submitted that s </w:t>
      </w:r>
      <w:r w:rsidRPr="00385393">
        <w:rPr>
          <w:rFonts w:ascii="Times New Roman" w:hAnsi="Times New Roman" w:cs="Times New Roman"/>
          <w:sz w:val="24"/>
          <w:szCs w:val="24"/>
        </w:rPr>
        <w:t xml:space="preserve">2 (d) of </w:t>
      </w:r>
      <w:r w:rsidR="00385393">
        <w:rPr>
          <w:rFonts w:ascii="Times New Roman" w:hAnsi="Times New Roman" w:cs="Times New Roman"/>
          <w:sz w:val="24"/>
          <w:szCs w:val="24"/>
        </w:rPr>
        <w:t>the</w:t>
      </w:r>
      <w:r w:rsidR="00330B9D" w:rsidRPr="00385393">
        <w:rPr>
          <w:rFonts w:ascii="Times New Roman" w:hAnsi="Times New Roman" w:cs="Times New Roman"/>
          <w:sz w:val="24"/>
          <w:szCs w:val="24"/>
        </w:rPr>
        <w:t xml:space="preserve"> AJA</w:t>
      </w:r>
      <w:r w:rsidRPr="00385393">
        <w:rPr>
          <w:rFonts w:ascii="Times New Roman" w:hAnsi="Times New Roman" w:cs="Times New Roman"/>
          <w:sz w:val="24"/>
          <w:szCs w:val="24"/>
        </w:rPr>
        <w:t xml:space="preserve"> refers to performance of “</w:t>
      </w:r>
      <w:r w:rsidR="00900AAC">
        <w:rPr>
          <w:rFonts w:ascii="Times New Roman" w:hAnsi="Times New Roman" w:cs="Times New Roman"/>
          <w:sz w:val="24"/>
          <w:szCs w:val="24"/>
        </w:rPr>
        <w:t xml:space="preserve">any </w:t>
      </w:r>
      <w:r w:rsidRPr="00385393">
        <w:rPr>
          <w:rFonts w:ascii="Times New Roman" w:hAnsi="Times New Roman" w:cs="Times New Roman"/>
          <w:sz w:val="24"/>
          <w:szCs w:val="24"/>
        </w:rPr>
        <w:t>admi</w:t>
      </w:r>
      <w:r w:rsidR="00FE2939">
        <w:rPr>
          <w:rFonts w:ascii="Times New Roman" w:hAnsi="Times New Roman" w:cs="Times New Roman"/>
          <w:sz w:val="24"/>
          <w:szCs w:val="24"/>
        </w:rPr>
        <w:t xml:space="preserve">nistrative duty” and not power.  </w:t>
      </w:r>
      <w:r w:rsidRPr="00385393">
        <w:rPr>
          <w:rFonts w:ascii="Times New Roman" w:eastAsia="Times New Roman" w:hAnsi="Times New Roman" w:cs="Times New Roman"/>
          <w:sz w:val="24"/>
          <w:szCs w:val="24"/>
          <w:lang w:eastAsia="en-ZW"/>
        </w:rPr>
        <w:t>He argued that w</w:t>
      </w:r>
      <w:r w:rsidRPr="00385393">
        <w:rPr>
          <w:rFonts w:ascii="Times New Roman" w:hAnsi="Times New Roman" w:cs="Times New Roman"/>
          <w:sz w:val="24"/>
          <w:szCs w:val="24"/>
        </w:rPr>
        <w:t xml:space="preserve">here a cause of action is statutory, </w:t>
      </w:r>
      <w:r w:rsidR="00A816BA">
        <w:rPr>
          <w:rFonts w:ascii="Times New Roman" w:hAnsi="Times New Roman" w:cs="Times New Roman"/>
          <w:sz w:val="24"/>
          <w:szCs w:val="24"/>
        </w:rPr>
        <w:t>its determination should be within</w:t>
      </w:r>
      <w:r w:rsidRPr="00385393">
        <w:rPr>
          <w:rFonts w:ascii="Times New Roman" w:hAnsi="Times New Roman" w:cs="Times New Roman"/>
          <w:sz w:val="24"/>
          <w:szCs w:val="24"/>
        </w:rPr>
        <w:t xml:space="preserve"> the four corners of the statute.</w:t>
      </w:r>
      <w:r w:rsidRPr="00385393">
        <w:rPr>
          <w:rFonts w:ascii="Times New Roman" w:eastAsia="Times New Roman" w:hAnsi="Times New Roman" w:cs="Times New Roman"/>
          <w:sz w:val="24"/>
          <w:szCs w:val="24"/>
          <w:lang w:eastAsia="en-ZW"/>
        </w:rPr>
        <w:t xml:space="preserve"> </w:t>
      </w:r>
      <w:r w:rsidR="00FE2939">
        <w:rPr>
          <w:rFonts w:ascii="Times New Roman" w:eastAsia="Times New Roman" w:hAnsi="Times New Roman" w:cs="Times New Roman"/>
          <w:sz w:val="24"/>
          <w:szCs w:val="24"/>
          <w:lang w:eastAsia="en-ZW"/>
        </w:rPr>
        <w:t xml:space="preserve"> </w:t>
      </w:r>
      <w:r w:rsidRPr="00385393">
        <w:rPr>
          <w:rFonts w:ascii="Times New Roman" w:eastAsia="Times New Roman" w:hAnsi="Times New Roman" w:cs="Times New Roman"/>
          <w:sz w:val="24"/>
          <w:szCs w:val="24"/>
          <w:lang w:eastAsia="en-ZW"/>
        </w:rPr>
        <w:t xml:space="preserve">He argued that by introducing this alien term, the court </w:t>
      </w:r>
      <w:r w:rsidRPr="00385393">
        <w:rPr>
          <w:rFonts w:ascii="Times New Roman" w:eastAsia="Times New Roman" w:hAnsi="Times New Roman" w:cs="Times New Roman"/>
          <w:i/>
          <w:sz w:val="24"/>
          <w:szCs w:val="24"/>
          <w:lang w:eastAsia="en-ZW"/>
        </w:rPr>
        <w:t xml:space="preserve">a quo </w:t>
      </w:r>
      <w:r w:rsidRPr="00385393">
        <w:rPr>
          <w:rFonts w:ascii="Times New Roman" w:eastAsia="Times New Roman" w:hAnsi="Times New Roman" w:cs="Times New Roman"/>
          <w:sz w:val="24"/>
          <w:szCs w:val="24"/>
          <w:lang w:eastAsia="en-ZW"/>
        </w:rPr>
        <w:t>had arrived at a wrong decision.</w:t>
      </w:r>
    </w:p>
    <w:p w:rsidR="00C03C48" w:rsidRPr="00C03C48" w:rsidRDefault="00C03C48" w:rsidP="00267DAC">
      <w:pPr>
        <w:pStyle w:val="ListParagraph"/>
        <w:spacing w:after="0"/>
        <w:rPr>
          <w:rFonts w:ascii="Times New Roman" w:eastAsia="Times New Roman" w:hAnsi="Times New Roman" w:cs="Times New Roman"/>
          <w:sz w:val="24"/>
          <w:szCs w:val="24"/>
          <w:lang w:eastAsia="en-ZW"/>
        </w:rPr>
      </w:pPr>
    </w:p>
    <w:p w:rsidR="00611882" w:rsidRPr="00FE2939" w:rsidRDefault="00F934A9" w:rsidP="001059C9">
      <w:pPr>
        <w:pStyle w:val="ListParagraph"/>
        <w:numPr>
          <w:ilvl w:val="0"/>
          <w:numId w:val="6"/>
        </w:numPr>
        <w:spacing w:before="240" w:line="480" w:lineRule="auto"/>
        <w:ind w:left="360" w:hanging="450"/>
        <w:jc w:val="both"/>
        <w:rPr>
          <w:rFonts w:ascii="Times New Roman" w:eastAsia="Calibri" w:hAnsi="Times New Roman" w:cs="Times New Roman"/>
          <w:sz w:val="24"/>
          <w:szCs w:val="24"/>
        </w:rPr>
      </w:pPr>
      <w:proofErr w:type="spellStart"/>
      <w:r w:rsidRPr="00611882">
        <w:rPr>
          <w:rFonts w:ascii="Times New Roman" w:eastAsia="Times New Roman" w:hAnsi="Times New Roman" w:cs="Times New Roman"/>
          <w:sz w:val="24"/>
          <w:szCs w:val="24"/>
          <w:lang w:eastAsia="en-ZW"/>
        </w:rPr>
        <w:t>Mr</w:t>
      </w:r>
      <w:proofErr w:type="spellEnd"/>
      <w:r w:rsidRPr="00611882">
        <w:rPr>
          <w:rFonts w:ascii="Times New Roman" w:eastAsia="Times New Roman" w:hAnsi="Times New Roman" w:cs="Times New Roman"/>
          <w:sz w:val="24"/>
          <w:szCs w:val="24"/>
          <w:lang w:eastAsia="en-ZW"/>
        </w:rPr>
        <w:t xml:space="preserve"> </w:t>
      </w:r>
      <w:proofErr w:type="spellStart"/>
      <w:r w:rsidRPr="00611882">
        <w:rPr>
          <w:rFonts w:ascii="Times New Roman" w:eastAsia="Times New Roman" w:hAnsi="Times New Roman" w:cs="Times New Roman"/>
          <w:i/>
          <w:sz w:val="24"/>
          <w:szCs w:val="24"/>
          <w:lang w:eastAsia="en-ZW"/>
        </w:rPr>
        <w:t>Magwaliba</w:t>
      </w:r>
      <w:proofErr w:type="spellEnd"/>
      <w:r w:rsidRPr="00611882">
        <w:rPr>
          <w:rFonts w:ascii="Times New Roman" w:eastAsia="Times New Roman" w:hAnsi="Times New Roman" w:cs="Times New Roman"/>
          <w:sz w:val="24"/>
          <w:szCs w:val="24"/>
          <w:lang w:eastAsia="en-ZW"/>
        </w:rPr>
        <w:t xml:space="preserve"> posited that the audit report was no more than a recommendation to the </w:t>
      </w:r>
      <w:r w:rsidR="00B43646">
        <w:rPr>
          <w:rFonts w:ascii="Times New Roman" w:eastAsia="Times New Roman" w:hAnsi="Times New Roman" w:cs="Times New Roman"/>
          <w:sz w:val="24"/>
          <w:szCs w:val="24"/>
          <w:lang w:eastAsia="en-ZW"/>
        </w:rPr>
        <w:t>Auditor-General</w:t>
      </w:r>
      <w:r w:rsidRPr="00611882">
        <w:rPr>
          <w:rFonts w:ascii="Times New Roman" w:eastAsia="Times New Roman" w:hAnsi="Times New Roman" w:cs="Times New Roman"/>
          <w:sz w:val="24"/>
          <w:szCs w:val="24"/>
          <w:lang w:eastAsia="en-ZW"/>
        </w:rPr>
        <w:t xml:space="preserve">. </w:t>
      </w:r>
      <w:r w:rsidR="00FE2939">
        <w:rPr>
          <w:rFonts w:ascii="Times New Roman" w:eastAsia="Times New Roman" w:hAnsi="Times New Roman" w:cs="Times New Roman"/>
          <w:sz w:val="24"/>
          <w:szCs w:val="24"/>
          <w:lang w:eastAsia="en-ZW"/>
        </w:rPr>
        <w:t xml:space="preserve"> </w:t>
      </w:r>
      <w:r w:rsidRPr="00611882">
        <w:rPr>
          <w:rFonts w:ascii="Times New Roman" w:eastAsia="Times New Roman" w:hAnsi="Times New Roman" w:cs="Times New Roman"/>
          <w:sz w:val="24"/>
          <w:szCs w:val="24"/>
          <w:lang w:eastAsia="en-ZW"/>
        </w:rPr>
        <w:t xml:space="preserve">Its adoption and implementation by the </w:t>
      </w:r>
      <w:r w:rsidR="00B43646">
        <w:rPr>
          <w:rFonts w:ascii="Times New Roman" w:eastAsia="Times New Roman" w:hAnsi="Times New Roman" w:cs="Times New Roman"/>
          <w:sz w:val="24"/>
          <w:szCs w:val="24"/>
          <w:lang w:eastAsia="en-ZW"/>
        </w:rPr>
        <w:t>Auditor-General</w:t>
      </w:r>
      <w:r w:rsidRPr="00611882">
        <w:rPr>
          <w:rFonts w:ascii="Times New Roman" w:eastAsia="Times New Roman" w:hAnsi="Times New Roman" w:cs="Times New Roman"/>
          <w:sz w:val="24"/>
          <w:szCs w:val="24"/>
          <w:lang w:eastAsia="en-ZW"/>
        </w:rPr>
        <w:t xml:space="preserve"> is what would constitute administrative action. </w:t>
      </w:r>
      <w:r w:rsidR="00FE2939">
        <w:rPr>
          <w:rFonts w:ascii="Times New Roman" w:eastAsia="Times New Roman" w:hAnsi="Times New Roman" w:cs="Times New Roman"/>
          <w:sz w:val="24"/>
          <w:szCs w:val="24"/>
          <w:lang w:eastAsia="en-ZW"/>
        </w:rPr>
        <w:t xml:space="preserve"> </w:t>
      </w:r>
      <w:r w:rsidRPr="00611882">
        <w:rPr>
          <w:rFonts w:ascii="Times New Roman" w:eastAsia="Times New Roman" w:hAnsi="Times New Roman" w:cs="Times New Roman"/>
          <w:sz w:val="24"/>
          <w:szCs w:val="24"/>
          <w:lang w:eastAsia="en-ZW"/>
        </w:rPr>
        <w:t>He argued that the r</w:t>
      </w:r>
      <w:r w:rsidRPr="00611882">
        <w:rPr>
          <w:rFonts w:ascii="Times New Roman" w:hAnsi="Times New Roman" w:cs="Times New Roman"/>
          <w:sz w:val="24"/>
          <w:szCs w:val="24"/>
        </w:rPr>
        <w:t xml:space="preserve">ecommendation was antecedent to an administrative action not the administrative action. He further argued that recommendations were akin to unterminated proceedings and the application for review was premature.  </w:t>
      </w:r>
      <w:r w:rsidR="00FE2939">
        <w:rPr>
          <w:rFonts w:ascii="Times New Roman" w:hAnsi="Times New Roman" w:cs="Times New Roman"/>
          <w:sz w:val="24"/>
          <w:szCs w:val="24"/>
        </w:rPr>
        <w:t xml:space="preserve"> </w:t>
      </w:r>
      <w:r w:rsidRPr="00611882">
        <w:rPr>
          <w:rFonts w:ascii="Times New Roman" w:eastAsia="Times New Roman" w:hAnsi="Times New Roman" w:cs="Times New Roman"/>
          <w:sz w:val="24"/>
          <w:szCs w:val="24"/>
          <w:lang w:eastAsia="en-ZW"/>
        </w:rPr>
        <w:t xml:space="preserve">He argued that until the </w:t>
      </w:r>
      <w:r w:rsidR="00B43646">
        <w:rPr>
          <w:rFonts w:ascii="Times New Roman" w:eastAsia="Times New Roman" w:hAnsi="Times New Roman" w:cs="Times New Roman"/>
          <w:sz w:val="24"/>
          <w:szCs w:val="24"/>
          <w:lang w:eastAsia="en-ZW"/>
        </w:rPr>
        <w:t>Auditor-General</w:t>
      </w:r>
      <w:r w:rsidRPr="00611882">
        <w:rPr>
          <w:rFonts w:ascii="Times New Roman" w:eastAsia="Times New Roman" w:hAnsi="Times New Roman" w:cs="Times New Roman"/>
          <w:sz w:val="24"/>
          <w:szCs w:val="24"/>
          <w:lang w:eastAsia="en-ZW"/>
        </w:rPr>
        <w:t xml:space="preserve"> had made a decision, the forensic report was not actionable.</w:t>
      </w:r>
    </w:p>
    <w:p w:rsidR="00FE2939" w:rsidRPr="00611882" w:rsidRDefault="00FE2939" w:rsidP="00FE2939">
      <w:pPr>
        <w:pStyle w:val="ListParagraph"/>
        <w:spacing w:after="0" w:line="240" w:lineRule="auto"/>
        <w:ind w:left="450"/>
        <w:jc w:val="both"/>
        <w:rPr>
          <w:rFonts w:ascii="Times New Roman" w:eastAsia="Calibri" w:hAnsi="Times New Roman" w:cs="Times New Roman"/>
          <w:sz w:val="24"/>
          <w:szCs w:val="24"/>
        </w:rPr>
      </w:pPr>
    </w:p>
    <w:p w:rsidR="00611882" w:rsidRPr="00611882" w:rsidRDefault="00B8180B" w:rsidP="00B94C5D">
      <w:pPr>
        <w:pStyle w:val="ListParagraph"/>
        <w:numPr>
          <w:ilvl w:val="0"/>
          <w:numId w:val="6"/>
        </w:numPr>
        <w:spacing w:before="240" w:line="480" w:lineRule="auto"/>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ZW"/>
        </w:rPr>
        <w:t xml:space="preserve"> </w:t>
      </w:r>
      <w:r w:rsidR="00900AAC">
        <w:rPr>
          <w:rFonts w:ascii="Times New Roman" w:eastAsia="Times New Roman" w:hAnsi="Times New Roman" w:cs="Times New Roman"/>
          <w:sz w:val="24"/>
          <w:szCs w:val="24"/>
          <w:lang w:eastAsia="en-ZW"/>
        </w:rPr>
        <w:t>Counsel</w:t>
      </w:r>
      <w:r w:rsidR="00F934A9" w:rsidRPr="00611882">
        <w:rPr>
          <w:rFonts w:ascii="Times New Roman" w:eastAsia="Times New Roman" w:hAnsi="Times New Roman" w:cs="Times New Roman"/>
          <w:sz w:val="24"/>
          <w:szCs w:val="24"/>
          <w:lang w:eastAsia="en-ZW"/>
        </w:rPr>
        <w:t xml:space="preserve"> further argued that </w:t>
      </w:r>
      <w:r w:rsidR="000E041E">
        <w:rPr>
          <w:rFonts w:ascii="Times New Roman" w:eastAsia="Times New Roman" w:hAnsi="Times New Roman" w:cs="Times New Roman"/>
          <w:sz w:val="24"/>
          <w:szCs w:val="24"/>
          <w:lang w:eastAsia="en-ZW"/>
        </w:rPr>
        <w:t xml:space="preserve">the </w:t>
      </w:r>
      <w:r w:rsidR="00F934A9" w:rsidRPr="00611882">
        <w:rPr>
          <w:rFonts w:ascii="Times New Roman" w:eastAsia="Times New Roman" w:hAnsi="Times New Roman" w:cs="Times New Roman"/>
          <w:sz w:val="24"/>
          <w:szCs w:val="24"/>
          <w:lang w:eastAsia="en-ZW"/>
        </w:rPr>
        <w:t xml:space="preserve">judgment of the court </w:t>
      </w:r>
      <w:r w:rsidR="00F934A9" w:rsidRPr="00611882">
        <w:rPr>
          <w:rFonts w:ascii="Times New Roman" w:eastAsia="Times New Roman" w:hAnsi="Times New Roman" w:cs="Times New Roman"/>
          <w:i/>
          <w:sz w:val="24"/>
          <w:szCs w:val="24"/>
          <w:lang w:eastAsia="en-ZW"/>
        </w:rPr>
        <w:t xml:space="preserve">a quo </w:t>
      </w:r>
      <w:r w:rsidR="00F934A9" w:rsidRPr="00611882">
        <w:rPr>
          <w:rFonts w:ascii="Times New Roman" w:eastAsia="Times New Roman" w:hAnsi="Times New Roman" w:cs="Times New Roman"/>
          <w:sz w:val="24"/>
          <w:szCs w:val="24"/>
          <w:lang w:eastAsia="en-ZW"/>
        </w:rPr>
        <w:t xml:space="preserve">was not enforceable. </w:t>
      </w:r>
      <w:r w:rsidR="00E72587">
        <w:rPr>
          <w:rFonts w:ascii="Times New Roman" w:eastAsia="Times New Roman" w:hAnsi="Times New Roman" w:cs="Times New Roman"/>
          <w:sz w:val="24"/>
          <w:szCs w:val="24"/>
          <w:lang w:eastAsia="en-ZW"/>
        </w:rPr>
        <w:t xml:space="preserve"> </w:t>
      </w:r>
      <w:r w:rsidR="00900AAC">
        <w:rPr>
          <w:rFonts w:ascii="Times New Roman" w:eastAsia="Times New Roman" w:hAnsi="Times New Roman" w:cs="Times New Roman"/>
          <w:sz w:val="24"/>
          <w:szCs w:val="24"/>
          <w:lang w:eastAsia="en-ZW"/>
        </w:rPr>
        <w:t>He</w:t>
      </w:r>
      <w:r w:rsidR="00F934A9" w:rsidRPr="00611882">
        <w:rPr>
          <w:rFonts w:ascii="Times New Roman" w:eastAsia="Times New Roman" w:hAnsi="Times New Roman" w:cs="Times New Roman"/>
          <w:sz w:val="24"/>
          <w:szCs w:val="24"/>
          <w:lang w:eastAsia="en-ZW"/>
        </w:rPr>
        <w:t xml:space="preserve"> submitted that </w:t>
      </w:r>
      <w:r w:rsidR="00F934A9" w:rsidRPr="00611882">
        <w:rPr>
          <w:rFonts w:ascii="Times New Roman" w:hAnsi="Times New Roman" w:cs="Times New Roman"/>
          <w:sz w:val="24"/>
          <w:szCs w:val="24"/>
        </w:rPr>
        <w:t>the judgment does not provide how it will be implement</w:t>
      </w:r>
      <w:r w:rsidR="00385393">
        <w:rPr>
          <w:rFonts w:ascii="Times New Roman" w:hAnsi="Times New Roman" w:cs="Times New Roman"/>
          <w:sz w:val="24"/>
          <w:szCs w:val="24"/>
        </w:rPr>
        <w:t>ed</w:t>
      </w:r>
      <w:r w:rsidR="00A816BA">
        <w:rPr>
          <w:rFonts w:ascii="Times New Roman" w:hAnsi="Times New Roman" w:cs="Times New Roman"/>
          <w:sz w:val="24"/>
          <w:szCs w:val="24"/>
        </w:rPr>
        <w:t>, who would identify</w:t>
      </w:r>
      <w:r w:rsidR="00F934A9" w:rsidRPr="00611882">
        <w:rPr>
          <w:rFonts w:ascii="Times New Roman" w:hAnsi="Times New Roman" w:cs="Times New Roman"/>
          <w:sz w:val="24"/>
          <w:szCs w:val="24"/>
        </w:rPr>
        <w:t xml:space="preserve"> the portions that relate directly or indirectly to the respondent and in what way </w:t>
      </w:r>
      <w:r w:rsidR="00E72587">
        <w:rPr>
          <w:rFonts w:ascii="Times New Roman" w:hAnsi="Times New Roman" w:cs="Times New Roman"/>
          <w:sz w:val="24"/>
          <w:szCs w:val="24"/>
        </w:rPr>
        <w:t xml:space="preserve">they </w:t>
      </w:r>
      <w:r w:rsidR="00E72587">
        <w:rPr>
          <w:rFonts w:ascii="Times New Roman" w:hAnsi="Times New Roman" w:cs="Times New Roman"/>
          <w:sz w:val="24"/>
          <w:szCs w:val="24"/>
        </w:rPr>
        <w:lastRenderedPageBreak/>
        <w:t xml:space="preserve">affected the respondent.  </w:t>
      </w:r>
      <w:proofErr w:type="spellStart"/>
      <w:r w:rsidR="00900AAC">
        <w:rPr>
          <w:rFonts w:ascii="Times New Roman" w:hAnsi="Times New Roman" w:cs="Times New Roman"/>
          <w:sz w:val="24"/>
          <w:szCs w:val="24"/>
        </w:rPr>
        <w:t>Mr</w:t>
      </w:r>
      <w:proofErr w:type="spellEnd"/>
      <w:r w:rsidR="00900AAC">
        <w:rPr>
          <w:rFonts w:ascii="Times New Roman" w:hAnsi="Times New Roman" w:cs="Times New Roman"/>
          <w:sz w:val="24"/>
          <w:szCs w:val="24"/>
        </w:rPr>
        <w:t xml:space="preserve"> </w:t>
      </w:r>
      <w:proofErr w:type="spellStart"/>
      <w:r w:rsidR="00900AAC">
        <w:rPr>
          <w:rFonts w:ascii="Times New Roman" w:hAnsi="Times New Roman" w:cs="Times New Roman"/>
          <w:i/>
          <w:sz w:val="24"/>
          <w:szCs w:val="24"/>
        </w:rPr>
        <w:t>Magwaliba</w:t>
      </w:r>
      <w:proofErr w:type="spellEnd"/>
      <w:r w:rsidR="00F934A9" w:rsidRPr="00611882">
        <w:rPr>
          <w:rFonts w:ascii="Times New Roman" w:hAnsi="Times New Roman" w:cs="Times New Roman"/>
          <w:sz w:val="24"/>
          <w:szCs w:val="24"/>
        </w:rPr>
        <w:t xml:space="preserve"> argued that the court </w:t>
      </w:r>
      <w:r w:rsidR="00F934A9" w:rsidRPr="00611882">
        <w:rPr>
          <w:rFonts w:ascii="Times New Roman" w:hAnsi="Times New Roman" w:cs="Times New Roman"/>
          <w:i/>
          <w:sz w:val="24"/>
          <w:szCs w:val="24"/>
        </w:rPr>
        <w:t xml:space="preserve">a quo </w:t>
      </w:r>
      <w:r w:rsidR="00385393">
        <w:rPr>
          <w:rFonts w:ascii="Times New Roman" w:hAnsi="Times New Roman" w:cs="Times New Roman"/>
          <w:sz w:val="24"/>
          <w:szCs w:val="24"/>
        </w:rPr>
        <w:t xml:space="preserve">does not have the </w:t>
      </w:r>
      <w:r w:rsidR="00F934A9" w:rsidRPr="00611882">
        <w:rPr>
          <w:rFonts w:ascii="Times New Roman" w:hAnsi="Times New Roman" w:cs="Times New Roman"/>
          <w:sz w:val="24"/>
          <w:szCs w:val="24"/>
        </w:rPr>
        <w:t xml:space="preserve">capacity to determine </w:t>
      </w:r>
      <w:r w:rsidR="00900AAC">
        <w:rPr>
          <w:rFonts w:ascii="Times New Roman" w:hAnsi="Times New Roman" w:cs="Times New Roman"/>
          <w:sz w:val="24"/>
          <w:szCs w:val="24"/>
        </w:rPr>
        <w:t xml:space="preserve">the </w:t>
      </w:r>
      <w:r w:rsidR="00F934A9" w:rsidRPr="00611882">
        <w:rPr>
          <w:rFonts w:ascii="Times New Roman" w:hAnsi="Times New Roman" w:cs="Times New Roman"/>
          <w:sz w:val="24"/>
          <w:szCs w:val="24"/>
        </w:rPr>
        <w:t xml:space="preserve">specialized function of auditors and </w:t>
      </w:r>
      <w:r w:rsidR="00385393">
        <w:rPr>
          <w:rFonts w:ascii="Times New Roman" w:hAnsi="Times New Roman" w:cs="Times New Roman"/>
          <w:sz w:val="24"/>
          <w:szCs w:val="24"/>
        </w:rPr>
        <w:t xml:space="preserve">that </w:t>
      </w:r>
      <w:r w:rsidR="00F934A9" w:rsidRPr="00611882">
        <w:rPr>
          <w:rFonts w:ascii="Times New Roman" w:hAnsi="Times New Roman" w:cs="Times New Roman"/>
          <w:sz w:val="24"/>
          <w:szCs w:val="24"/>
        </w:rPr>
        <w:t>no expert evidence</w:t>
      </w:r>
      <w:r w:rsidR="00385393">
        <w:rPr>
          <w:rFonts w:ascii="Times New Roman" w:hAnsi="Times New Roman" w:cs="Times New Roman"/>
          <w:sz w:val="24"/>
          <w:szCs w:val="24"/>
        </w:rPr>
        <w:t xml:space="preserve"> was adduced</w:t>
      </w:r>
      <w:r w:rsidR="00F934A9" w:rsidRPr="00611882">
        <w:rPr>
          <w:rFonts w:ascii="Times New Roman" w:hAnsi="Times New Roman" w:cs="Times New Roman"/>
          <w:sz w:val="24"/>
          <w:szCs w:val="24"/>
        </w:rPr>
        <w:t xml:space="preserve">. </w:t>
      </w:r>
      <w:r w:rsidR="00E72587">
        <w:rPr>
          <w:rFonts w:ascii="Times New Roman" w:hAnsi="Times New Roman" w:cs="Times New Roman"/>
          <w:sz w:val="24"/>
          <w:szCs w:val="24"/>
        </w:rPr>
        <w:t xml:space="preserve"> </w:t>
      </w:r>
      <w:r w:rsidR="00900AAC">
        <w:rPr>
          <w:rFonts w:ascii="Times New Roman" w:hAnsi="Times New Roman" w:cs="Times New Roman"/>
          <w:sz w:val="24"/>
          <w:szCs w:val="24"/>
        </w:rPr>
        <w:t>He</w:t>
      </w:r>
      <w:r w:rsidR="00F934A9" w:rsidRPr="00611882">
        <w:rPr>
          <w:rFonts w:ascii="Times New Roman" w:hAnsi="Times New Roman" w:cs="Times New Roman"/>
          <w:sz w:val="24"/>
          <w:szCs w:val="24"/>
        </w:rPr>
        <w:t xml:space="preserve"> further argued that it therefore could not establish that the report was biased against the respondent.</w:t>
      </w:r>
    </w:p>
    <w:p w:rsidR="00F934A9" w:rsidRPr="00611882" w:rsidRDefault="00B8180B" w:rsidP="00E72587">
      <w:pPr>
        <w:pStyle w:val="ListParagraph"/>
        <w:numPr>
          <w:ilvl w:val="0"/>
          <w:numId w:val="6"/>
        </w:numPr>
        <w:spacing w:before="240" w:line="480" w:lineRule="auto"/>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ZW"/>
        </w:rPr>
        <w:t xml:space="preserve"> </w:t>
      </w:r>
      <w:proofErr w:type="spellStart"/>
      <w:r w:rsidR="00F934A9" w:rsidRPr="00611882">
        <w:rPr>
          <w:rFonts w:ascii="Times New Roman" w:eastAsia="Times New Roman" w:hAnsi="Times New Roman" w:cs="Times New Roman"/>
          <w:sz w:val="24"/>
          <w:szCs w:val="24"/>
          <w:lang w:eastAsia="en-ZW"/>
        </w:rPr>
        <w:t>Mr</w:t>
      </w:r>
      <w:proofErr w:type="spellEnd"/>
      <w:r w:rsidR="00F934A9" w:rsidRPr="00611882">
        <w:rPr>
          <w:rFonts w:ascii="Times New Roman" w:eastAsia="Times New Roman" w:hAnsi="Times New Roman" w:cs="Times New Roman"/>
          <w:sz w:val="24"/>
          <w:szCs w:val="24"/>
          <w:lang w:eastAsia="en-ZW"/>
        </w:rPr>
        <w:t xml:space="preserve"> </w:t>
      </w:r>
      <w:proofErr w:type="spellStart"/>
      <w:r w:rsidR="00F934A9" w:rsidRPr="00611882">
        <w:rPr>
          <w:rFonts w:ascii="Times New Roman" w:eastAsia="Times New Roman" w:hAnsi="Times New Roman" w:cs="Times New Roman"/>
          <w:i/>
          <w:sz w:val="24"/>
          <w:szCs w:val="24"/>
          <w:lang w:eastAsia="en-ZW"/>
        </w:rPr>
        <w:t>Magwaliba</w:t>
      </w:r>
      <w:proofErr w:type="spellEnd"/>
      <w:r w:rsidR="00F934A9" w:rsidRPr="00611882">
        <w:rPr>
          <w:rFonts w:ascii="Times New Roman" w:eastAsia="Times New Roman" w:hAnsi="Times New Roman" w:cs="Times New Roman"/>
          <w:i/>
          <w:sz w:val="24"/>
          <w:szCs w:val="24"/>
          <w:lang w:eastAsia="en-ZW"/>
        </w:rPr>
        <w:t xml:space="preserve"> </w:t>
      </w:r>
      <w:r w:rsidR="00F934A9" w:rsidRPr="00611882">
        <w:rPr>
          <w:rFonts w:ascii="Times New Roman" w:hAnsi="Times New Roman" w:cs="Times New Roman"/>
          <w:sz w:val="24"/>
          <w:szCs w:val="24"/>
        </w:rPr>
        <w:t xml:space="preserve">submitted that there is no question that the court </w:t>
      </w:r>
      <w:r w:rsidR="00F934A9" w:rsidRPr="00611882">
        <w:rPr>
          <w:rFonts w:ascii="Times New Roman" w:hAnsi="Times New Roman" w:cs="Times New Roman"/>
          <w:i/>
          <w:sz w:val="24"/>
          <w:szCs w:val="24"/>
        </w:rPr>
        <w:t xml:space="preserve">a quo </w:t>
      </w:r>
      <w:r w:rsidR="00BC7DD5">
        <w:rPr>
          <w:rFonts w:ascii="Times New Roman" w:hAnsi="Times New Roman" w:cs="Times New Roman"/>
          <w:sz w:val="24"/>
          <w:szCs w:val="24"/>
        </w:rPr>
        <w:t xml:space="preserve">wrongly </w:t>
      </w:r>
      <w:r w:rsidR="00F934A9" w:rsidRPr="00611882">
        <w:rPr>
          <w:rFonts w:ascii="Times New Roman" w:hAnsi="Times New Roman" w:cs="Times New Roman"/>
          <w:sz w:val="24"/>
          <w:szCs w:val="24"/>
        </w:rPr>
        <w:t xml:space="preserve">premised its judgment partly on the Constitution </w:t>
      </w:r>
      <w:r w:rsidR="00BC7DD5">
        <w:rPr>
          <w:rFonts w:ascii="Times New Roman" w:hAnsi="Times New Roman" w:cs="Times New Roman"/>
          <w:sz w:val="24"/>
          <w:szCs w:val="24"/>
        </w:rPr>
        <w:t xml:space="preserve">thereby rendering it liable for </w:t>
      </w:r>
      <w:r w:rsidR="00F934A9" w:rsidRPr="00611882">
        <w:rPr>
          <w:rFonts w:ascii="Times New Roman" w:hAnsi="Times New Roman" w:cs="Times New Roman"/>
          <w:sz w:val="24"/>
          <w:szCs w:val="24"/>
        </w:rPr>
        <w:t xml:space="preserve">setting aside. </w:t>
      </w:r>
      <w:r w:rsidR="00E72587">
        <w:rPr>
          <w:rFonts w:ascii="Times New Roman" w:hAnsi="Times New Roman" w:cs="Times New Roman"/>
          <w:sz w:val="24"/>
          <w:szCs w:val="24"/>
        </w:rPr>
        <w:t xml:space="preserve"> </w:t>
      </w:r>
      <w:r w:rsidR="00F934A9" w:rsidRPr="00611882">
        <w:rPr>
          <w:rFonts w:ascii="Times New Roman" w:hAnsi="Times New Roman" w:cs="Times New Roman"/>
          <w:sz w:val="24"/>
          <w:szCs w:val="24"/>
        </w:rPr>
        <w:t xml:space="preserve">He </w:t>
      </w:r>
      <w:r w:rsidR="00F934A9" w:rsidRPr="00611882">
        <w:rPr>
          <w:rFonts w:ascii="Times New Roman" w:eastAsia="Times New Roman" w:hAnsi="Times New Roman" w:cs="Times New Roman"/>
          <w:sz w:val="24"/>
          <w:szCs w:val="24"/>
          <w:lang w:eastAsia="en-ZW"/>
        </w:rPr>
        <w:t xml:space="preserve">urged this Court to adopt the Constitutional Court’s approach by setting aside the judgment of the court </w:t>
      </w:r>
      <w:r w:rsidR="00F934A9" w:rsidRPr="00611882">
        <w:rPr>
          <w:rFonts w:ascii="Times New Roman" w:eastAsia="Times New Roman" w:hAnsi="Times New Roman" w:cs="Times New Roman"/>
          <w:i/>
          <w:sz w:val="24"/>
          <w:szCs w:val="24"/>
          <w:lang w:eastAsia="en-ZW"/>
        </w:rPr>
        <w:t>a quo</w:t>
      </w:r>
      <w:r w:rsidR="00F934A9" w:rsidRPr="00611882">
        <w:rPr>
          <w:rFonts w:ascii="Times New Roman" w:eastAsia="Times New Roman" w:hAnsi="Times New Roman" w:cs="Times New Roman"/>
          <w:sz w:val="24"/>
          <w:szCs w:val="24"/>
          <w:lang w:eastAsia="en-ZW"/>
        </w:rPr>
        <w:t xml:space="preserve">. </w:t>
      </w:r>
      <w:r w:rsidR="00E72587">
        <w:rPr>
          <w:rFonts w:ascii="Times New Roman" w:eastAsia="Times New Roman" w:hAnsi="Times New Roman" w:cs="Times New Roman"/>
          <w:sz w:val="24"/>
          <w:szCs w:val="24"/>
          <w:lang w:eastAsia="en-ZW"/>
        </w:rPr>
        <w:t xml:space="preserve"> </w:t>
      </w:r>
      <w:r w:rsidR="00F934A9" w:rsidRPr="00611882">
        <w:rPr>
          <w:rFonts w:ascii="Times New Roman" w:eastAsia="Times New Roman" w:hAnsi="Times New Roman" w:cs="Times New Roman"/>
          <w:sz w:val="24"/>
          <w:szCs w:val="24"/>
          <w:lang w:eastAsia="en-ZW"/>
        </w:rPr>
        <w:t xml:space="preserve">He however submitted that there was no basis for a hearing </w:t>
      </w:r>
      <w:r w:rsidR="00F934A9" w:rsidRPr="00611882">
        <w:rPr>
          <w:rFonts w:ascii="Times New Roman" w:eastAsia="Times New Roman" w:hAnsi="Times New Roman" w:cs="Times New Roman"/>
          <w:i/>
          <w:sz w:val="24"/>
          <w:szCs w:val="24"/>
          <w:lang w:eastAsia="en-ZW"/>
        </w:rPr>
        <w:t>de novo</w:t>
      </w:r>
      <w:r w:rsidR="00F934A9" w:rsidRPr="00611882">
        <w:rPr>
          <w:rFonts w:ascii="Times New Roman" w:eastAsia="Times New Roman" w:hAnsi="Times New Roman" w:cs="Times New Roman"/>
          <w:sz w:val="24"/>
          <w:szCs w:val="24"/>
          <w:lang w:eastAsia="en-ZW"/>
        </w:rPr>
        <w:t xml:space="preserve"> since there was no valid claim before the court </w:t>
      </w:r>
      <w:r w:rsidR="00F934A9" w:rsidRPr="00611882">
        <w:rPr>
          <w:rFonts w:ascii="Times New Roman" w:eastAsia="Times New Roman" w:hAnsi="Times New Roman" w:cs="Times New Roman"/>
          <w:i/>
          <w:sz w:val="24"/>
          <w:szCs w:val="24"/>
          <w:lang w:eastAsia="en-ZW"/>
        </w:rPr>
        <w:t>a quo</w:t>
      </w:r>
      <w:r w:rsidR="00F934A9" w:rsidRPr="00611882">
        <w:rPr>
          <w:rFonts w:ascii="Times New Roman" w:eastAsia="Times New Roman" w:hAnsi="Times New Roman" w:cs="Times New Roman"/>
          <w:sz w:val="24"/>
          <w:szCs w:val="24"/>
          <w:lang w:eastAsia="en-ZW"/>
        </w:rPr>
        <w:t xml:space="preserve">. </w:t>
      </w:r>
    </w:p>
    <w:p w:rsidR="00F934A9" w:rsidRPr="001D39B0" w:rsidRDefault="00F934A9" w:rsidP="00E72587">
      <w:pPr>
        <w:spacing w:after="0" w:line="480" w:lineRule="auto"/>
        <w:jc w:val="both"/>
        <w:rPr>
          <w:rFonts w:ascii="Times New Roman" w:eastAsia="Calibri" w:hAnsi="Times New Roman" w:cs="Times New Roman"/>
          <w:b/>
          <w:sz w:val="24"/>
          <w:szCs w:val="24"/>
          <w:u w:val="single"/>
        </w:rPr>
      </w:pPr>
      <w:r w:rsidRPr="001D39B0">
        <w:rPr>
          <w:rFonts w:ascii="Times New Roman" w:eastAsia="Calibri" w:hAnsi="Times New Roman" w:cs="Times New Roman"/>
          <w:b/>
          <w:sz w:val="24"/>
          <w:szCs w:val="24"/>
          <w:u w:val="single"/>
        </w:rPr>
        <w:t>Submissions by the respondent</w:t>
      </w:r>
    </w:p>
    <w:p w:rsidR="00F934A9" w:rsidRDefault="00F934A9" w:rsidP="008B4350">
      <w:pPr>
        <w:pStyle w:val="ListParagraph"/>
        <w:numPr>
          <w:ilvl w:val="0"/>
          <w:numId w:val="6"/>
        </w:numPr>
        <w:spacing w:after="0" w:line="480" w:lineRule="auto"/>
        <w:ind w:left="450" w:hanging="450"/>
        <w:jc w:val="both"/>
        <w:rPr>
          <w:rFonts w:ascii="Times New Roman" w:eastAsia="Calibri" w:hAnsi="Times New Roman" w:cs="Times New Roman"/>
          <w:sz w:val="24"/>
          <w:szCs w:val="24"/>
        </w:rPr>
      </w:pPr>
      <w:proofErr w:type="spellStart"/>
      <w:r w:rsidRPr="001D39B0">
        <w:rPr>
          <w:rFonts w:ascii="Times New Roman" w:eastAsia="Calibri" w:hAnsi="Times New Roman" w:cs="Times New Roman"/>
          <w:sz w:val="24"/>
          <w:szCs w:val="24"/>
        </w:rPr>
        <w:t>Mr</w:t>
      </w:r>
      <w:proofErr w:type="spellEnd"/>
      <w:r w:rsidRPr="001D39B0">
        <w:rPr>
          <w:rFonts w:ascii="Times New Roman" w:eastAsia="Calibri" w:hAnsi="Times New Roman" w:cs="Times New Roman"/>
          <w:sz w:val="24"/>
          <w:szCs w:val="24"/>
        </w:rPr>
        <w:t xml:space="preserve"> </w:t>
      </w:r>
      <w:proofErr w:type="spellStart"/>
      <w:r w:rsidRPr="001D39B0">
        <w:rPr>
          <w:rFonts w:ascii="Times New Roman" w:eastAsia="Calibri" w:hAnsi="Times New Roman" w:cs="Times New Roman"/>
          <w:i/>
          <w:sz w:val="24"/>
          <w:szCs w:val="24"/>
        </w:rPr>
        <w:t>Madhuku</w:t>
      </w:r>
      <w:proofErr w:type="spellEnd"/>
      <w:r>
        <w:rPr>
          <w:rFonts w:ascii="Times New Roman" w:eastAsia="Calibri" w:hAnsi="Times New Roman" w:cs="Times New Roman"/>
          <w:sz w:val="24"/>
          <w:szCs w:val="24"/>
        </w:rPr>
        <w:t>,</w:t>
      </w:r>
      <w:r w:rsidRPr="001D39B0">
        <w:rPr>
          <w:rFonts w:ascii="Times New Roman" w:eastAsia="Calibri" w:hAnsi="Times New Roman" w:cs="Times New Roman"/>
          <w:sz w:val="24"/>
          <w:szCs w:val="24"/>
        </w:rPr>
        <w:t xml:space="preserve"> for the respondent</w:t>
      </w:r>
      <w:r>
        <w:rPr>
          <w:rFonts w:ascii="Times New Roman" w:eastAsia="Calibri" w:hAnsi="Times New Roman" w:cs="Times New Roman"/>
          <w:sz w:val="24"/>
          <w:szCs w:val="24"/>
        </w:rPr>
        <w:t>,</w:t>
      </w:r>
      <w:r w:rsidRPr="001D39B0">
        <w:rPr>
          <w:rFonts w:ascii="Times New Roman" w:eastAsia="Calibri" w:hAnsi="Times New Roman" w:cs="Times New Roman"/>
          <w:sz w:val="24"/>
          <w:szCs w:val="24"/>
        </w:rPr>
        <w:t xml:space="preserve"> </w:t>
      </w:r>
      <w:r>
        <w:rPr>
          <w:rFonts w:ascii="Times New Roman" w:eastAsia="Calibri" w:hAnsi="Times New Roman" w:cs="Times New Roman"/>
          <w:sz w:val="24"/>
          <w:szCs w:val="24"/>
        </w:rPr>
        <w:t>argued</w:t>
      </w:r>
      <w:r w:rsidRPr="001D39B0">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the Constitutional Court, </w:t>
      </w:r>
      <w:r w:rsidRPr="001D39B0">
        <w:rPr>
          <w:rFonts w:ascii="Times New Roman" w:eastAsia="Calibri" w:hAnsi="Times New Roman" w:cs="Times New Roman"/>
          <w:sz w:val="24"/>
          <w:szCs w:val="24"/>
        </w:rPr>
        <w:t>in its judgment</w:t>
      </w:r>
      <w:r>
        <w:rPr>
          <w:rFonts w:ascii="Times New Roman" w:eastAsia="Calibri" w:hAnsi="Times New Roman" w:cs="Times New Roman"/>
          <w:sz w:val="24"/>
          <w:szCs w:val="24"/>
        </w:rPr>
        <w:t>s</w:t>
      </w:r>
      <w:r w:rsidRPr="001D39B0">
        <w:rPr>
          <w:rFonts w:ascii="Times New Roman" w:eastAsia="Calibri" w:hAnsi="Times New Roman" w:cs="Times New Roman"/>
          <w:sz w:val="24"/>
          <w:szCs w:val="24"/>
        </w:rPr>
        <w:t xml:space="preserve"> </w:t>
      </w:r>
      <w:r w:rsidR="00EB15EC">
        <w:rPr>
          <w:rFonts w:ascii="Times New Roman" w:eastAsia="Calibri" w:hAnsi="Times New Roman" w:cs="Times New Roman"/>
          <w:sz w:val="24"/>
          <w:szCs w:val="24"/>
        </w:rPr>
        <w:t xml:space="preserve">in </w:t>
      </w:r>
      <w:r w:rsidRPr="004262BB">
        <w:rPr>
          <w:rFonts w:ascii="Times New Roman" w:eastAsia="Calibri" w:hAnsi="Times New Roman" w:cs="Times New Roman"/>
          <w:i/>
          <w:sz w:val="24"/>
          <w:szCs w:val="24"/>
        </w:rPr>
        <w:t>Vela</w:t>
      </w:r>
      <w:r>
        <w:rPr>
          <w:rFonts w:ascii="Times New Roman" w:eastAsia="Calibri" w:hAnsi="Times New Roman" w:cs="Times New Roman"/>
          <w:sz w:val="24"/>
          <w:szCs w:val="24"/>
        </w:rPr>
        <w:t xml:space="preserve"> v </w:t>
      </w:r>
      <w:r w:rsidR="008B4350" w:rsidRPr="008B4350">
        <w:rPr>
          <w:rFonts w:ascii="Times New Roman" w:eastAsia="Calibri" w:hAnsi="Times New Roman" w:cs="Times New Roman"/>
          <w:i/>
          <w:sz w:val="24"/>
          <w:szCs w:val="24"/>
        </w:rPr>
        <w:t>T</w:t>
      </w:r>
      <w:r w:rsidRPr="008B4350">
        <w:rPr>
          <w:rFonts w:ascii="Times New Roman" w:eastAsia="Calibri" w:hAnsi="Times New Roman" w:cs="Times New Roman"/>
          <w:i/>
          <w:sz w:val="24"/>
          <w:szCs w:val="24"/>
        </w:rPr>
        <w:t>h</w:t>
      </w:r>
      <w:r w:rsidRPr="004262BB">
        <w:rPr>
          <w:rFonts w:ascii="Times New Roman" w:eastAsia="Calibri" w:hAnsi="Times New Roman" w:cs="Times New Roman"/>
          <w:i/>
          <w:sz w:val="24"/>
          <w:szCs w:val="24"/>
        </w:rPr>
        <w:t xml:space="preserve">e </w:t>
      </w:r>
      <w:r w:rsidR="00B43646">
        <w:rPr>
          <w:rFonts w:ascii="Times New Roman" w:eastAsia="Calibri" w:hAnsi="Times New Roman" w:cs="Times New Roman"/>
          <w:i/>
          <w:sz w:val="24"/>
          <w:szCs w:val="24"/>
        </w:rPr>
        <w:t>Auditor-General</w:t>
      </w:r>
      <w:r w:rsidRPr="004262BB">
        <w:rPr>
          <w:rFonts w:ascii="Times New Roman" w:eastAsia="Calibri" w:hAnsi="Times New Roman" w:cs="Times New Roman"/>
          <w:i/>
          <w:sz w:val="24"/>
          <w:szCs w:val="24"/>
        </w:rPr>
        <w:t xml:space="preserve"> &amp; Anor</w:t>
      </w:r>
      <w:r w:rsidR="008B4350">
        <w:rPr>
          <w:rFonts w:ascii="Times New Roman" w:eastAsia="Calibri" w:hAnsi="Times New Roman" w:cs="Times New Roman"/>
          <w:sz w:val="24"/>
          <w:szCs w:val="24"/>
        </w:rPr>
        <w:t xml:space="preserve"> CCZ 1/</w:t>
      </w:r>
      <w:r>
        <w:rPr>
          <w:rFonts w:ascii="Times New Roman" w:eastAsia="Calibri" w:hAnsi="Times New Roman" w:cs="Times New Roman"/>
          <w:sz w:val="24"/>
          <w:szCs w:val="24"/>
        </w:rPr>
        <w:t xml:space="preserve">23 and </w:t>
      </w:r>
      <w:r w:rsidR="00EB15EC" w:rsidRPr="00357F09">
        <w:rPr>
          <w:rFonts w:ascii="Times New Roman" w:eastAsia="Calibri" w:hAnsi="Times New Roman" w:cs="Times New Roman"/>
          <w:sz w:val="24"/>
          <w:szCs w:val="24"/>
        </w:rPr>
        <w:t>in</w:t>
      </w:r>
      <w:r w:rsidR="00C249D6" w:rsidRPr="00357F09">
        <w:rPr>
          <w:rFonts w:ascii="Times New Roman" w:eastAsia="Calibri" w:hAnsi="Times New Roman" w:cs="Times New Roman"/>
          <w:sz w:val="24"/>
          <w:szCs w:val="24"/>
        </w:rPr>
        <w:t xml:space="preserve"> </w:t>
      </w:r>
      <w:r w:rsidR="00357F09">
        <w:rPr>
          <w:rFonts w:ascii="Times New Roman" w:eastAsia="Calibri" w:hAnsi="Times New Roman" w:cs="Times New Roman"/>
          <w:sz w:val="24"/>
          <w:szCs w:val="24"/>
        </w:rPr>
        <w:t>CCZ 10/</w:t>
      </w:r>
      <w:r>
        <w:rPr>
          <w:rFonts w:ascii="Times New Roman" w:eastAsia="Calibri" w:hAnsi="Times New Roman" w:cs="Times New Roman"/>
          <w:sz w:val="24"/>
          <w:szCs w:val="24"/>
        </w:rPr>
        <w:t xml:space="preserve">24, </w:t>
      </w:r>
      <w:r w:rsidRPr="001D39B0">
        <w:rPr>
          <w:rFonts w:ascii="Times New Roman" w:eastAsia="Calibri" w:hAnsi="Times New Roman" w:cs="Times New Roman"/>
          <w:sz w:val="24"/>
          <w:szCs w:val="24"/>
        </w:rPr>
        <w:t xml:space="preserve">pronounced that the court </w:t>
      </w:r>
      <w:r w:rsidRPr="001D39B0">
        <w:rPr>
          <w:rFonts w:ascii="Times New Roman" w:eastAsia="Calibri" w:hAnsi="Times New Roman" w:cs="Times New Roman"/>
          <w:i/>
          <w:sz w:val="24"/>
          <w:szCs w:val="24"/>
        </w:rPr>
        <w:t>a quo</w:t>
      </w:r>
      <w:r w:rsidRPr="001D39B0">
        <w:rPr>
          <w:rFonts w:ascii="Times New Roman" w:eastAsia="Calibri" w:hAnsi="Times New Roman" w:cs="Times New Roman"/>
          <w:sz w:val="24"/>
          <w:szCs w:val="24"/>
        </w:rPr>
        <w:t xml:space="preserve"> did not address a constitutional question. </w:t>
      </w:r>
      <w:r w:rsidR="00357F09">
        <w:rPr>
          <w:rFonts w:ascii="Times New Roman" w:eastAsia="Calibri" w:hAnsi="Times New Roman" w:cs="Times New Roman"/>
          <w:sz w:val="24"/>
          <w:szCs w:val="24"/>
        </w:rPr>
        <w:t xml:space="preserve"> </w:t>
      </w:r>
      <w:r>
        <w:rPr>
          <w:rFonts w:ascii="Times New Roman" w:eastAsia="Calibri" w:hAnsi="Times New Roman" w:cs="Times New Roman"/>
          <w:sz w:val="24"/>
          <w:szCs w:val="24"/>
        </w:rPr>
        <w:t>He submitted that this Court should therefore determine the appeal on the non-constitutional issues raised in the grounds of appeal before it.</w:t>
      </w:r>
    </w:p>
    <w:p w:rsidR="00357F09" w:rsidRPr="001D39B0" w:rsidRDefault="00357F09" w:rsidP="00357F09">
      <w:pPr>
        <w:pStyle w:val="ListParagraph"/>
        <w:spacing w:after="0" w:line="240" w:lineRule="auto"/>
        <w:ind w:left="450"/>
        <w:jc w:val="both"/>
        <w:rPr>
          <w:rFonts w:ascii="Times New Roman" w:eastAsia="Calibri" w:hAnsi="Times New Roman" w:cs="Times New Roman"/>
          <w:sz w:val="24"/>
          <w:szCs w:val="24"/>
        </w:rPr>
      </w:pPr>
    </w:p>
    <w:p w:rsidR="00F934A9" w:rsidRDefault="00BC7DD5" w:rsidP="00357F09">
      <w:pPr>
        <w:pStyle w:val="ListParagraph"/>
        <w:numPr>
          <w:ilvl w:val="0"/>
          <w:numId w:val="6"/>
        </w:numPr>
        <w:spacing w:before="240" w:line="480" w:lineRule="auto"/>
        <w:ind w:left="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i/>
          <w:sz w:val="24"/>
          <w:szCs w:val="24"/>
        </w:rPr>
        <w:t>Madhuku</w:t>
      </w:r>
      <w:proofErr w:type="spellEnd"/>
      <w:r w:rsidR="00F934A9">
        <w:rPr>
          <w:rFonts w:ascii="Times New Roman" w:eastAsia="Calibri" w:hAnsi="Times New Roman" w:cs="Times New Roman"/>
          <w:sz w:val="24"/>
          <w:szCs w:val="24"/>
        </w:rPr>
        <w:t xml:space="preserve"> </w:t>
      </w:r>
      <w:r w:rsidR="00787087">
        <w:rPr>
          <w:rFonts w:ascii="Times New Roman" w:eastAsia="Calibri" w:hAnsi="Times New Roman" w:cs="Times New Roman"/>
          <w:sz w:val="24"/>
          <w:szCs w:val="24"/>
        </w:rPr>
        <w:t xml:space="preserve">submitted </w:t>
      </w:r>
      <w:r w:rsidR="00F934A9">
        <w:rPr>
          <w:rFonts w:ascii="Times New Roman" w:eastAsia="Calibri" w:hAnsi="Times New Roman" w:cs="Times New Roman"/>
          <w:sz w:val="24"/>
          <w:szCs w:val="24"/>
        </w:rPr>
        <w:t xml:space="preserve">that </w:t>
      </w:r>
      <w:r w:rsidR="00F934A9" w:rsidRPr="001D39B0">
        <w:rPr>
          <w:rFonts w:ascii="Times New Roman" w:eastAsia="Calibri" w:hAnsi="Times New Roman" w:cs="Times New Roman"/>
          <w:sz w:val="24"/>
          <w:szCs w:val="24"/>
        </w:rPr>
        <w:t xml:space="preserve">BDO was </w:t>
      </w:r>
      <w:r w:rsidR="00F934A9">
        <w:rPr>
          <w:rFonts w:ascii="Times New Roman" w:eastAsia="Calibri" w:hAnsi="Times New Roman" w:cs="Times New Roman"/>
          <w:sz w:val="24"/>
          <w:szCs w:val="24"/>
        </w:rPr>
        <w:t>cont</w:t>
      </w:r>
      <w:r w:rsidR="00785F13">
        <w:rPr>
          <w:rFonts w:ascii="Times New Roman" w:eastAsia="Calibri" w:hAnsi="Times New Roman" w:cs="Times New Roman"/>
          <w:sz w:val="24"/>
          <w:szCs w:val="24"/>
        </w:rPr>
        <w:t xml:space="preserve">racted in terms of the Audit Office </w:t>
      </w:r>
      <w:r w:rsidR="00F934A9">
        <w:rPr>
          <w:rFonts w:ascii="Times New Roman" w:eastAsia="Calibri" w:hAnsi="Times New Roman" w:cs="Times New Roman"/>
          <w:sz w:val="24"/>
          <w:szCs w:val="24"/>
        </w:rPr>
        <w:t xml:space="preserve">Act </w:t>
      </w:r>
      <w:r w:rsidR="00F934A9" w:rsidRPr="001D39B0">
        <w:rPr>
          <w:rFonts w:ascii="Times New Roman" w:eastAsia="Calibri" w:hAnsi="Times New Roman" w:cs="Times New Roman"/>
          <w:sz w:val="24"/>
          <w:szCs w:val="24"/>
        </w:rPr>
        <w:t>to conduct the forensic audit o</w:t>
      </w:r>
      <w:r w:rsidR="00F934A9">
        <w:rPr>
          <w:rFonts w:ascii="Times New Roman" w:eastAsia="Calibri" w:hAnsi="Times New Roman" w:cs="Times New Roman"/>
          <w:sz w:val="24"/>
          <w:szCs w:val="24"/>
        </w:rPr>
        <w:t>n behalf of the Auditor-General</w:t>
      </w:r>
      <w:r w:rsidR="00785F13">
        <w:rPr>
          <w:rFonts w:ascii="Times New Roman" w:eastAsia="Calibri" w:hAnsi="Times New Roman" w:cs="Times New Roman"/>
          <w:sz w:val="24"/>
          <w:szCs w:val="24"/>
        </w:rPr>
        <w:t xml:space="preserve">. </w:t>
      </w:r>
      <w:r w:rsidR="00357F09">
        <w:rPr>
          <w:rFonts w:ascii="Times New Roman" w:eastAsia="Calibri" w:hAnsi="Times New Roman" w:cs="Times New Roman"/>
          <w:sz w:val="24"/>
          <w:szCs w:val="24"/>
        </w:rPr>
        <w:t xml:space="preserve"> </w:t>
      </w:r>
      <w:r>
        <w:rPr>
          <w:rFonts w:ascii="Times New Roman" w:eastAsia="Calibri" w:hAnsi="Times New Roman" w:cs="Times New Roman"/>
          <w:sz w:val="24"/>
          <w:szCs w:val="24"/>
        </w:rPr>
        <w:t>He</w:t>
      </w:r>
      <w:r w:rsidR="00785F13">
        <w:rPr>
          <w:rFonts w:ascii="Times New Roman" w:eastAsia="Calibri" w:hAnsi="Times New Roman" w:cs="Times New Roman"/>
          <w:sz w:val="24"/>
          <w:szCs w:val="24"/>
        </w:rPr>
        <w:t xml:space="preserve"> submitted</w:t>
      </w:r>
      <w:r w:rsidR="00F934A9">
        <w:rPr>
          <w:rFonts w:ascii="Times New Roman" w:eastAsia="Calibri" w:hAnsi="Times New Roman" w:cs="Times New Roman"/>
          <w:sz w:val="24"/>
          <w:szCs w:val="24"/>
        </w:rPr>
        <w:t xml:space="preserve"> that the Auditor</w:t>
      </w:r>
      <w:r w:rsidR="009332C2">
        <w:rPr>
          <w:rFonts w:ascii="Times New Roman" w:eastAsia="Calibri" w:hAnsi="Times New Roman" w:cs="Times New Roman"/>
          <w:sz w:val="24"/>
          <w:szCs w:val="24"/>
        </w:rPr>
        <w:t>-General</w:t>
      </w:r>
      <w:r>
        <w:rPr>
          <w:rFonts w:ascii="Times New Roman" w:eastAsia="Calibri" w:hAnsi="Times New Roman" w:cs="Times New Roman"/>
          <w:sz w:val="24"/>
          <w:szCs w:val="24"/>
        </w:rPr>
        <w:t xml:space="preserve"> had delegated her</w:t>
      </w:r>
      <w:r w:rsidR="00F934A9">
        <w:rPr>
          <w:rFonts w:ascii="Times New Roman" w:eastAsia="Calibri" w:hAnsi="Times New Roman" w:cs="Times New Roman"/>
          <w:sz w:val="24"/>
          <w:szCs w:val="24"/>
        </w:rPr>
        <w:t xml:space="preserve"> administrative authority to BDO. </w:t>
      </w:r>
      <w:r w:rsidR="00357F09">
        <w:rPr>
          <w:rFonts w:ascii="Times New Roman" w:eastAsia="Calibri" w:hAnsi="Times New Roman" w:cs="Times New Roman"/>
          <w:sz w:val="24"/>
          <w:szCs w:val="24"/>
        </w:rPr>
        <w:t xml:space="preserve"> </w:t>
      </w:r>
      <w:r>
        <w:rPr>
          <w:rFonts w:ascii="Times New Roman" w:eastAsia="Calibri" w:hAnsi="Times New Roman" w:cs="Times New Roman"/>
          <w:sz w:val="24"/>
          <w:szCs w:val="24"/>
        </w:rPr>
        <w:t>He</w:t>
      </w:r>
      <w:r w:rsidR="00F934A9">
        <w:rPr>
          <w:rFonts w:ascii="Times New Roman" w:eastAsia="Calibri" w:hAnsi="Times New Roman" w:cs="Times New Roman"/>
          <w:sz w:val="24"/>
          <w:szCs w:val="24"/>
        </w:rPr>
        <w:t xml:space="preserve"> argued that </w:t>
      </w:r>
      <w:r w:rsidR="00F934A9" w:rsidRPr="001D39B0">
        <w:rPr>
          <w:rFonts w:ascii="Times New Roman" w:eastAsia="Times New Roman" w:hAnsi="Times New Roman" w:cs="Times New Roman"/>
          <w:sz w:val="24"/>
          <w:szCs w:val="24"/>
          <w:lang w:eastAsia="en-ZW"/>
        </w:rPr>
        <w:t xml:space="preserve">actions undertaken </w:t>
      </w:r>
      <w:r w:rsidR="00F934A9">
        <w:rPr>
          <w:rFonts w:ascii="Times New Roman" w:eastAsia="Times New Roman" w:hAnsi="Times New Roman" w:cs="Times New Roman"/>
          <w:sz w:val="24"/>
          <w:szCs w:val="24"/>
          <w:lang w:eastAsia="en-ZW"/>
        </w:rPr>
        <w:t xml:space="preserve">by BDO were </w:t>
      </w:r>
      <w:r w:rsidR="00F934A9" w:rsidRPr="001D39B0">
        <w:rPr>
          <w:rFonts w:ascii="Times New Roman" w:eastAsia="Times New Roman" w:hAnsi="Times New Roman" w:cs="Times New Roman"/>
          <w:sz w:val="24"/>
          <w:szCs w:val="24"/>
          <w:lang w:eastAsia="en-ZW"/>
        </w:rPr>
        <w:t>pursuant to public power derive</w:t>
      </w:r>
      <w:r w:rsidR="009332C2">
        <w:rPr>
          <w:rFonts w:ascii="Times New Roman" w:eastAsia="Times New Roman" w:hAnsi="Times New Roman" w:cs="Times New Roman"/>
          <w:sz w:val="24"/>
          <w:szCs w:val="24"/>
          <w:lang w:eastAsia="en-ZW"/>
        </w:rPr>
        <w:t>d</w:t>
      </w:r>
      <w:r w:rsidR="00F934A9" w:rsidRPr="001D39B0">
        <w:rPr>
          <w:rFonts w:ascii="Times New Roman" w:eastAsia="Times New Roman" w:hAnsi="Times New Roman" w:cs="Times New Roman"/>
          <w:sz w:val="24"/>
          <w:szCs w:val="24"/>
          <w:lang w:eastAsia="en-ZW"/>
        </w:rPr>
        <w:t xml:space="preserve"> from statute</w:t>
      </w:r>
      <w:r w:rsidR="00F934A9">
        <w:rPr>
          <w:rFonts w:ascii="Times New Roman" w:eastAsia="Times New Roman" w:hAnsi="Times New Roman" w:cs="Times New Roman"/>
          <w:sz w:val="24"/>
          <w:szCs w:val="24"/>
          <w:lang w:eastAsia="en-ZW"/>
        </w:rPr>
        <w:t xml:space="preserve"> and therefore </w:t>
      </w:r>
      <w:r w:rsidR="00F934A9" w:rsidRPr="001D39B0">
        <w:rPr>
          <w:rFonts w:ascii="Times New Roman" w:eastAsia="Calibri" w:hAnsi="Times New Roman" w:cs="Times New Roman"/>
          <w:sz w:val="24"/>
          <w:szCs w:val="24"/>
        </w:rPr>
        <w:t xml:space="preserve">constituted an administrative action </w:t>
      </w:r>
      <w:r w:rsidR="009332C2">
        <w:rPr>
          <w:rFonts w:ascii="Times New Roman" w:eastAsia="Calibri" w:hAnsi="Times New Roman" w:cs="Times New Roman"/>
          <w:sz w:val="24"/>
          <w:szCs w:val="24"/>
        </w:rPr>
        <w:t>within the ambit</w:t>
      </w:r>
      <w:r w:rsidR="00F934A9">
        <w:rPr>
          <w:rFonts w:ascii="Times New Roman" w:eastAsia="Calibri" w:hAnsi="Times New Roman" w:cs="Times New Roman"/>
          <w:sz w:val="24"/>
          <w:szCs w:val="24"/>
        </w:rPr>
        <w:t xml:space="preserve"> of s 2 of</w:t>
      </w:r>
      <w:r w:rsidR="00F934A9" w:rsidRPr="001D39B0">
        <w:rPr>
          <w:rFonts w:ascii="Times New Roman" w:eastAsia="Calibri" w:hAnsi="Times New Roman" w:cs="Times New Roman"/>
          <w:sz w:val="24"/>
          <w:szCs w:val="24"/>
        </w:rPr>
        <w:t xml:space="preserve"> </w:t>
      </w:r>
      <w:r w:rsidR="009332C2">
        <w:rPr>
          <w:rFonts w:ascii="Times New Roman" w:eastAsia="Calibri" w:hAnsi="Times New Roman" w:cs="Times New Roman"/>
          <w:sz w:val="24"/>
          <w:szCs w:val="24"/>
        </w:rPr>
        <w:t>the</w:t>
      </w:r>
      <w:r w:rsidR="00330B9D">
        <w:rPr>
          <w:rFonts w:ascii="Times New Roman" w:eastAsia="Calibri" w:hAnsi="Times New Roman" w:cs="Times New Roman"/>
          <w:sz w:val="24"/>
          <w:szCs w:val="24"/>
        </w:rPr>
        <w:t xml:space="preserve"> AJA</w:t>
      </w:r>
      <w:r w:rsidR="00F934A9" w:rsidRPr="001D39B0">
        <w:rPr>
          <w:rFonts w:ascii="Times New Roman" w:eastAsia="Calibri" w:hAnsi="Times New Roman" w:cs="Times New Roman"/>
          <w:sz w:val="24"/>
          <w:szCs w:val="24"/>
        </w:rPr>
        <w:t xml:space="preserve">. </w:t>
      </w:r>
      <w:r w:rsidR="00357F09">
        <w:rPr>
          <w:rFonts w:ascii="Times New Roman" w:eastAsia="Calibri" w:hAnsi="Times New Roman" w:cs="Times New Roman"/>
          <w:sz w:val="24"/>
          <w:szCs w:val="24"/>
        </w:rPr>
        <w:t xml:space="preserve"> </w:t>
      </w:r>
      <w:r>
        <w:rPr>
          <w:rFonts w:ascii="Times New Roman" w:eastAsia="Calibri" w:hAnsi="Times New Roman" w:cs="Times New Roman"/>
          <w:sz w:val="24"/>
          <w:szCs w:val="24"/>
        </w:rPr>
        <w:t>He</w:t>
      </w:r>
      <w:r w:rsidR="00F934A9">
        <w:rPr>
          <w:rFonts w:ascii="Times New Roman" w:eastAsia="Calibri" w:hAnsi="Times New Roman" w:cs="Times New Roman"/>
          <w:sz w:val="24"/>
          <w:szCs w:val="24"/>
        </w:rPr>
        <w:t xml:space="preserve"> submitted </w:t>
      </w:r>
      <w:r w:rsidR="00F934A9" w:rsidRPr="001D39B0">
        <w:rPr>
          <w:rFonts w:ascii="Times New Roman" w:eastAsia="Calibri" w:hAnsi="Times New Roman" w:cs="Times New Roman"/>
          <w:sz w:val="24"/>
          <w:szCs w:val="24"/>
        </w:rPr>
        <w:t xml:space="preserve">that the term “administrative power” </w:t>
      </w:r>
      <w:r w:rsidR="00A816BA">
        <w:rPr>
          <w:rFonts w:ascii="Times New Roman" w:eastAsia="Calibri" w:hAnsi="Times New Roman" w:cs="Times New Roman"/>
          <w:sz w:val="24"/>
          <w:szCs w:val="24"/>
        </w:rPr>
        <w:t>is used</w:t>
      </w:r>
      <w:r w:rsidR="00F934A9">
        <w:rPr>
          <w:rFonts w:ascii="Times New Roman" w:eastAsia="Calibri" w:hAnsi="Times New Roman" w:cs="Times New Roman"/>
          <w:sz w:val="24"/>
          <w:szCs w:val="24"/>
        </w:rPr>
        <w:t xml:space="preserve"> in s 2(1</w:t>
      </w:r>
      <w:proofErr w:type="gramStart"/>
      <w:r w:rsidR="00F934A9">
        <w:rPr>
          <w:rFonts w:ascii="Times New Roman" w:eastAsia="Calibri" w:hAnsi="Times New Roman" w:cs="Times New Roman"/>
          <w:sz w:val="24"/>
          <w:szCs w:val="24"/>
        </w:rPr>
        <w:t>)(</w:t>
      </w:r>
      <w:proofErr w:type="gramEnd"/>
      <w:r w:rsidR="00F934A9">
        <w:rPr>
          <w:rFonts w:ascii="Times New Roman" w:eastAsia="Calibri" w:hAnsi="Times New Roman" w:cs="Times New Roman"/>
          <w:sz w:val="24"/>
          <w:szCs w:val="24"/>
        </w:rPr>
        <w:t xml:space="preserve">d) in </w:t>
      </w:r>
      <w:r w:rsidR="009332C2">
        <w:rPr>
          <w:rFonts w:ascii="Times New Roman" w:eastAsia="Calibri" w:hAnsi="Times New Roman" w:cs="Times New Roman"/>
          <w:sz w:val="24"/>
          <w:szCs w:val="24"/>
        </w:rPr>
        <w:t>the</w:t>
      </w:r>
      <w:r w:rsidR="00330B9D">
        <w:rPr>
          <w:rFonts w:ascii="Times New Roman" w:eastAsia="Calibri" w:hAnsi="Times New Roman" w:cs="Times New Roman"/>
          <w:sz w:val="24"/>
          <w:szCs w:val="24"/>
        </w:rPr>
        <w:t xml:space="preserve"> AJA</w:t>
      </w:r>
      <w:r w:rsidR="00F934A9" w:rsidRPr="001D39B0">
        <w:rPr>
          <w:rFonts w:ascii="Times New Roman" w:eastAsia="Calibri" w:hAnsi="Times New Roman" w:cs="Times New Roman"/>
          <w:sz w:val="24"/>
          <w:szCs w:val="24"/>
        </w:rPr>
        <w:t xml:space="preserve">. </w:t>
      </w:r>
      <w:r w:rsidR="00357F09">
        <w:rPr>
          <w:rFonts w:ascii="Times New Roman" w:eastAsia="Calibri" w:hAnsi="Times New Roman" w:cs="Times New Roman"/>
          <w:sz w:val="24"/>
          <w:szCs w:val="24"/>
        </w:rPr>
        <w:t xml:space="preserve"> </w:t>
      </w:r>
      <w:r>
        <w:rPr>
          <w:rFonts w:ascii="Times New Roman" w:eastAsia="Calibri" w:hAnsi="Times New Roman" w:cs="Times New Roman"/>
          <w:sz w:val="24"/>
          <w:szCs w:val="24"/>
        </w:rPr>
        <w:t>He</w:t>
      </w:r>
      <w:r w:rsidR="009332C2">
        <w:rPr>
          <w:rFonts w:ascii="Times New Roman" w:eastAsia="Calibri" w:hAnsi="Times New Roman" w:cs="Times New Roman"/>
          <w:sz w:val="24"/>
          <w:szCs w:val="24"/>
        </w:rPr>
        <w:t xml:space="preserve"> f</w:t>
      </w:r>
      <w:r w:rsidR="00F934A9" w:rsidRPr="004262BB">
        <w:rPr>
          <w:rFonts w:ascii="Times New Roman" w:eastAsia="Calibri" w:hAnsi="Times New Roman" w:cs="Times New Roman"/>
          <w:sz w:val="24"/>
          <w:szCs w:val="24"/>
        </w:rPr>
        <w:t>urther asserted that recommendations are inherently reviewable.</w:t>
      </w:r>
    </w:p>
    <w:p w:rsidR="00611882" w:rsidRPr="00611882" w:rsidRDefault="00611882" w:rsidP="00611882">
      <w:pPr>
        <w:pStyle w:val="ListParagraph"/>
        <w:rPr>
          <w:rFonts w:ascii="Times New Roman" w:hAnsi="Times New Roman" w:cs="Times New Roman"/>
          <w:sz w:val="24"/>
          <w:szCs w:val="24"/>
        </w:rPr>
      </w:pPr>
    </w:p>
    <w:p w:rsidR="00611882" w:rsidRPr="00611882" w:rsidRDefault="00611882" w:rsidP="00611882">
      <w:pPr>
        <w:pStyle w:val="ListParagraph"/>
        <w:rPr>
          <w:rFonts w:ascii="Times New Roman" w:hAnsi="Times New Roman" w:cs="Times New Roman"/>
          <w:sz w:val="24"/>
          <w:szCs w:val="24"/>
        </w:rPr>
      </w:pPr>
    </w:p>
    <w:p w:rsidR="00F934A9" w:rsidRPr="00B8180B" w:rsidRDefault="00BC7DD5" w:rsidP="00C42516">
      <w:pPr>
        <w:pStyle w:val="ListParagraph"/>
        <w:numPr>
          <w:ilvl w:val="0"/>
          <w:numId w:val="6"/>
        </w:numPr>
        <w:spacing w:before="240" w:line="480" w:lineRule="auto"/>
        <w:ind w:left="360"/>
        <w:jc w:val="both"/>
        <w:rPr>
          <w:rFonts w:ascii="Times New Roman" w:eastAsia="Calibri" w:hAnsi="Times New Roman" w:cs="Times New Roman"/>
          <w:sz w:val="24"/>
          <w:szCs w:val="24"/>
        </w:rPr>
      </w:pPr>
      <w:r>
        <w:rPr>
          <w:rFonts w:ascii="Times New Roman" w:hAnsi="Times New Roman" w:cs="Times New Roman"/>
          <w:sz w:val="24"/>
          <w:szCs w:val="24"/>
        </w:rPr>
        <w:lastRenderedPageBreak/>
        <w:t>Counsel</w:t>
      </w:r>
      <w:r w:rsidR="00CE4381">
        <w:rPr>
          <w:rFonts w:ascii="Times New Roman" w:hAnsi="Times New Roman" w:cs="Times New Roman"/>
          <w:sz w:val="24"/>
          <w:szCs w:val="24"/>
        </w:rPr>
        <w:t xml:space="preserve"> argued that the contract between the appellants was sanctioned by statute under </w:t>
      </w:r>
      <w:proofErr w:type="spellStart"/>
      <w:r w:rsidR="00CE4381">
        <w:rPr>
          <w:rFonts w:ascii="Times New Roman" w:hAnsi="Times New Roman" w:cs="Times New Roman"/>
          <w:sz w:val="24"/>
          <w:szCs w:val="24"/>
        </w:rPr>
        <w:t>ss</w:t>
      </w:r>
      <w:proofErr w:type="spellEnd"/>
      <w:r w:rsidR="00CE4381">
        <w:rPr>
          <w:rFonts w:ascii="Times New Roman" w:hAnsi="Times New Roman" w:cs="Times New Roman"/>
          <w:sz w:val="24"/>
          <w:szCs w:val="24"/>
        </w:rPr>
        <w:t xml:space="preserve"> 8 and 9 of the </w:t>
      </w:r>
      <w:r w:rsidR="00F934A9" w:rsidRPr="00611882">
        <w:rPr>
          <w:rFonts w:ascii="Times New Roman" w:hAnsi="Times New Roman" w:cs="Times New Roman"/>
          <w:sz w:val="24"/>
          <w:szCs w:val="24"/>
        </w:rPr>
        <w:t xml:space="preserve">Audit </w:t>
      </w:r>
      <w:r w:rsidR="00785F13" w:rsidRPr="00611882">
        <w:rPr>
          <w:rFonts w:ascii="Times New Roman" w:hAnsi="Times New Roman" w:cs="Times New Roman"/>
          <w:sz w:val="24"/>
          <w:szCs w:val="24"/>
        </w:rPr>
        <w:t xml:space="preserve">Office </w:t>
      </w:r>
      <w:r w:rsidR="00F934A9" w:rsidRPr="00611882">
        <w:rPr>
          <w:rFonts w:ascii="Times New Roman" w:hAnsi="Times New Roman" w:cs="Times New Roman"/>
          <w:sz w:val="24"/>
          <w:szCs w:val="24"/>
        </w:rPr>
        <w:t xml:space="preserve">Act. </w:t>
      </w:r>
      <w:r w:rsidR="001231D1">
        <w:rPr>
          <w:rFonts w:ascii="Times New Roman" w:hAnsi="Times New Roman" w:cs="Times New Roman"/>
          <w:sz w:val="24"/>
          <w:szCs w:val="24"/>
        </w:rPr>
        <w:t xml:space="preserve"> </w:t>
      </w:r>
      <w:r>
        <w:rPr>
          <w:rFonts w:ascii="Times New Roman" w:hAnsi="Times New Roman" w:cs="Times New Roman"/>
          <w:sz w:val="24"/>
          <w:szCs w:val="24"/>
        </w:rPr>
        <w:t>He</w:t>
      </w:r>
      <w:r w:rsidR="00CE4381">
        <w:rPr>
          <w:rFonts w:ascii="Times New Roman" w:hAnsi="Times New Roman" w:cs="Times New Roman"/>
          <w:sz w:val="24"/>
          <w:szCs w:val="24"/>
        </w:rPr>
        <w:t xml:space="preserve"> further argued that the </w:t>
      </w:r>
      <w:r w:rsidR="00F934A9" w:rsidRPr="00611882">
        <w:rPr>
          <w:rFonts w:ascii="Times New Roman" w:hAnsi="Times New Roman" w:cs="Times New Roman"/>
          <w:sz w:val="24"/>
          <w:szCs w:val="24"/>
        </w:rPr>
        <w:t xml:space="preserve">mischief </w:t>
      </w:r>
      <w:r w:rsidR="00CE4381">
        <w:rPr>
          <w:rFonts w:ascii="Times New Roman" w:hAnsi="Times New Roman" w:cs="Times New Roman"/>
          <w:sz w:val="24"/>
          <w:szCs w:val="24"/>
        </w:rPr>
        <w:t xml:space="preserve">behind </w:t>
      </w:r>
      <w:r w:rsidR="00F934A9" w:rsidRPr="00611882">
        <w:rPr>
          <w:rFonts w:ascii="Times New Roman" w:hAnsi="Times New Roman" w:cs="Times New Roman"/>
          <w:sz w:val="24"/>
          <w:szCs w:val="24"/>
        </w:rPr>
        <w:t xml:space="preserve">s 8 </w:t>
      </w:r>
      <w:r w:rsidR="00CE4381">
        <w:rPr>
          <w:rFonts w:ascii="Times New Roman" w:hAnsi="Times New Roman" w:cs="Times New Roman"/>
          <w:sz w:val="24"/>
          <w:szCs w:val="24"/>
        </w:rPr>
        <w:t xml:space="preserve">of the Audit Office Act </w:t>
      </w:r>
      <w:r w:rsidR="00F934A9" w:rsidRPr="00611882">
        <w:rPr>
          <w:rFonts w:ascii="Times New Roman" w:hAnsi="Times New Roman" w:cs="Times New Roman"/>
          <w:sz w:val="24"/>
          <w:szCs w:val="24"/>
        </w:rPr>
        <w:t xml:space="preserve">was </w:t>
      </w:r>
      <w:r w:rsidR="00CE4381">
        <w:rPr>
          <w:rFonts w:ascii="Times New Roman" w:hAnsi="Times New Roman" w:cs="Times New Roman"/>
          <w:sz w:val="24"/>
          <w:szCs w:val="24"/>
        </w:rPr>
        <w:t xml:space="preserve">to empower the </w:t>
      </w:r>
      <w:r w:rsidR="00B43646">
        <w:rPr>
          <w:rFonts w:ascii="Times New Roman" w:hAnsi="Times New Roman" w:cs="Times New Roman"/>
          <w:sz w:val="24"/>
          <w:szCs w:val="24"/>
        </w:rPr>
        <w:t>Auditor-General</w:t>
      </w:r>
      <w:r w:rsidR="0050267C">
        <w:rPr>
          <w:rFonts w:ascii="Times New Roman" w:hAnsi="Times New Roman" w:cs="Times New Roman"/>
          <w:sz w:val="24"/>
          <w:szCs w:val="24"/>
        </w:rPr>
        <w:t xml:space="preserve"> to effectively discharge her statutory mandate as she</w:t>
      </w:r>
      <w:r w:rsidR="00CE4381">
        <w:rPr>
          <w:rFonts w:ascii="Times New Roman" w:hAnsi="Times New Roman" w:cs="Times New Roman"/>
          <w:sz w:val="24"/>
          <w:szCs w:val="24"/>
        </w:rPr>
        <w:t xml:space="preserve"> </w:t>
      </w:r>
      <w:r w:rsidR="00F934A9" w:rsidRPr="00611882">
        <w:rPr>
          <w:rFonts w:ascii="Times New Roman" w:hAnsi="Times New Roman" w:cs="Times New Roman"/>
          <w:sz w:val="24"/>
          <w:szCs w:val="24"/>
        </w:rPr>
        <w:t>does no</w:t>
      </w:r>
      <w:r w:rsidR="0050267C">
        <w:rPr>
          <w:rFonts w:ascii="Times New Roman" w:hAnsi="Times New Roman" w:cs="Times New Roman"/>
          <w:sz w:val="24"/>
          <w:szCs w:val="24"/>
        </w:rPr>
        <w:t>t have capacity to carry out her</w:t>
      </w:r>
      <w:r w:rsidR="00F934A9" w:rsidRPr="00611882">
        <w:rPr>
          <w:rFonts w:ascii="Times New Roman" w:hAnsi="Times New Roman" w:cs="Times New Roman"/>
          <w:sz w:val="24"/>
          <w:szCs w:val="24"/>
        </w:rPr>
        <w:t xml:space="preserve"> wide mandate</w:t>
      </w:r>
      <w:r w:rsidR="00CE4381">
        <w:rPr>
          <w:rFonts w:ascii="Times New Roman" w:hAnsi="Times New Roman" w:cs="Times New Roman"/>
          <w:sz w:val="24"/>
          <w:szCs w:val="24"/>
        </w:rPr>
        <w:t xml:space="preserve">. </w:t>
      </w:r>
      <w:r w:rsidR="001231D1">
        <w:rPr>
          <w:rFonts w:ascii="Times New Roman" w:hAnsi="Times New Roman" w:cs="Times New Roman"/>
          <w:sz w:val="24"/>
          <w:szCs w:val="24"/>
        </w:rPr>
        <w:t xml:space="preserve"> </w:t>
      </w:r>
      <w:r>
        <w:rPr>
          <w:rFonts w:ascii="Times New Roman" w:hAnsi="Times New Roman" w:cs="Times New Roman"/>
          <w:sz w:val="24"/>
          <w:szCs w:val="24"/>
        </w:rPr>
        <w:t>He</w:t>
      </w:r>
      <w:r w:rsidR="00CE4381">
        <w:rPr>
          <w:rFonts w:ascii="Times New Roman" w:hAnsi="Times New Roman" w:cs="Times New Roman"/>
          <w:sz w:val="24"/>
          <w:szCs w:val="24"/>
        </w:rPr>
        <w:t xml:space="preserve"> submitted that the contracts entered into in terms of the </w:t>
      </w:r>
      <w:r w:rsidR="00B8180B">
        <w:rPr>
          <w:rFonts w:ascii="Times New Roman" w:hAnsi="Times New Roman" w:cs="Times New Roman"/>
          <w:sz w:val="24"/>
          <w:szCs w:val="24"/>
        </w:rPr>
        <w:t>Audit Office</w:t>
      </w:r>
      <w:r w:rsidR="00CE4381">
        <w:rPr>
          <w:rFonts w:ascii="Times New Roman" w:hAnsi="Times New Roman" w:cs="Times New Roman"/>
          <w:sz w:val="24"/>
          <w:szCs w:val="24"/>
        </w:rPr>
        <w:t xml:space="preserve"> Act were statutory </w:t>
      </w:r>
      <w:r w:rsidR="00F934A9" w:rsidRPr="00611882">
        <w:rPr>
          <w:rFonts w:ascii="Times New Roman" w:hAnsi="Times New Roman" w:cs="Times New Roman"/>
          <w:sz w:val="24"/>
          <w:szCs w:val="24"/>
        </w:rPr>
        <w:t>contract</w:t>
      </w:r>
      <w:r w:rsidR="00CE4381">
        <w:rPr>
          <w:rFonts w:ascii="Times New Roman" w:hAnsi="Times New Roman" w:cs="Times New Roman"/>
          <w:sz w:val="24"/>
          <w:szCs w:val="24"/>
        </w:rPr>
        <w:t xml:space="preserve">s as opposed to ordinary </w:t>
      </w:r>
      <w:r w:rsidR="00F934A9" w:rsidRPr="00611882">
        <w:rPr>
          <w:rFonts w:ascii="Times New Roman" w:hAnsi="Times New Roman" w:cs="Times New Roman"/>
          <w:sz w:val="24"/>
          <w:szCs w:val="24"/>
        </w:rPr>
        <w:t>contract</w:t>
      </w:r>
      <w:r w:rsidR="009332C2">
        <w:rPr>
          <w:rFonts w:ascii="Times New Roman" w:hAnsi="Times New Roman" w:cs="Times New Roman"/>
          <w:sz w:val="24"/>
          <w:szCs w:val="24"/>
        </w:rPr>
        <w:t>s</w:t>
      </w:r>
      <w:r w:rsidR="00F934A9" w:rsidRPr="00611882">
        <w:rPr>
          <w:rFonts w:ascii="Times New Roman" w:hAnsi="Times New Roman" w:cs="Times New Roman"/>
          <w:sz w:val="24"/>
          <w:szCs w:val="24"/>
        </w:rPr>
        <w:t>.</w:t>
      </w:r>
      <w:r w:rsidR="001231D1">
        <w:rPr>
          <w:rFonts w:ascii="Times New Roman" w:hAnsi="Times New Roman" w:cs="Times New Roman"/>
          <w:sz w:val="24"/>
          <w:szCs w:val="24"/>
        </w:rPr>
        <w:t xml:space="preserve">  </w:t>
      </w:r>
      <w:r>
        <w:rPr>
          <w:rFonts w:ascii="Times New Roman" w:hAnsi="Times New Roman" w:cs="Times New Roman"/>
          <w:sz w:val="24"/>
          <w:szCs w:val="24"/>
        </w:rPr>
        <w:t>He</w:t>
      </w:r>
      <w:r w:rsidR="00CE4381">
        <w:rPr>
          <w:rFonts w:ascii="Times New Roman" w:hAnsi="Times New Roman" w:cs="Times New Roman"/>
          <w:sz w:val="24"/>
          <w:szCs w:val="24"/>
        </w:rPr>
        <w:t xml:space="preserve"> further submitted that the statutory nature of such cont</w:t>
      </w:r>
      <w:r w:rsidR="009332C2">
        <w:rPr>
          <w:rFonts w:ascii="Times New Roman" w:hAnsi="Times New Roman" w:cs="Times New Roman"/>
          <w:sz w:val="24"/>
          <w:szCs w:val="24"/>
        </w:rPr>
        <w:t>r</w:t>
      </w:r>
      <w:r w:rsidR="00CE4381">
        <w:rPr>
          <w:rFonts w:ascii="Times New Roman" w:hAnsi="Times New Roman" w:cs="Times New Roman"/>
          <w:sz w:val="24"/>
          <w:szCs w:val="24"/>
        </w:rPr>
        <w:t xml:space="preserve">acts was more apparent from s 9 of the Audit Office Act which requires the </w:t>
      </w:r>
      <w:proofErr w:type="spellStart"/>
      <w:r w:rsidR="00CE4381">
        <w:rPr>
          <w:rFonts w:ascii="Times New Roman" w:hAnsi="Times New Roman" w:cs="Times New Roman"/>
          <w:sz w:val="24"/>
          <w:szCs w:val="24"/>
        </w:rPr>
        <w:t>gazetting</w:t>
      </w:r>
      <w:proofErr w:type="spellEnd"/>
      <w:r w:rsidR="00CE4381">
        <w:rPr>
          <w:rFonts w:ascii="Times New Roman" w:hAnsi="Times New Roman" w:cs="Times New Roman"/>
          <w:sz w:val="24"/>
          <w:szCs w:val="24"/>
        </w:rPr>
        <w:t xml:space="preserve"> of such contracts.</w:t>
      </w:r>
    </w:p>
    <w:p w:rsidR="00B8180B" w:rsidRPr="00527679" w:rsidRDefault="00B8180B" w:rsidP="00B8180B">
      <w:pPr>
        <w:pStyle w:val="ListParagraph"/>
        <w:spacing w:after="0" w:line="240" w:lineRule="auto"/>
        <w:ind w:left="360"/>
        <w:jc w:val="both"/>
        <w:rPr>
          <w:rFonts w:ascii="Times New Roman" w:eastAsia="Calibri" w:hAnsi="Times New Roman" w:cs="Times New Roman"/>
          <w:sz w:val="24"/>
          <w:szCs w:val="24"/>
        </w:rPr>
      </w:pPr>
    </w:p>
    <w:p w:rsidR="00527679" w:rsidRPr="007C4C70" w:rsidRDefault="00527679" w:rsidP="001231D1">
      <w:pPr>
        <w:pStyle w:val="ListParagraph"/>
        <w:numPr>
          <w:ilvl w:val="0"/>
          <w:numId w:val="6"/>
        </w:numPr>
        <w:spacing w:before="240" w:line="480" w:lineRule="auto"/>
        <w:ind w:left="450" w:hanging="450"/>
        <w:jc w:val="both"/>
        <w:rPr>
          <w:rFonts w:ascii="Times New Roman" w:eastAsia="Calibri" w:hAnsi="Times New Roman" w:cs="Times New Roman"/>
          <w:sz w:val="24"/>
          <w:szCs w:val="24"/>
        </w:rPr>
      </w:pPr>
      <w:r w:rsidRPr="00611882">
        <w:rPr>
          <w:rFonts w:ascii="Times New Roman" w:hAnsi="Times New Roman" w:cs="Times New Roman"/>
          <w:sz w:val="24"/>
          <w:szCs w:val="24"/>
        </w:rPr>
        <w:t xml:space="preserve">As regards the question whether the application was premature, </w:t>
      </w:r>
      <w:proofErr w:type="spellStart"/>
      <w:r w:rsidR="00BC7DD5">
        <w:rPr>
          <w:rFonts w:ascii="Times New Roman" w:hAnsi="Times New Roman" w:cs="Times New Roman"/>
          <w:sz w:val="24"/>
          <w:szCs w:val="24"/>
        </w:rPr>
        <w:t>Mr</w:t>
      </w:r>
      <w:proofErr w:type="spellEnd"/>
      <w:r w:rsidR="00BC7DD5">
        <w:rPr>
          <w:rFonts w:ascii="Times New Roman" w:hAnsi="Times New Roman" w:cs="Times New Roman"/>
          <w:sz w:val="24"/>
          <w:szCs w:val="24"/>
        </w:rPr>
        <w:t xml:space="preserve"> </w:t>
      </w:r>
      <w:proofErr w:type="spellStart"/>
      <w:r w:rsidR="00BC7DD5">
        <w:rPr>
          <w:rFonts w:ascii="Times New Roman" w:hAnsi="Times New Roman" w:cs="Times New Roman"/>
          <w:i/>
          <w:sz w:val="24"/>
          <w:szCs w:val="24"/>
        </w:rPr>
        <w:t>Madhuku</w:t>
      </w:r>
      <w:proofErr w:type="spellEnd"/>
      <w:r w:rsidRPr="00611882">
        <w:rPr>
          <w:rFonts w:ascii="Times New Roman" w:hAnsi="Times New Roman" w:cs="Times New Roman"/>
          <w:sz w:val="24"/>
          <w:szCs w:val="24"/>
        </w:rPr>
        <w:t xml:space="preserve"> submitted that an action cannot survive judicial scrutiny merely because it is incomplete. </w:t>
      </w:r>
      <w:r w:rsidR="001231D1">
        <w:rPr>
          <w:rFonts w:ascii="Times New Roman" w:hAnsi="Times New Roman" w:cs="Times New Roman"/>
          <w:sz w:val="24"/>
          <w:szCs w:val="24"/>
        </w:rPr>
        <w:t xml:space="preserve"> </w:t>
      </w:r>
      <w:r w:rsidRPr="00611882">
        <w:rPr>
          <w:rFonts w:ascii="Times New Roman" w:hAnsi="Times New Roman" w:cs="Times New Roman"/>
          <w:sz w:val="24"/>
          <w:szCs w:val="24"/>
        </w:rPr>
        <w:t xml:space="preserve">He </w:t>
      </w:r>
      <w:r w:rsidR="0050267C">
        <w:rPr>
          <w:rFonts w:ascii="Times New Roman" w:hAnsi="Times New Roman" w:cs="Times New Roman"/>
          <w:sz w:val="24"/>
          <w:szCs w:val="24"/>
        </w:rPr>
        <w:t>contended</w:t>
      </w:r>
      <w:r w:rsidRPr="00611882">
        <w:rPr>
          <w:rFonts w:ascii="Times New Roman" w:hAnsi="Times New Roman" w:cs="Times New Roman"/>
          <w:sz w:val="24"/>
          <w:szCs w:val="24"/>
        </w:rPr>
        <w:t xml:space="preserve"> that an </w:t>
      </w:r>
      <w:r>
        <w:rPr>
          <w:rFonts w:ascii="Times New Roman" w:hAnsi="Times New Roman" w:cs="Times New Roman"/>
          <w:sz w:val="24"/>
          <w:szCs w:val="24"/>
        </w:rPr>
        <w:t xml:space="preserve">incomplete </w:t>
      </w:r>
      <w:r w:rsidR="00A816BA">
        <w:rPr>
          <w:rFonts w:ascii="Times New Roman" w:hAnsi="Times New Roman" w:cs="Times New Roman"/>
          <w:sz w:val="24"/>
          <w:szCs w:val="24"/>
        </w:rPr>
        <w:t>action is reviewable when</w:t>
      </w:r>
      <w:r w:rsidRPr="00611882">
        <w:rPr>
          <w:rFonts w:ascii="Times New Roman" w:hAnsi="Times New Roman" w:cs="Times New Roman"/>
          <w:sz w:val="24"/>
          <w:szCs w:val="24"/>
        </w:rPr>
        <w:t xml:space="preserve"> it affects rights and interests of an aggrieved party. </w:t>
      </w:r>
    </w:p>
    <w:p w:rsidR="007C4C70" w:rsidRPr="007C4C70" w:rsidRDefault="007C4C70" w:rsidP="007C4C70">
      <w:pPr>
        <w:pStyle w:val="ListParagraph"/>
        <w:spacing w:after="0"/>
        <w:rPr>
          <w:rFonts w:ascii="Times New Roman" w:eastAsia="Calibri" w:hAnsi="Times New Roman" w:cs="Times New Roman"/>
          <w:sz w:val="24"/>
          <w:szCs w:val="24"/>
        </w:rPr>
      </w:pPr>
    </w:p>
    <w:p w:rsidR="00CE4381" w:rsidRPr="007C4C70" w:rsidRDefault="0050267C" w:rsidP="001231D1">
      <w:pPr>
        <w:pStyle w:val="ListParagraph"/>
        <w:numPr>
          <w:ilvl w:val="0"/>
          <w:numId w:val="6"/>
        </w:numPr>
        <w:spacing w:before="240" w:line="480" w:lineRule="auto"/>
        <w:ind w:left="450" w:hanging="450"/>
        <w:jc w:val="both"/>
        <w:rPr>
          <w:rFonts w:ascii="Times New Roman" w:eastAsia="Calibri" w:hAnsi="Times New Roman" w:cs="Times New Roman"/>
          <w:sz w:val="24"/>
          <w:szCs w:val="24"/>
        </w:rPr>
      </w:pPr>
      <w:r>
        <w:rPr>
          <w:rFonts w:ascii="Times New Roman" w:hAnsi="Times New Roman" w:cs="Times New Roman"/>
          <w:sz w:val="24"/>
          <w:szCs w:val="24"/>
        </w:rPr>
        <w:t xml:space="preserve">Counsel </w:t>
      </w:r>
      <w:r w:rsidR="00527679">
        <w:rPr>
          <w:rFonts w:ascii="Times New Roman" w:hAnsi="Times New Roman" w:cs="Times New Roman"/>
          <w:sz w:val="24"/>
          <w:szCs w:val="24"/>
        </w:rPr>
        <w:t>argued</w:t>
      </w:r>
      <w:r w:rsidR="00CE4381">
        <w:rPr>
          <w:rFonts w:ascii="Times New Roman" w:hAnsi="Times New Roman" w:cs="Times New Roman"/>
          <w:sz w:val="24"/>
          <w:szCs w:val="24"/>
        </w:rPr>
        <w:t xml:space="preserve"> that the court</w:t>
      </w:r>
      <w:r w:rsidR="00CE4381">
        <w:rPr>
          <w:rFonts w:ascii="Times New Roman" w:hAnsi="Times New Roman" w:cs="Times New Roman"/>
          <w:i/>
          <w:sz w:val="24"/>
          <w:szCs w:val="24"/>
        </w:rPr>
        <w:t xml:space="preserve"> a quo </w:t>
      </w:r>
      <w:r w:rsidR="00CE4381">
        <w:rPr>
          <w:rFonts w:ascii="Times New Roman" w:hAnsi="Times New Roman" w:cs="Times New Roman"/>
          <w:sz w:val="24"/>
          <w:szCs w:val="24"/>
        </w:rPr>
        <w:t xml:space="preserve">correctly interpreted all relevant provisions of </w:t>
      </w:r>
      <w:r w:rsidR="009332C2">
        <w:rPr>
          <w:rFonts w:ascii="Times New Roman" w:hAnsi="Times New Roman" w:cs="Times New Roman"/>
          <w:sz w:val="24"/>
          <w:szCs w:val="24"/>
        </w:rPr>
        <w:t>the</w:t>
      </w:r>
      <w:r w:rsidR="00330B9D">
        <w:rPr>
          <w:rFonts w:ascii="Times New Roman" w:hAnsi="Times New Roman" w:cs="Times New Roman"/>
          <w:sz w:val="24"/>
          <w:szCs w:val="24"/>
        </w:rPr>
        <w:t xml:space="preserve"> AJA</w:t>
      </w:r>
      <w:r w:rsidR="00574643">
        <w:rPr>
          <w:rFonts w:ascii="Times New Roman" w:hAnsi="Times New Roman" w:cs="Times New Roman"/>
          <w:sz w:val="24"/>
          <w:szCs w:val="24"/>
        </w:rPr>
        <w:t xml:space="preserve"> and that i</w:t>
      </w:r>
      <w:r w:rsidR="00CE4381">
        <w:rPr>
          <w:rFonts w:ascii="Times New Roman" w:hAnsi="Times New Roman" w:cs="Times New Roman"/>
          <w:sz w:val="24"/>
          <w:szCs w:val="24"/>
        </w:rPr>
        <w:t>t did not misdirect itself and therefore there is no basis for interfering with its decision</w:t>
      </w:r>
      <w:r w:rsidR="00CE4381" w:rsidRPr="00785F13">
        <w:rPr>
          <w:rFonts w:ascii="Times New Roman" w:hAnsi="Times New Roman" w:cs="Times New Roman"/>
          <w:sz w:val="24"/>
          <w:szCs w:val="24"/>
        </w:rPr>
        <w:t>.</w:t>
      </w:r>
    </w:p>
    <w:p w:rsidR="007C4C70" w:rsidRPr="007C4C70" w:rsidRDefault="007C4C70" w:rsidP="007C4C70">
      <w:pPr>
        <w:pStyle w:val="ListParagraph"/>
        <w:spacing w:after="0"/>
        <w:rPr>
          <w:rFonts w:ascii="Times New Roman" w:eastAsia="Calibri" w:hAnsi="Times New Roman" w:cs="Times New Roman"/>
          <w:sz w:val="24"/>
          <w:szCs w:val="24"/>
        </w:rPr>
      </w:pPr>
    </w:p>
    <w:p w:rsidR="00527679" w:rsidRDefault="0050267C" w:rsidP="001231D1">
      <w:pPr>
        <w:pStyle w:val="ListParagraph"/>
        <w:numPr>
          <w:ilvl w:val="0"/>
          <w:numId w:val="6"/>
        </w:numPr>
        <w:spacing w:before="240" w:line="48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Counsel</w:t>
      </w:r>
      <w:r w:rsidR="00527679">
        <w:rPr>
          <w:rFonts w:ascii="Times New Roman" w:eastAsia="Calibri" w:hAnsi="Times New Roman" w:cs="Times New Roman"/>
          <w:sz w:val="24"/>
          <w:szCs w:val="24"/>
        </w:rPr>
        <w:t xml:space="preserve"> further argued that the</w:t>
      </w:r>
      <w:r w:rsidR="00574643">
        <w:rPr>
          <w:rFonts w:ascii="Times New Roman" w:eastAsia="Calibri" w:hAnsi="Times New Roman" w:cs="Times New Roman"/>
          <w:sz w:val="24"/>
          <w:szCs w:val="24"/>
        </w:rPr>
        <w:t xml:space="preserve"> Constitutional Court in CCZ</w:t>
      </w:r>
      <w:r w:rsidR="00C249D6">
        <w:rPr>
          <w:rFonts w:ascii="Times New Roman" w:eastAsia="Calibri" w:hAnsi="Times New Roman" w:cs="Times New Roman"/>
          <w:sz w:val="24"/>
          <w:szCs w:val="24"/>
        </w:rPr>
        <w:t>-</w:t>
      </w:r>
      <w:r w:rsidR="00574643">
        <w:rPr>
          <w:rFonts w:ascii="Times New Roman" w:eastAsia="Calibri" w:hAnsi="Times New Roman" w:cs="Times New Roman"/>
          <w:sz w:val="24"/>
          <w:szCs w:val="24"/>
        </w:rPr>
        <w:t>10-</w:t>
      </w:r>
      <w:r w:rsidR="00527679">
        <w:rPr>
          <w:rFonts w:ascii="Times New Roman" w:eastAsia="Calibri" w:hAnsi="Times New Roman" w:cs="Times New Roman"/>
          <w:sz w:val="24"/>
          <w:szCs w:val="24"/>
        </w:rPr>
        <w:t xml:space="preserve">24 directed this Court </w:t>
      </w:r>
      <w:r w:rsidR="001231D1">
        <w:rPr>
          <w:rFonts w:ascii="Times New Roman" w:eastAsia="Calibri" w:hAnsi="Times New Roman" w:cs="Times New Roman"/>
          <w:sz w:val="24"/>
          <w:szCs w:val="24"/>
        </w:rPr>
        <w:t>in para</w:t>
      </w:r>
      <w:r w:rsidR="008E28DC">
        <w:rPr>
          <w:rFonts w:ascii="Times New Roman" w:eastAsia="Calibri" w:hAnsi="Times New Roman" w:cs="Times New Roman"/>
          <w:sz w:val="24"/>
          <w:szCs w:val="24"/>
        </w:rPr>
        <w:t xml:space="preserve"> 4 of its order </w:t>
      </w:r>
      <w:r w:rsidR="00527679">
        <w:rPr>
          <w:rFonts w:ascii="Times New Roman" w:eastAsia="Calibri" w:hAnsi="Times New Roman" w:cs="Times New Roman"/>
          <w:sz w:val="24"/>
          <w:szCs w:val="24"/>
        </w:rPr>
        <w:t>to determine the appeal o</w:t>
      </w:r>
      <w:r w:rsidR="008E28DC">
        <w:rPr>
          <w:rFonts w:ascii="Times New Roman" w:eastAsia="Calibri" w:hAnsi="Times New Roman" w:cs="Times New Roman"/>
          <w:sz w:val="24"/>
          <w:szCs w:val="24"/>
        </w:rPr>
        <w:t xml:space="preserve">n non-constitutional issues. </w:t>
      </w:r>
      <w:r w:rsidR="001231D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He </w:t>
      </w:r>
      <w:r w:rsidR="00EB15EC">
        <w:rPr>
          <w:rFonts w:ascii="Times New Roman" w:eastAsia="Calibri" w:hAnsi="Times New Roman" w:cs="Times New Roman"/>
          <w:sz w:val="24"/>
          <w:szCs w:val="24"/>
        </w:rPr>
        <w:t xml:space="preserve">submitted that this Court should </w:t>
      </w:r>
      <w:r w:rsidR="00527679">
        <w:rPr>
          <w:rFonts w:ascii="Times New Roman" w:eastAsia="Calibri" w:hAnsi="Times New Roman" w:cs="Times New Roman"/>
          <w:sz w:val="24"/>
          <w:szCs w:val="24"/>
        </w:rPr>
        <w:t xml:space="preserve">not </w:t>
      </w:r>
      <w:r w:rsidR="00EB15EC">
        <w:rPr>
          <w:rFonts w:ascii="Times New Roman" w:eastAsia="Calibri" w:hAnsi="Times New Roman" w:cs="Times New Roman"/>
          <w:sz w:val="24"/>
          <w:szCs w:val="24"/>
        </w:rPr>
        <w:t xml:space="preserve">engage </w:t>
      </w:r>
      <w:r w:rsidR="00527679">
        <w:rPr>
          <w:rFonts w:ascii="Times New Roman" w:eastAsia="Calibri" w:hAnsi="Times New Roman" w:cs="Times New Roman"/>
          <w:sz w:val="24"/>
          <w:szCs w:val="24"/>
        </w:rPr>
        <w:t>the</w:t>
      </w:r>
      <w:r w:rsidR="00EB15EC">
        <w:rPr>
          <w:rFonts w:ascii="Times New Roman" w:eastAsia="Calibri" w:hAnsi="Times New Roman" w:cs="Times New Roman"/>
          <w:sz w:val="24"/>
          <w:szCs w:val="24"/>
        </w:rPr>
        <w:t xml:space="preserve"> question whether or not the</w:t>
      </w:r>
      <w:r w:rsidR="00527679">
        <w:rPr>
          <w:rFonts w:ascii="Times New Roman" w:eastAsia="Calibri" w:hAnsi="Times New Roman" w:cs="Times New Roman"/>
          <w:sz w:val="24"/>
          <w:szCs w:val="24"/>
        </w:rPr>
        <w:t xml:space="preserve"> court</w:t>
      </w:r>
      <w:r w:rsidR="00527679">
        <w:rPr>
          <w:rFonts w:ascii="Times New Roman" w:eastAsia="Calibri" w:hAnsi="Times New Roman" w:cs="Times New Roman"/>
          <w:i/>
          <w:sz w:val="24"/>
          <w:szCs w:val="24"/>
        </w:rPr>
        <w:t xml:space="preserve"> a quo</w:t>
      </w:r>
      <w:r w:rsidR="00EB15EC">
        <w:rPr>
          <w:rFonts w:ascii="Times New Roman" w:eastAsia="Calibri" w:hAnsi="Times New Roman" w:cs="Times New Roman"/>
          <w:sz w:val="24"/>
          <w:szCs w:val="24"/>
        </w:rPr>
        <w:t xml:space="preserve"> </w:t>
      </w:r>
      <w:r w:rsidR="00EB15EC">
        <w:rPr>
          <w:rFonts w:ascii="Times New Roman" w:hAnsi="Times New Roman" w:cs="Times New Roman"/>
          <w:sz w:val="24"/>
          <w:szCs w:val="24"/>
        </w:rPr>
        <w:t>was in any way influenced in its determination by constitutional provisions</w:t>
      </w:r>
      <w:r w:rsidR="00527679">
        <w:rPr>
          <w:rFonts w:ascii="Times New Roman" w:eastAsia="Calibri" w:hAnsi="Times New Roman" w:cs="Times New Roman"/>
          <w:sz w:val="24"/>
          <w:szCs w:val="24"/>
        </w:rPr>
        <w:t>.</w:t>
      </w:r>
    </w:p>
    <w:p w:rsidR="007C4C70" w:rsidRPr="007C4C70" w:rsidRDefault="007C4C70" w:rsidP="007C4C70">
      <w:pPr>
        <w:pStyle w:val="ListParagraph"/>
        <w:spacing w:after="0" w:line="240" w:lineRule="auto"/>
        <w:rPr>
          <w:rFonts w:ascii="Times New Roman" w:eastAsia="Calibri" w:hAnsi="Times New Roman" w:cs="Times New Roman"/>
          <w:sz w:val="24"/>
          <w:szCs w:val="24"/>
        </w:rPr>
      </w:pPr>
    </w:p>
    <w:p w:rsidR="00F934A9" w:rsidRPr="001D39B0" w:rsidRDefault="00574643" w:rsidP="001231D1">
      <w:pPr>
        <w:spacing w:after="0" w:line="48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ISSUE</w:t>
      </w:r>
      <w:r w:rsidR="00F934A9" w:rsidRPr="001D39B0">
        <w:rPr>
          <w:rFonts w:ascii="Times New Roman" w:eastAsia="Calibri" w:hAnsi="Times New Roman" w:cs="Times New Roman"/>
          <w:b/>
          <w:sz w:val="24"/>
          <w:szCs w:val="24"/>
          <w:u w:val="single"/>
        </w:rPr>
        <w:t xml:space="preserve"> FOR DETERMINATION</w:t>
      </w:r>
    </w:p>
    <w:p w:rsidR="00F934A9" w:rsidRPr="00611882" w:rsidRDefault="00F934A9" w:rsidP="001231D1">
      <w:pPr>
        <w:pStyle w:val="ListParagraph"/>
        <w:numPr>
          <w:ilvl w:val="0"/>
          <w:numId w:val="6"/>
        </w:numPr>
        <w:spacing w:after="0" w:line="480" w:lineRule="auto"/>
        <w:ind w:left="450" w:hanging="450"/>
        <w:jc w:val="both"/>
        <w:rPr>
          <w:rFonts w:ascii="Times New Roman" w:eastAsia="Calibri" w:hAnsi="Times New Roman" w:cs="Times New Roman"/>
          <w:sz w:val="24"/>
          <w:szCs w:val="24"/>
        </w:rPr>
      </w:pPr>
      <w:r w:rsidRPr="00611882">
        <w:rPr>
          <w:rFonts w:ascii="Times New Roman" w:eastAsia="Calibri" w:hAnsi="Times New Roman" w:cs="Times New Roman"/>
          <w:sz w:val="24"/>
          <w:szCs w:val="24"/>
        </w:rPr>
        <w:t>Th</w:t>
      </w:r>
      <w:r w:rsidR="00611882" w:rsidRPr="00611882">
        <w:rPr>
          <w:rFonts w:ascii="Times New Roman" w:eastAsia="Calibri" w:hAnsi="Times New Roman" w:cs="Times New Roman"/>
          <w:sz w:val="24"/>
          <w:szCs w:val="24"/>
        </w:rPr>
        <w:t xml:space="preserve">e </w:t>
      </w:r>
      <w:r w:rsidR="00237AF8">
        <w:rPr>
          <w:rFonts w:ascii="Times New Roman" w:eastAsia="Calibri" w:hAnsi="Times New Roman" w:cs="Times New Roman"/>
          <w:sz w:val="24"/>
          <w:szCs w:val="24"/>
        </w:rPr>
        <w:t xml:space="preserve">grounds of appeal and </w:t>
      </w:r>
      <w:r w:rsidR="002815A9">
        <w:rPr>
          <w:rFonts w:ascii="Times New Roman" w:eastAsia="Calibri" w:hAnsi="Times New Roman" w:cs="Times New Roman"/>
          <w:sz w:val="24"/>
          <w:szCs w:val="24"/>
        </w:rPr>
        <w:t xml:space="preserve">the </w:t>
      </w:r>
      <w:r w:rsidR="00237AF8">
        <w:rPr>
          <w:rFonts w:ascii="Times New Roman" w:eastAsia="Calibri" w:hAnsi="Times New Roman" w:cs="Times New Roman"/>
          <w:sz w:val="24"/>
          <w:szCs w:val="24"/>
        </w:rPr>
        <w:t xml:space="preserve">submissions </w:t>
      </w:r>
      <w:r w:rsidR="002815A9">
        <w:rPr>
          <w:rFonts w:ascii="Times New Roman" w:eastAsia="Calibri" w:hAnsi="Times New Roman" w:cs="Times New Roman"/>
          <w:sz w:val="24"/>
          <w:szCs w:val="24"/>
        </w:rPr>
        <w:t xml:space="preserve">made before this Court </w:t>
      </w:r>
      <w:r w:rsidR="00611882" w:rsidRPr="00611882">
        <w:rPr>
          <w:rFonts w:ascii="Times New Roman" w:eastAsia="Calibri" w:hAnsi="Times New Roman" w:cs="Times New Roman"/>
          <w:sz w:val="24"/>
          <w:szCs w:val="24"/>
        </w:rPr>
        <w:t>r</w:t>
      </w:r>
      <w:r w:rsidR="00AC7676">
        <w:rPr>
          <w:rFonts w:ascii="Times New Roman" w:eastAsia="Calibri" w:hAnsi="Times New Roman" w:cs="Times New Roman"/>
          <w:sz w:val="24"/>
          <w:szCs w:val="24"/>
        </w:rPr>
        <w:t>a</w:t>
      </w:r>
      <w:r w:rsidR="00611882" w:rsidRPr="00611882">
        <w:rPr>
          <w:rFonts w:ascii="Times New Roman" w:eastAsia="Calibri" w:hAnsi="Times New Roman" w:cs="Times New Roman"/>
          <w:sz w:val="24"/>
          <w:szCs w:val="24"/>
        </w:rPr>
        <w:t xml:space="preserve">ise </w:t>
      </w:r>
      <w:r w:rsidR="00AD3407">
        <w:rPr>
          <w:rFonts w:ascii="Times New Roman" w:eastAsia="Calibri" w:hAnsi="Times New Roman" w:cs="Times New Roman"/>
          <w:sz w:val="24"/>
          <w:szCs w:val="24"/>
        </w:rPr>
        <w:t xml:space="preserve">one </w:t>
      </w:r>
      <w:r w:rsidR="00237AF8">
        <w:rPr>
          <w:rFonts w:ascii="Times New Roman" w:eastAsia="Calibri" w:hAnsi="Times New Roman" w:cs="Times New Roman"/>
          <w:sz w:val="24"/>
          <w:szCs w:val="24"/>
        </w:rPr>
        <w:t>issue</w:t>
      </w:r>
      <w:r w:rsidR="00AD3407">
        <w:rPr>
          <w:rFonts w:ascii="Times New Roman" w:eastAsia="Calibri" w:hAnsi="Times New Roman" w:cs="Times New Roman"/>
          <w:sz w:val="24"/>
          <w:szCs w:val="24"/>
        </w:rPr>
        <w:t xml:space="preserve"> </w:t>
      </w:r>
      <w:r w:rsidR="00AC7676">
        <w:rPr>
          <w:rFonts w:ascii="Times New Roman" w:eastAsia="Calibri" w:hAnsi="Times New Roman" w:cs="Times New Roman"/>
          <w:sz w:val="24"/>
          <w:szCs w:val="24"/>
        </w:rPr>
        <w:t xml:space="preserve">for determination, </w:t>
      </w:r>
      <w:r w:rsidR="00AD3407">
        <w:rPr>
          <w:rFonts w:ascii="Times New Roman" w:eastAsia="Calibri" w:hAnsi="Times New Roman" w:cs="Times New Roman"/>
          <w:sz w:val="24"/>
          <w:szCs w:val="24"/>
        </w:rPr>
        <w:t>that is</w:t>
      </w:r>
      <w:r w:rsidR="00611882" w:rsidRPr="00611882">
        <w:rPr>
          <w:rFonts w:ascii="Times New Roman" w:eastAsia="Calibri" w:hAnsi="Times New Roman" w:cs="Times New Roman"/>
          <w:sz w:val="24"/>
          <w:szCs w:val="24"/>
        </w:rPr>
        <w:t>:</w:t>
      </w:r>
    </w:p>
    <w:p w:rsidR="00866F35" w:rsidRDefault="00F934A9" w:rsidP="001231D1">
      <w:pPr>
        <w:pStyle w:val="ListParagraph"/>
        <w:spacing w:before="240" w:line="24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Whether or not </w:t>
      </w:r>
      <w:r w:rsidRPr="008361E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court </w:t>
      </w:r>
      <w:r>
        <w:rPr>
          <w:rFonts w:ascii="Times New Roman" w:eastAsia="Calibri" w:hAnsi="Times New Roman" w:cs="Times New Roman"/>
          <w:i/>
          <w:sz w:val="24"/>
          <w:szCs w:val="24"/>
        </w:rPr>
        <w:t xml:space="preserve">a quo </w:t>
      </w:r>
      <w:r w:rsidR="00F0741B">
        <w:rPr>
          <w:rFonts w:ascii="Times New Roman" w:eastAsia="Calibri" w:hAnsi="Times New Roman" w:cs="Times New Roman"/>
          <w:sz w:val="24"/>
          <w:szCs w:val="24"/>
        </w:rPr>
        <w:t xml:space="preserve">was </w:t>
      </w:r>
      <w:r w:rsidRPr="008361E3">
        <w:rPr>
          <w:rFonts w:ascii="Times New Roman" w:eastAsia="Calibri" w:hAnsi="Times New Roman" w:cs="Times New Roman"/>
          <w:sz w:val="24"/>
          <w:szCs w:val="24"/>
        </w:rPr>
        <w:t xml:space="preserve">correct in finding that </w:t>
      </w:r>
      <w:r w:rsidR="00237AF8">
        <w:rPr>
          <w:rFonts w:ascii="Times New Roman" w:eastAsia="Calibri" w:hAnsi="Times New Roman" w:cs="Times New Roman"/>
          <w:sz w:val="24"/>
          <w:szCs w:val="24"/>
        </w:rPr>
        <w:t xml:space="preserve">BDO was </w:t>
      </w:r>
      <w:r w:rsidR="00E572B0">
        <w:rPr>
          <w:rFonts w:ascii="Times New Roman" w:eastAsia="Calibri" w:hAnsi="Times New Roman" w:cs="Times New Roman"/>
          <w:sz w:val="24"/>
          <w:szCs w:val="24"/>
        </w:rPr>
        <w:t xml:space="preserve">exercising </w:t>
      </w:r>
      <w:r w:rsidR="00237AF8">
        <w:rPr>
          <w:rFonts w:ascii="Times New Roman" w:eastAsia="Calibri" w:hAnsi="Times New Roman" w:cs="Times New Roman"/>
          <w:sz w:val="24"/>
          <w:szCs w:val="24"/>
        </w:rPr>
        <w:t>administrative author</w:t>
      </w:r>
      <w:r w:rsidRPr="008361E3">
        <w:rPr>
          <w:rFonts w:ascii="Times New Roman" w:eastAsia="Calibri" w:hAnsi="Times New Roman" w:cs="Times New Roman"/>
          <w:sz w:val="24"/>
          <w:szCs w:val="24"/>
        </w:rPr>
        <w:t>ity</w:t>
      </w:r>
      <w:r w:rsidR="00E572B0">
        <w:rPr>
          <w:rFonts w:ascii="Times New Roman" w:eastAsia="Calibri" w:hAnsi="Times New Roman" w:cs="Times New Roman"/>
          <w:sz w:val="24"/>
          <w:szCs w:val="24"/>
        </w:rPr>
        <w:t xml:space="preserve"> </w:t>
      </w:r>
      <w:r w:rsidR="00AD3407">
        <w:rPr>
          <w:rFonts w:ascii="Times New Roman" w:eastAsia="Calibri" w:hAnsi="Times New Roman" w:cs="Times New Roman"/>
          <w:sz w:val="24"/>
          <w:szCs w:val="24"/>
        </w:rPr>
        <w:t xml:space="preserve">subject to review </w:t>
      </w:r>
      <w:r w:rsidR="00E572B0">
        <w:rPr>
          <w:rFonts w:ascii="Times New Roman" w:eastAsia="Calibri" w:hAnsi="Times New Roman" w:cs="Times New Roman"/>
          <w:sz w:val="24"/>
          <w:szCs w:val="24"/>
        </w:rPr>
        <w:t>when it carried out the forensi</w:t>
      </w:r>
      <w:r w:rsidR="00AD3407">
        <w:rPr>
          <w:rFonts w:ascii="Times New Roman" w:eastAsia="Calibri" w:hAnsi="Times New Roman" w:cs="Times New Roman"/>
          <w:sz w:val="24"/>
          <w:szCs w:val="24"/>
        </w:rPr>
        <w:t xml:space="preserve">c audit for the </w:t>
      </w:r>
      <w:r w:rsidR="00B43646">
        <w:rPr>
          <w:rFonts w:ascii="Times New Roman" w:eastAsia="Calibri" w:hAnsi="Times New Roman" w:cs="Times New Roman"/>
          <w:sz w:val="24"/>
          <w:szCs w:val="24"/>
        </w:rPr>
        <w:t>Auditor-General</w:t>
      </w:r>
      <w:r w:rsidR="00AD340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F934A9" w:rsidRDefault="00F934A9" w:rsidP="00866F35">
      <w:pPr>
        <w:pStyle w:val="ListParagraph"/>
        <w:spacing w:after="0" w:line="24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3181B" w:rsidRDefault="0083181B" w:rsidP="00866F35">
      <w:pPr>
        <w:pStyle w:val="ListParagraph"/>
        <w:spacing w:after="0" w:line="240" w:lineRule="auto"/>
        <w:ind w:left="1440"/>
        <w:jc w:val="both"/>
        <w:rPr>
          <w:rFonts w:ascii="Times New Roman" w:eastAsia="Calibri" w:hAnsi="Times New Roman" w:cs="Times New Roman"/>
          <w:sz w:val="24"/>
          <w:szCs w:val="24"/>
        </w:rPr>
      </w:pPr>
    </w:p>
    <w:p w:rsidR="00F934A9" w:rsidRDefault="00F934A9" w:rsidP="0083181B">
      <w:pPr>
        <w:spacing w:after="0" w:line="480" w:lineRule="auto"/>
        <w:jc w:val="both"/>
        <w:rPr>
          <w:rFonts w:ascii="Times New Roman" w:eastAsia="Calibri" w:hAnsi="Times New Roman" w:cs="Times New Roman"/>
          <w:b/>
          <w:sz w:val="24"/>
          <w:szCs w:val="24"/>
          <w:u w:val="single"/>
        </w:rPr>
      </w:pPr>
      <w:r w:rsidRPr="001D39B0">
        <w:rPr>
          <w:rFonts w:ascii="Times New Roman" w:eastAsia="Calibri" w:hAnsi="Times New Roman" w:cs="Times New Roman"/>
          <w:b/>
          <w:sz w:val="24"/>
          <w:szCs w:val="24"/>
          <w:u w:val="single"/>
        </w:rPr>
        <w:t>APPLICATION OF THE LAW TO THE FACTS</w:t>
      </w:r>
    </w:p>
    <w:p w:rsidR="003F440A" w:rsidRPr="0083181B" w:rsidRDefault="00F934A9" w:rsidP="0083181B">
      <w:pPr>
        <w:pStyle w:val="ListParagraph"/>
        <w:numPr>
          <w:ilvl w:val="0"/>
          <w:numId w:val="6"/>
        </w:numPr>
        <w:spacing w:after="0" w:line="480" w:lineRule="auto"/>
        <w:ind w:left="360"/>
        <w:jc w:val="both"/>
        <w:rPr>
          <w:rFonts w:ascii="Times New Roman" w:eastAsia="Calibri" w:hAnsi="Times New Roman" w:cs="Times New Roman"/>
          <w:sz w:val="24"/>
          <w:szCs w:val="24"/>
        </w:rPr>
      </w:pPr>
      <w:r w:rsidRPr="001D39B0">
        <w:rPr>
          <w:rFonts w:ascii="Times New Roman" w:hAnsi="Times New Roman" w:cs="Times New Roman"/>
          <w:iCs/>
          <w:sz w:val="24"/>
          <w:szCs w:val="24"/>
        </w:rPr>
        <w:t xml:space="preserve">This Court finds itself </w:t>
      </w:r>
      <w:r w:rsidR="004726F2">
        <w:rPr>
          <w:rFonts w:ascii="Times New Roman" w:hAnsi="Times New Roman" w:cs="Times New Roman"/>
          <w:iCs/>
          <w:sz w:val="24"/>
          <w:szCs w:val="24"/>
        </w:rPr>
        <w:t xml:space="preserve">having to </w:t>
      </w:r>
      <w:r>
        <w:rPr>
          <w:rFonts w:ascii="Times New Roman" w:hAnsi="Times New Roman" w:cs="Times New Roman"/>
          <w:iCs/>
          <w:sz w:val="24"/>
          <w:szCs w:val="24"/>
        </w:rPr>
        <w:t>determin</w:t>
      </w:r>
      <w:r w:rsidR="004726F2">
        <w:rPr>
          <w:rFonts w:ascii="Times New Roman" w:hAnsi="Times New Roman" w:cs="Times New Roman"/>
          <w:iCs/>
          <w:sz w:val="24"/>
          <w:szCs w:val="24"/>
        </w:rPr>
        <w:t>e</w:t>
      </w:r>
      <w:r w:rsidR="00BC33A8">
        <w:rPr>
          <w:rFonts w:ascii="Times New Roman" w:hAnsi="Times New Roman" w:cs="Times New Roman"/>
          <w:iCs/>
          <w:sz w:val="24"/>
          <w:szCs w:val="24"/>
        </w:rPr>
        <w:t xml:space="preserve"> the above issue </w:t>
      </w:r>
      <w:r>
        <w:rPr>
          <w:rFonts w:ascii="Times New Roman" w:hAnsi="Times New Roman" w:cs="Times New Roman"/>
          <w:iCs/>
          <w:sz w:val="24"/>
          <w:szCs w:val="24"/>
        </w:rPr>
        <w:t xml:space="preserve">in light of </w:t>
      </w:r>
      <w:r w:rsidR="00BC33A8">
        <w:rPr>
          <w:rFonts w:ascii="Times New Roman" w:hAnsi="Times New Roman" w:cs="Times New Roman"/>
          <w:iCs/>
          <w:sz w:val="24"/>
          <w:szCs w:val="24"/>
        </w:rPr>
        <w:t>the</w:t>
      </w:r>
      <w:r w:rsidRPr="001D39B0">
        <w:rPr>
          <w:rFonts w:ascii="Times New Roman" w:hAnsi="Times New Roman" w:cs="Times New Roman"/>
          <w:iCs/>
          <w:sz w:val="24"/>
          <w:szCs w:val="24"/>
        </w:rPr>
        <w:t xml:space="preserve"> pronouncements </w:t>
      </w:r>
      <w:r>
        <w:rPr>
          <w:rFonts w:ascii="Times New Roman" w:hAnsi="Times New Roman" w:cs="Times New Roman"/>
          <w:iCs/>
          <w:sz w:val="24"/>
          <w:szCs w:val="24"/>
        </w:rPr>
        <w:t>by the</w:t>
      </w:r>
      <w:r w:rsidRPr="001D39B0">
        <w:rPr>
          <w:rFonts w:ascii="Times New Roman" w:hAnsi="Times New Roman" w:cs="Times New Roman"/>
          <w:iCs/>
          <w:sz w:val="24"/>
          <w:szCs w:val="24"/>
        </w:rPr>
        <w:t xml:space="preserve"> Constitutional Court </w:t>
      </w:r>
      <w:r>
        <w:rPr>
          <w:rFonts w:ascii="Times New Roman" w:hAnsi="Times New Roman" w:cs="Times New Roman"/>
          <w:iCs/>
          <w:sz w:val="24"/>
          <w:szCs w:val="24"/>
        </w:rPr>
        <w:t xml:space="preserve">in its </w:t>
      </w:r>
      <w:r w:rsidRPr="001D39B0">
        <w:rPr>
          <w:rFonts w:ascii="Times New Roman" w:hAnsi="Times New Roman" w:cs="Times New Roman"/>
          <w:iCs/>
          <w:sz w:val="24"/>
          <w:szCs w:val="24"/>
        </w:rPr>
        <w:t xml:space="preserve">judgment in </w:t>
      </w:r>
      <w:r>
        <w:rPr>
          <w:rFonts w:ascii="Times New Roman" w:hAnsi="Times New Roman" w:cs="Times New Roman"/>
          <w:iCs/>
          <w:sz w:val="24"/>
          <w:szCs w:val="24"/>
        </w:rPr>
        <w:t xml:space="preserve">case number </w:t>
      </w:r>
      <w:r w:rsidR="0083181B">
        <w:rPr>
          <w:rFonts w:ascii="Times New Roman" w:hAnsi="Times New Roman" w:cs="Times New Roman"/>
          <w:iCs/>
          <w:sz w:val="24"/>
          <w:szCs w:val="24"/>
        </w:rPr>
        <w:t xml:space="preserve">CCZ </w:t>
      </w:r>
      <w:r w:rsidRPr="001D39B0">
        <w:rPr>
          <w:rFonts w:ascii="Times New Roman" w:hAnsi="Times New Roman" w:cs="Times New Roman"/>
          <w:iCs/>
          <w:sz w:val="24"/>
          <w:szCs w:val="24"/>
        </w:rPr>
        <w:t>10</w:t>
      </w:r>
      <w:r w:rsidR="0083181B">
        <w:rPr>
          <w:rFonts w:ascii="Times New Roman" w:hAnsi="Times New Roman" w:cs="Times New Roman"/>
          <w:iCs/>
          <w:sz w:val="24"/>
          <w:szCs w:val="24"/>
        </w:rPr>
        <w:t>/</w:t>
      </w:r>
      <w:r w:rsidRPr="001D39B0">
        <w:rPr>
          <w:rFonts w:ascii="Times New Roman" w:hAnsi="Times New Roman" w:cs="Times New Roman"/>
          <w:iCs/>
          <w:sz w:val="24"/>
          <w:szCs w:val="24"/>
        </w:rPr>
        <w:t xml:space="preserve">24. </w:t>
      </w:r>
      <w:r w:rsidR="0083181B">
        <w:rPr>
          <w:rFonts w:ascii="Times New Roman" w:hAnsi="Times New Roman" w:cs="Times New Roman"/>
          <w:iCs/>
          <w:sz w:val="24"/>
          <w:szCs w:val="24"/>
        </w:rPr>
        <w:t xml:space="preserve"> </w:t>
      </w:r>
      <w:r>
        <w:rPr>
          <w:rFonts w:ascii="Times New Roman" w:hAnsi="Times New Roman" w:cs="Times New Roman"/>
          <w:iCs/>
          <w:sz w:val="24"/>
          <w:szCs w:val="24"/>
        </w:rPr>
        <w:t>This followed a determination by th</w:t>
      </w:r>
      <w:r w:rsidR="00EB15EC">
        <w:rPr>
          <w:rFonts w:ascii="Times New Roman" w:hAnsi="Times New Roman" w:cs="Times New Roman"/>
          <w:iCs/>
          <w:sz w:val="24"/>
          <w:szCs w:val="24"/>
        </w:rPr>
        <w:t>at</w:t>
      </w:r>
      <w:r w:rsidR="00574643">
        <w:rPr>
          <w:rFonts w:ascii="Times New Roman" w:hAnsi="Times New Roman" w:cs="Times New Roman"/>
          <w:iCs/>
          <w:sz w:val="24"/>
          <w:szCs w:val="24"/>
        </w:rPr>
        <w:t xml:space="preserve"> C</w:t>
      </w:r>
      <w:r>
        <w:rPr>
          <w:rFonts w:ascii="Times New Roman" w:hAnsi="Times New Roman" w:cs="Times New Roman"/>
          <w:iCs/>
          <w:sz w:val="24"/>
          <w:szCs w:val="24"/>
        </w:rPr>
        <w:t xml:space="preserve">ourt of what it termed a “purported appeal” against a judgment </w:t>
      </w:r>
      <w:r w:rsidR="0083181B">
        <w:rPr>
          <w:rFonts w:ascii="Times New Roman" w:hAnsi="Times New Roman" w:cs="Times New Roman"/>
          <w:iCs/>
          <w:sz w:val="24"/>
          <w:szCs w:val="24"/>
        </w:rPr>
        <w:t xml:space="preserve">of this Court in case number SC </w:t>
      </w:r>
      <w:r>
        <w:rPr>
          <w:rFonts w:ascii="Times New Roman" w:hAnsi="Times New Roman" w:cs="Times New Roman"/>
          <w:iCs/>
          <w:sz w:val="24"/>
          <w:szCs w:val="24"/>
        </w:rPr>
        <w:t>61</w:t>
      </w:r>
      <w:r w:rsidR="0083181B">
        <w:rPr>
          <w:rFonts w:ascii="Times New Roman" w:hAnsi="Times New Roman" w:cs="Times New Roman"/>
          <w:iCs/>
          <w:sz w:val="24"/>
          <w:szCs w:val="24"/>
        </w:rPr>
        <w:t>/</w:t>
      </w:r>
      <w:r>
        <w:rPr>
          <w:rFonts w:ascii="Times New Roman" w:hAnsi="Times New Roman" w:cs="Times New Roman"/>
          <w:iCs/>
          <w:sz w:val="24"/>
          <w:szCs w:val="24"/>
        </w:rPr>
        <w:t xml:space="preserve">22. </w:t>
      </w:r>
      <w:r w:rsidR="0083181B">
        <w:rPr>
          <w:rFonts w:ascii="Times New Roman" w:hAnsi="Times New Roman" w:cs="Times New Roman"/>
          <w:iCs/>
          <w:sz w:val="24"/>
          <w:szCs w:val="24"/>
        </w:rPr>
        <w:t xml:space="preserve"> </w:t>
      </w:r>
      <w:r>
        <w:rPr>
          <w:rFonts w:ascii="Times New Roman" w:hAnsi="Times New Roman" w:cs="Times New Roman"/>
          <w:iCs/>
          <w:sz w:val="24"/>
          <w:szCs w:val="24"/>
        </w:rPr>
        <w:t xml:space="preserve">This Court’s judgment was on the same </w:t>
      </w:r>
      <w:r w:rsidR="00EB15EC">
        <w:rPr>
          <w:rFonts w:ascii="Times New Roman" w:hAnsi="Times New Roman" w:cs="Times New Roman"/>
          <w:iCs/>
          <w:sz w:val="24"/>
          <w:szCs w:val="24"/>
        </w:rPr>
        <w:t xml:space="preserve">appeals </w:t>
      </w:r>
      <w:r>
        <w:rPr>
          <w:rFonts w:ascii="Times New Roman" w:hAnsi="Times New Roman" w:cs="Times New Roman"/>
          <w:iCs/>
          <w:sz w:val="24"/>
          <w:szCs w:val="24"/>
        </w:rPr>
        <w:t>presently before us wherein it had</w:t>
      </w:r>
      <w:r w:rsidR="003F440A">
        <w:rPr>
          <w:rFonts w:ascii="Times New Roman" w:hAnsi="Times New Roman" w:cs="Times New Roman"/>
          <w:iCs/>
          <w:sz w:val="24"/>
          <w:szCs w:val="24"/>
        </w:rPr>
        <w:t>, in determining</w:t>
      </w:r>
      <w:r w:rsidR="00EB15EC">
        <w:rPr>
          <w:rFonts w:ascii="Times New Roman" w:hAnsi="Times New Roman" w:cs="Times New Roman"/>
          <w:iCs/>
          <w:sz w:val="24"/>
          <w:szCs w:val="24"/>
        </w:rPr>
        <w:t xml:space="preserve"> the same grounds of appeal, resorted to</w:t>
      </w:r>
      <w:r w:rsidR="003F440A">
        <w:rPr>
          <w:rFonts w:ascii="Times New Roman" w:hAnsi="Times New Roman" w:cs="Times New Roman"/>
          <w:iCs/>
          <w:sz w:val="24"/>
          <w:szCs w:val="24"/>
        </w:rPr>
        <w:t xml:space="preserve"> </w:t>
      </w:r>
      <w:r w:rsidR="00574643">
        <w:rPr>
          <w:rFonts w:ascii="Times New Roman" w:hAnsi="Times New Roman" w:cs="Times New Roman"/>
          <w:iCs/>
          <w:sz w:val="24"/>
          <w:szCs w:val="24"/>
        </w:rPr>
        <w:t>interpreting</w:t>
      </w:r>
      <w:r>
        <w:rPr>
          <w:rFonts w:ascii="Times New Roman" w:hAnsi="Times New Roman" w:cs="Times New Roman"/>
          <w:iCs/>
          <w:sz w:val="24"/>
          <w:szCs w:val="24"/>
        </w:rPr>
        <w:t xml:space="preserve"> s 309 of the Constitution</w:t>
      </w:r>
      <w:r w:rsidR="00EB15EC">
        <w:rPr>
          <w:rFonts w:ascii="Times New Roman" w:hAnsi="Times New Roman" w:cs="Times New Roman"/>
          <w:iCs/>
          <w:sz w:val="24"/>
          <w:szCs w:val="24"/>
        </w:rPr>
        <w:t xml:space="preserve"> in order to determine the appeals</w:t>
      </w:r>
      <w:r>
        <w:rPr>
          <w:rFonts w:ascii="Times New Roman" w:hAnsi="Times New Roman" w:cs="Times New Roman"/>
          <w:iCs/>
          <w:sz w:val="24"/>
          <w:szCs w:val="24"/>
        </w:rPr>
        <w:t xml:space="preserve">. </w:t>
      </w:r>
    </w:p>
    <w:p w:rsidR="0083181B" w:rsidRPr="003F440A" w:rsidRDefault="0083181B" w:rsidP="0083181B">
      <w:pPr>
        <w:pStyle w:val="ListParagraph"/>
        <w:spacing w:after="0" w:line="240" w:lineRule="auto"/>
        <w:ind w:left="360"/>
        <w:jc w:val="both"/>
        <w:rPr>
          <w:rFonts w:ascii="Times New Roman" w:eastAsia="Calibri" w:hAnsi="Times New Roman" w:cs="Times New Roman"/>
          <w:sz w:val="24"/>
          <w:szCs w:val="24"/>
        </w:rPr>
      </w:pPr>
    </w:p>
    <w:p w:rsidR="00A737B5" w:rsidRPr="0083181B" w:rsidRDefault="00F934A9" w:rsidP="0083181B">
      <w:pPr>
        <w:pStyle w:val="ListParagraph"/>
        <w:numPr>
          <w:ilvl w:val="0"/>
          <w:numId w:val="6"/>
        </w:numPr>
        <w:spacing w:before="240" w:line="480" w:lineRule="auto"/>
        <w:ind w:left="360"/>
        <w:jc w:val="both"/>
        <w:rPr>
          <w:rFonts w:ascii="Times New Roman" w:eastAsia="Calibri" w:hAnsi="Times New Roman" w:cs="Times New Roman"/>
          <w:sz w:val="24"/>
          <w:szCs w:val="24"/>
        </w:rPr>
      </w:pPr>
      <w:r w:rsidRPr="003F440A">
        <w:rPr>
          <w:rFonts w:ascii="Times New Roman" w:hAnsi="Times New Roman" w:cs="Times New Roman"/>
          <w:iCs/>
          <w:sz w:val="24"/>
          <w:szCs w:val="24"/>
        </w:rPr>
        <w:t xml:space="preserve">The Constitutional Court emphatically </w:t>
      </w:r>
      <w:r w:rsidR="007D669C">
        <w:rPr>
          <w:rFonts w:ascii="Times New Roman" w:hAnsi="Times New Roman" w:cs="Times New Roman"/>
          <w:iCs/>
          <w:sz w:val="24"/>
          <w:szCs w:val="24"/>
        </w:rPr>
        <w:t>stated</w:t>
      </w:r>
      <w:r w:rsidRPr="003F440A">
        <w:rPr>
          <w:rFonts w:ascii="Times New Roman" w:hAnsi="Times New Roman" w:cs="Times New Roman"/>
          <w:iCs/>
          <w:sz w:val="24"/>
          <w:szCs w:val="24"/>
        </w:rPr>
        <w:t xml:space="preserve"> that neither this Court nor the court </w:t>
      </w:r>
      <w:r w:rsidRPr="003F440A">
        <w:rPr>
          <w:rFonts w:ascii="Times New Roman" w:hAnsi="Times New Roman" w:cs="Times New Roman"/>
          <w:i/>
          <w:iCs/>
          <w:sz w:val="24"/>
          <w:szCs w:val="24"/>
        </w:rPr>
        <w:t>a quo</w:t>
      </w:r>
      <w:r w:rsidRPr="003F440A">
        <w:rPr>
          <w:rFonts w:ascii="Times New Roman" w:hAnsi="Times New Roman" w:cs="Times New Roman"/>
          <w:iCs/>
          <w:sz w:val="24"/>
          <w:szCs w:val="24"/>
        </w:rPr>
        <w:t xml:space="preserve"> had jurisdiction to interpret s 309 of the Constitution so as to resolve t</w:t>
      </w:r>
      <w:r w:rsidR="0083181B">
        <w:rPr>
          <w:rFonts w:ascii="Times New Roman" w:hAnsi="Times New Roman" w:cs="Times New Roman"/>
          <w:iCs/>
          <w:sz w:val="24"/>
          <w:szCs w:val="24"/>
        </w:rPr>
        <w:t xml:space="preserve">he dispute between the parties.  </w:t>
      </w:r>
      <w:r w:rsidRPr="003F440A">
        <w:rPr>
          <w:rFonts w:ascii="Times New Roman" w:hAnsi="Times New Roman" w:cs="Times New Roman"/>
          <w:iCs/>
          <w:sz w:val="24"/>
          <w:szCs w:val="24"/>
        </w:rPr>
        <w:t xml:space="preserve">It affirmed that </w:t>
      </w:r>
      <w:r w:rsidR="00574643">
        <w:rPr>
          <w:rFonts w:ascii="Times New Roman" w:hAnsi="Times New Roman" w:cs="Times New Roman"/>
          <w:iCs/>
          <w:sz w:val="24"/>
          <w:szCs w:val="24"/>
        </w:rPr>
        <w:t>the</w:t>
      </w:r>
      <w:r w:rsidR="00330B9D">
        <w:rPr>
          <w:rFonts w:ascii="Times New Roman" w:hAnsi="Times New Roman" w:cs="Times New Roman"/>
          <w:iCs/>
          <w:sz w:val="24"/>
          <w:szCs w:val="24"/>
        </w:rPr>
        <w:t xml:space="preserve"> AJA</w:t>
      </w:r>
      <w:r w:rsidRPr="003F440A">
        <w:rPr>
          <w:rFonts w:ascii="Times New Roman" w:hAnsi="Times New Roman" w:cs="Times New Roman"/>
          <w:iCs/>
          <w:sz w:val="24"/>
          <w:szCs w:val="24"/>
        </w:rPr>
        <w:t xml:space="preserve"> effectively gives effect to s 68 of the Constitution, rendering any reliance on constitutional provisions unnecessary for interpreting </w:t>
      </w:r>
      <w:proofErr w:type="spellStart"/>
      <w:r w:rsidRPr="003F440A">
        <w:rPr>
          <w:rFonts w:ascii="Times New Roman" w:hAnsi="Times New Roman" w:cs="Times New Roman"/>
          <w:iCs/>
          <w:sz w:val="24"/>
          <w:szCs w:val="24"/>
        </w:rPr>
        <w:t>s</w:t>
      </w:r>
      <w:r w:rsidR="00FE50E7">
        <w:rPr>
          <w:rFonts w:ascii="Times New Roman" w:hAnsi="Times New Roman" w:cs="Times New Roman"/>
          <w:iCs/>
          <w:sz w:val="24"/>
          <w:szCs w:val="24"/>
        </w:rPr>
        <w:t>s</w:t>
      </w:r>
      <w:proofErr w:type="spellEnd"/>
      <w:r w:rsidRPr="003F440A">
        <w:rPr>
          <w:rFonts w:ascii="Times New Roman" w:hAnsi="Times New Roman" w:cs="Times New Roman"/>
          <w:iCs/>
          <w:sz w:val="24"/>
          <w:szCs w:val="24"/>
        </w:rPr>
        <w:t xml:space="preserve"> 3 and 4 of </w:t>
      </w:r>
      <w:r w:rsidR="00574643">
        <w:rPr>
          <w:rFonts w:ascii="Times New Roman" w:hAnsi="Times New Roman" w:cs="Times New Roman"/>
          <w:iCs/>
          <w:sz w:val="24"/>
          <w:szCs w:val="24"/>
        </w:rPr>
        <w:t>the</w:t>
      </w:r>
      <w:r w:rsidR="00330B9D">
        <w:rPr>
          <w:rFonts w:ascii="Times New Roman" w:hAnsi="Times New Roman" w:cs="Times New Roman"/>
          <w:iCs/>
          <w:sz w:val="24"/>
          <w:szCs w:val="24"/>
        </w:rPr>
        <w:t xml:space="preserve"> AJA</w:t>
      </w:r>
      <w:r w:rsidR="0083181B">
        <w:rPr>
          <w:rFonts w:ascii="Times New Roman" w:hAnsi="Times New Roman" w:cs="Times New Roman"/>
          <w:iCs/>
          <w:sz w:val="24"/>
          <w:szCs w:val="24"/>
        </w:rPr>
        <w:t xml:space="preserve">.  </w:t>
      </w:r>
      <w:r w:rsidRPr="003F440A">
        <w:rPr>
          <w:rFonts w:ascii="Times New Roman" w:hAnsi="Times New Roman" w:cs="Times New Roman"/>
          <w:sz w:val="24"/>
          <w:szCs w:val="24"/>
        </w:rPr>
        <w:t xml:space="preserve">The Constitutional Court undertook a comprehensive consideration of the proceedings before the court </w:t>
      </w:r>
      <w:r w:rsidRPr="003F440A">
        <w:rPr>
          <w:rStyle w:val="Emphasis"/>
          <w:rFonts w:ascii="Times New Roman" w:hAnsi="Times New Roman" w:cs="Times New Roman"/>
          <w:sz w:val="24"/>
          <w:szCs w:val="24"/>
        </w:rPr>
        <w:t>a quo</w:t>
      </w:r>
      <w:r w:rsidRPr="003F440A">
        <w:rPr>
          <w:rFonts w:ascii="Times New Roman" w:hAnsi="Times New Roman" w:cs="Times New Roman"/>
          <w:sz w:val="24"/>
          <w:szCs w:val="24"/>
        </w:rPr>
        <w:t xml:space="preserve">, and the reasoning that culminated in the court </w:t>
      </w:r>
      <w:r w:rsidRPr="003F440A">
        <w:rPr>
          <w:rStyle w:val="Emphasis"/>
          <w:rFonts w:ascii="Times New Roman" w:hAnsi="Times New Roman" w:cs="Times New Roman"/>
          <w:sz w:val="24"/>
          <w:szCs w:val="24"/>
        </w:rPr>
        <w:t>a quo</w:t>
      </w:r>
      <w:r w:rsidRPr="003F440A">
        <w:rPr>
          <w:rFonts w:ascii="Times New Roman" w:hAnsi="Times New Roman" w:cs="Times New Roman"/>
          <w:sz w:val="24"/>
          <w:szCs w:val="24"/>
        </w:rPr>
        <w:t xml:space="preserve">'s judgment. </w:t>
      </w:r>
      <w:r w:rsidR="0083181B">
        <w:rPr>
          <w:rFonts w:ascii="Times New Roman" w:hAnsi="Times New Roman" w:cs="Times New Roman"/>
          <w:sz w:val="24"/>
          <w:szCs w:val="24"/>
        </w:rPr>
        <w:t xml:space="preserve"> </w:t>
      </w:r>
      <w:r w:rsidRPr="003F440A">
        <w:rPr>
          <w:rFonts w:ascii="Times New Roman" w:hAnsi="Times New Roman" w:cs="Times New Roman"/>
          <w:sz w:val="24"/>
          <w:szCs w:val="24"/>
        </w:rPr>
        <w:t>Notably, the Constitutional Court observed that while the respondent initiated the application for review under s 3</w:t>
      </w:r>
      <w:r w:rsidR="00A816BA">
        <w:rPr>
          <w:rFonts w:ascii="Times New Roman" w:hAnsi="Times New Roman" w:cs="Times New Roman"/>
          <w:sz w:val="24"/>
          <w:szCs w:val="24"/>
        </w:rPr>
        <w:t xml:space="preserve"> </w:t>
      </w:r>
      <w:r w:rsidRPr="003F440A">
        <w:rPr>
          <w:rFonts w:ascii="Times New Roman" w:hAnsi="Times New Roman" w:cs="Times New Roman"/>
          <w:sz w:val="24"/>
          <w:szCs w:val="24"/>
        </w:rPr>
        <w:t xml:space="preserve">(a) </w:t>
      </w:r>
      <w:r w:rsidR="005B03E2">
        <w:rPr>
          <w:rFonts w:ascii="Times New Roman" w:hAnsi="Times New Roman" w:cs="Times New Roman"/>
          <w:sz w:val="24"/>
          <w:szCs w:val="24"/>
        </w:rPr>
        <w:t xml:space="preserve">as </w:t>
      </w:r>
      <w:r w:rsidRPr="003F440A">
        <w:rPr>
          <w:rFonts w:ascii="Times New Roman" w:hAnsi="Times New Roman" w:cs="Times New Roman"/>
          <w:sz w:val="24"/>
          <w:szCs w:val="24"/>
        </w:rPr>
        <w:t xml:space="preserve">read with </w:t>
      </w:r>
      <w:r w:rsidR="0008158C">
        <w:rPr>
          <w:rFonts w:ascii="Times New Roman" w:hAnsi="Times New Roman" w:cs="Times New Roman"/>
          <w:sz w:val="24"/>
          <w:szCs w:val="24"/>
        </w:rPr>
        <w:t>s 4 of the</w:t>
      </w:r>
      <w:r w:rsidR="00330B9D">
        <w:rPr>
          <w:rFonts w:ascii="Times New Roman" w:hAnsi="Times New Roman" w:cs="Times New Roman"/>
          <w:sz w:val="24"/>
          <w:szCs w:val="24"/>
        </w:rPr>
        <w:t xml:space="preserve"> AJA</w:t>
      </w:r>
      <w:r w:rsidRPr="003F440A">
        <w:rPr>
          <w:rFonts w:ascii="Times New Roman" w:hAnsi="Times New Roman" w:cs="Times New Roman"/>
          <w:sz w:val="24"/>
          <w:szCs w:val="24"/>
        </w:rPr>
        <w:t xml:space="preserve">, the court </w:t>
      </w:r>
      <w:r w:rsidRPr="003F440A">
        <w:rPr>
          <w:rStyle w:val="Emphasis"/>
          <w:rFonts w:ascii="Times New Roman" w:hAnsi="Times New Roman" w:cs="Times New Roman"/>
          <w:sz w:val="24"/>
          <w:szCs w:val="24"/>
        </w:rPr>
        <w:t>a quo</w:t>
      </w:r>
      <w:r w:rsidRPr="003F440A">
        <w:rPr>
          <w:rFonts w:ascii="Times New Roman" w:hAnsi="Times New Roman" w:cs="Times New Roman"/>
          <w:sz w:val="24"/>
          <w:szCs w:val="24"/>
        </w:rPr>
        <w:t xml:space="preserve">, in its determination, resorted to interpreting </w:t>
      </w:r>
      <w:r w:rsidR="005B03E2">
        <w:rPr>
          <w:rFonts w:ascii="Times New Roman" w:hAnsi="Times New Roman" w:cs="Times New Roman"/>
          <w:sz w:val="24"/>
          <w:szCs w:val="24"/>
        </w:rPr>
        <w:t xml:space="preserve">s </w:t>
      </w:r>
      <w:r w:rsidRPr="003F440A">
        <w:rPr>
          <w:rFonts w:ascii="Times New Roman" w:hAnsi="Times New Roman" w:cs="Times New Roman"/>
          <w:sz w:val="24"/>
          <w:szCs w:val="24"/>
        </w:rPr>
        <w:t xml:space="preserve">309 of the Constitution. </w:t>
      </w:r>
    </w:p>
    <w:p w:rsidR="0083181B" w:rsidRPr="0083181B" w:rsidRDefault="0083181B" w:rsidP="0083181B">
      <w:pPr>
        <w:pStyle w:val="ListParagraph"/>
        <w:rPr>
          <w:rFonts w:ascii="Times New Roman" w:eastAsia="Calibri" w:hAnsi="Times New Roman" w:cs="Times New Roman"/>
          <w:sz w:val="24"/>
          <w:szCs w:val="24"/>
        </w:rPr>
      </w:pPr>
    </w:p>
    <w:p w:rsidR="00F934A9" w:rsidRDefault="00F934A9" w:rsidP="0083181B">
      <w:pPr>
        <w:pStyle w:val="ListParagraph"/>
        <w:numPr>
          <w:ilvl w:val="0"/>
          <w:numId w:val="6"/>
        </w:numPr>
        <w:spacing w:after="0" w:line="480" w:lineRule="auto"/>
        <w:ind w:left="36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Throughout its judgment, the Constitutional Court alluded to the fact that the court </w:t>
      </w:r>
      <w:r w:rsidRPr="009B1EC0">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erred by resorting to s 309 of the Constitution in the determination of non</w:t>
      </w:r>
      <w:r w:rsidR="000916BD">
        <w:rPr>
          <w:rFonts w:ascii="Times New Roman" w:eastAsia="Calibri" w:hAnsi="Times New Roman" w:cs="Times New Roman"/>
          <w:sz w:val="24"/>
          <w:szCs w:val="24"/>
        </w:rPr>
        <w:t>-</w:t>
      </w:r>
      <w:r>
        <w:rPr>
          <w:rFonts w:ascii="Times New Roman" w:eastAsia="Calibri" w:hAnsi="Times New Roman" w:cs="Times New Roman"/>
          <w:sz w:val="24"/>
          <w:szCs w:val="24"/>
        </w:rPr>
        <w:t xml:space="preserve"> constitutional issues before it. </w:t>
      </w:r>
      <w:r w:rsidR="0083181B">
        <w:rPr>
          <w:rFonts w:ascii="Times New Roman" w:eastAsia="Calibri" w:hAnsi="Times New Roman" w:cs="Times New Roman"/>
          <w:sz w:val="24"/>
          <w:szCs w:val="24"/>
        </w:rPr>
        <w:t xml:space="preserve"> </w:t>
      </w:r>
      <w:r>
        <w:rPr>
          <w:rFonts w:ascii="Times New Roman" w:eastAsia="Calibri" w:hAnsi="Times New Roman" w:cs="Times New Roman"/>
          <w:sz w:val="24"/>
          <w:szCs w:val="24"/>
        </w:rPr>
        <w:t>It remarked at para 59 that:</w:t>
      </w:r>
    </w:p>
    <w:p w:rsidR="00F934A9" w:rsidRPr="001D39B0" w:rsidRDefault="00F934A9" w:rsidP="0083181B">
      <w:pPr>
        <w:spacing w:after="0" w:line="240" w:lineRule="auto"/>
        <w:ind w:left="1440" w:hanging="1440"/>
        <w:contextualSpacing/>
        <w:jc w:val="both"/>
        <w:rPr>
          <w:rFonts w:ascii="Times New Roman" w:hAnsi="Times New Roman" w:cs="Times New Roman"/>
          <w:iCs/>
          <w:sz w:val="24"/>
          <w:szCs w:val="24"/>
        </w:rPr>
      </w:pPr>
      <w:r w:rsidRPr="001D39B0">
        <w:rPr>
          <w:rFonts w:ascii="Times New Roman" w:hAnsi="Times New Roman" w:cs="Times New Roman"/>
          <w:iCs/>
          <w:sz w:val="24"/>
          <w:szCs w:val="24"/>
        </w:rPr>
        <w:t xml:space="preserve"> </w:t>
      </w:r>
      <w:r>
        <w:rPr>
          <w:rFonts w:ascii="Times New Roman" w:hAnsi="Times New Roman" w:cs="Times New Roman"/>
          <w:iCs/>
          <w:sz w:val="24"/>
          <w:szCs w:val="24"/>
        </w:rPr>
        <w:tab/>
        <w:t>“</w:t>
      </w:r>
      <w:r w:rsidRPr="001D39B0">
        <w:rPr>
          <w:rFonts w:ascii="Times New Roman" w:hAnsi="Times New Roman" w:cs="Times New Roman"/>
          <w:iCs/>
          <w:sz w:val="24"/>
          <w:szCs w:val="24"/>
        </w:rPr>
        <w:t xml:space="preserve">The issue before the High Court and the Supreme Court was whether the second respondent was an administrative authority for purposes of the application that had been filed in terms of the Administrative Justice Act. </w:t>
      </w:r>
      <w:r w:rsidR="0083181B">
        <w:rPr>
          <w:rFonts w:ascii="Times New Roman" w:hAnsi="Times New Roman" w:cs="Times New Roman"/>
          <w:iCs/>
          <w:sz w:val="24"/>
          <w:szCs w:val="24"/>
        </w:rPr>
        <w:t xml:space="preserve"> </w:t>
      </w:r>
      <w:r w:rsidRPr="004F31BF">
        <w:rPr>
          <w:rFonts w:ascii="Times New Roman" w:hAnsi="Times New Roman" w:cs="Times New Roman"/>
          <w:b/>
          <w:iCs/>
          <w:sz w:val="24"/>
          <w:szCs w:val="24"/>
        </w:rPr>
        <w:t xml:space="preserve">The resort to s 309 of the Constitution in order to resolve the dispute between </w:t>
      </w:r>
      <w:r w:rsidRPr="004F31BF">
        <w:rPr>
          <w:rFonts w:ascii="Times New Roman" w:hAnsi="Times New Roman" w:cs="Times New Roman"/>
          <w:b/>
          <w:iCs/>
          <w:sz w:val="24"/>
          <w:szCs w:val="24"/>
        </w:rPr>
        <w:lastRenderedPageBreak/>
        <w:t>the parties was not only unnecessary but also irregular and fell foul of the principles of subsidiarity and constitutional avoidance.</w:t>
      </w:r>
      <w:r>
        <w:rPr>
          <w:rFonts w:ascii="Times New Roman" w:hAnsi="Times New Roman" w:cs="Times New Roman"/>
          <w:iCs/>
          <w:sz w:val="24"/>
          <w:szCs w:val="24"/>
        </w:rPr>
        <w:t>”</w:t>
      </w:r>
      <w:r w:rsidRPr="001D39B0">
        <w:rPr>
          <w:rFonts w:ascii="Times New Roman" w:hAnsi="Times New Roman" w:cs="Times New Roman"/>
          <w:iCs/>
          <w:sz w:val="24"/>
          <w:szCs w:val="24"/>
        </w:rPr>
        <w:t xml:space="preserve"> </w:t>
      </w:r>
    </w:p>
    <w:p w:rsidR="00F934A9" w:rsidRPr="001D39B0" w:rsidRDefault="00F934A9" w:rsidP="00F934A9">
      <w:pPr>
        <w:spacing w:after="0" w:line="480" w:lineRule="auto"/>
        <w:jc w:val="both"/>
        <w:rPr>
          <w:rFonts w:ascii="Times New Roman" w:eastAsia="Calibri" w:hAnsi="Times New Roman" w:cs="Times New Roman"/>
          <w:sz w:val="24"/>
          <w:szCs w:val="24"/>
        </w:rPr>
      </w:pPr>
    </w:p>
    <w:p w:rsidR="00F934A9" w:rsidRDefault="006B0582" w:rsidP="0083181B">
      <w:pPr>
        <w:pStyle w:val="ListParagraph"/>
        <w:numPr>
          <w:ilvl w:val="0"/>
          <w:numId w:val="6"/>
        </w:numPr>
        <w:spacing w:after="0" w:line="48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934A9">
        <w:rPr>
          <w:rFonts w:ascii="Times New Roman" w:eastAsia="Calibri" w:hAnsi="Times New Roman" w:cs="Times New Roman"/>
          <w:sz w:val="24"/>
          <w:szCs w:val="24"/>
        </w:rPr>
        <w:t>It further remarked a</w:t>
      </w:r>
      <w:r w:rsidR="00F934A9" w:rsidRPr="001D39B0">
        <w:rPr>
          <w:rFonts w:ascii="Times New Roman" w:eastAsia="Calibri" w:hAnsi="Times New Roman" w:cs="Times New Roman"/>
          <w:sz w:val="24"/>
          <w:szCs w:val="24"/>
        </w:rPr>
        <w:t xml:space="preserve">t paras 64 - 65 </w:t>
      </w:r>
      <w:r w:rsidR="00F934A9">
        <w:rPr>
          <w:rFonts w:ascii="Times New Roman" w:eastAsia="Calibri" w:hAnsi="Times New Roman" w:cs="Times New Roman"/>
          <w:sz w:val="24"/>
          <w:szCs w:val="24"/>
        </w:rPr>
        <w:t>that</w:t>
      </w:r>
      <w:r w:rsidR="00F934A9" w:rsidRPr="001D39B0">
        <w:rPr>
          <w:rFonts w:ascii="Times New Roman" w:eastAsia="Calibri" w:hAnsi="Times New Roman" w:cs="Times New Roman"/>
          <w:sz w:val="24"/>
          <w:szCs w:val="24"/>
        </w:rPr>
        <w:t xml:space="preserve">: </w:t>
      </w:r>
    </w:p>
    <w:p w:rsidR="00F934A9" w:rsidRDefault="00F934A9" w:rsidP="006B0582">
      <w:pPr>
        <w:pStyle w:val="ListParagraph"/>
        <w:spacing w:after="0" w:line="240" w:lineRule="auto"/>
        <w:ind w:left="1170"/>
        <w:jc w:val="both"/>
        <w:rPr>
          <w:rFonts w:ascii="Times New Roman" w:eastAsia="Calibri" w:hAnsi="Times New Roman" w:cs="Times New Roman"/>
          <w:sz w:val="24"/>
          <w:szCs w:val="24"/>
        </w:rPr>
      </w:pPr>
      <w:r w:rsidRPr="001D39B0">
        <w:rPr>
          <w:rFonts w:ascii="Times New Roman" w:eastAsia="Calibri" w:hAnsi="Times New Roman" w:cs="Times New Roman"/>
          <w:sz w:val="24"/>
          <w:szCs w:val="24"/>
        </w:rPr>
        <w:t>“</w:t>
      </w:r>
      <w:r w:rsidRPr="001D39B0">
        <w:rPr>
          <w:rFonts w:ascii="Times New Roman" w:hAnsi="Times New Roman" w:cs="Times New Roman"/>
          <w:iCs/>
          <w:sz w:val="24"/>
          <w:szCs w:val="24"/>
        </w:rPr>
        <w:t xml:space="preserve">The court </w:t>
      </w:r>
      <w:r w:rsidRPr="001D39B0">
        <w:rPr>
          <w:rFonts w:ascii="Times New Roman" w:hAnsi="Times New Roman" w:cs="Times New Roman"/>
          <w:i/>
          <w:iCs/>
          <w:sz w:val="24"/>
          <w:szCs w:val="24"/>
        </w:rPr>
        <w:t xml:space="preserve">a quo </w:t>
      </w:r>
      <w:r w:rsidRPr="001D39B0">
        <w:rPr>
          <w:rFonts w:ascii="Times New Roman" w:hAnsi="Times New Roman" w:cs="Times New Roman"/>
          <w:iCs/>
          <w:sz w:val="24"/>
          <w:szCs w:val="24"/>
        </w:rPr>
        <w:t>should</w:t>
      </w:r>
      <w:r w:rsidRPr="001D39B0">
        <w:rPr>
          <w:rFonts w:ascii="Times New Roman" w:hAnsi="Times New Roman" w:cs="Times New Roman"/>
          <w:i/>
          <w:iCs/>
          <w:sz w:val="24"/>
          <w:szCs w:val="24"/>
        </w:rPr>
        <w:t xml:space="preserve"> </w:t>
      </w:r>
      <w:r w:rsidRPr="001D39B0">
        <w:rPr>
          <w:rFonts w:ascii="Times New Roman" w:hAnsi="Times New Roman" w:cs="Times New Roman"/>
          <w:iCs/>
          <w:sz w:val="24"/>
          <w:szCs w:val="24"/>
        </w:rPr>
        <w:t>have resisted the invitation by the applicant’s legal practitioner for it to determine the dispute after taking into account the provisions of s 309 of the Constitution. Its decision to do so was therefore irregular. As already noted earlier in this judgment, it was the applicant who invited the High Court and thereafter the Supreme Court to interpret s 309 of the Constitution in order to determine whether or not the second respondent was an administrativ</w:t>
      </w:r>
      <w:r w:rsidR="0008158C">
        <w:rPr>
          <w:rFonts w:ascii="Times New Roman" w:hAnsi="Times New Roman" w:cs="Times New Roman"/>
          <w:iCs/>
          <w:sz w:val="24"/>
          <w:szCs w:val="24"/>
        </w:rPr>
        <w:t>e authority for purposes of the</w:t>
      </w:r>
      <w:r w:rsidR="00330B9D">
        <w:rPr>
          <w:rFonts w:ascii="Times New Roman" w:hAnsi="Times New Roman" w:cs="Times New Roman"/>
          <w:iCs/>
          <w:sz w:val="24"/>
          <w:szCs w:val="24"/>
        </w:rPr>
        <w:t xml:space="preserve"> AJA</w:t>
      </w:r>
      <w:r w:rsidRPr="001D39B0">
        <w:rPr>
          <w:rFonts w:ascii="Times New Roman" w:hAnsi="Times New Roman" w:cs="Times New Roman"/>
          <w:iCs/>
          <w:sz w:val="24"/>
          <w:szCs w:val="24"/>
        </w:rPr>
        <w:t xml:space="preserve">. </w:t>
      </w:r>
      <w:r w:rsidRPr="001D39B0">
        <w:rPr>
          <w:rFonts w:ascii="Times New Roman" w:hAnsi="Times New Roman" w:cs="Times New Roman"/>
          <w:b/>
          <w:iCs/>
          <w:sz w:val="24"/>
          <w:szCs w:val="24"/>
        </w:rPr>
        <w:t>Unfortunately both the High Court and Supreme Court took the bait and ended up interpreting s 309 of the Constitution</w:t>
      </w:r>
      <w:r w:rsidRPr="001D39B0">
        <w:rPr>
          <w:rFonts w:ascii="Times New Roman" w:hAnsi="Times New Roman" w:cs="Times New Roman"/>
          <w:iCs/>
          <w:sz w:val="24"/>
          <w:szCs w:val="24"/>
        </w:rPr>
        <w:t xml:space="preserve"> </w:t>
      </w:r>
      <w:r w:rsidRPr="004F31BF">
        <w:rPr>
          <w:rFonts w:ascii="Times New Roman" w:hAnsi="Times New Roman" w:cs="Times New Roman"/>
          <w:b/>
          <w:iCs/>
          <w:sz w:val="24"/>
          <w:szCs w:val="24"/>
        </w:rPr>
        <w:t>instead of simply determining whether the second respondent was an administrative authority for purposes of the Administrative Justice Act</w:t>
      </w:r>
      <w:r w:rsidRPr="001D39B0">
        <w:rPr>
          <w:rFonts w:ascii="Times New Roman" w:hAnsi="Times New Roman" w:cs="Times New Roman"/>
          <w:iCs/>
          <w:sz w:val="24"/>
          <w:szCs w:val="24"/>
        </w:rPr>
        <w:t>.</w:t>
      </w:r>
      <w:r w:rsidRPr="001D39B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769E7">
        <w:rPr>
          <w:rFonts w:ascii="Times New Roman" w:eastAsia="Calibri" w:hAnsi="Times New Roman" w:cs="Times New Roman"/>
          <w:sz w:val="24"/>
          <w:szCs w:val="24"/>
        </w:rPr>
        <w:t>(</w:t>
      </w:r>
      <w:r w:rsidR="002769E7" w:rsidRPr="002769E7">
        <w:rPr>
          <w:rFonts w:ascii="Times New Roman" w:eastAsia="Calibri" w:hAnsi="Times New Roman" w:cs="Times New Roman"/>
          <w:sz w:val="24"/>
          <w:szCs w:val="24"/>
        </w:rPr>
        <w:t>Emphasis</w:t>
      </w:r>
      <w:r w:rsidRPr="002769E7">
        <w:rPr>
          <w:rFonts w:ascii="Times New Roman" w:eastAsia="Calibri" w:hAnsi="Times New Roman" w:cs="Times New Roman"/>
          <w:sz w:val="24"/>
          <w:szCs w:val="24"/>
        </w:rPr>
        <w:t xml:space="preserve"> added)</w:t>
      </w:r>
    </w:p>
    <w:p w:rsidR="00CC479A" w:rsidRPr="002769E7" w:rsidRDefault="00CC479A" w:rsidP="006B0582">
      <w:pPr>
        <w:pStyle w:val="ListParagraph"/>
        <w:spacing w:after="0" w:line="240" w:lineRule="auto"/>
        <w:ind w:left="1170"/>
        <w:jc w:val="both"/>
        <w:rPr>
          <w:rFonts w:ascii="Times New Roman" w:eastAsia="Calibri" w:hAnsi="Times New Roman" w:cs="Times New Roman"/>
          <w:sz w:val="24"/>
          <w:szCs w:val="24"/>
        </w:rPr>
      </w:pPr>
    </w:p>
    <w:p w:rsidR="00F934A9" w:rsidRDefault="00F934A9" w:rsidP="00F934A9">
      <w:pPr>
        <w:pStyle w:val="ListParagraph"/>
        <w:spacing w:after="0" w:line="240" w:lineRule="auto"/>
        <w:ind w:left="1440"/>
        <w:jc w:val="both"/>
        <w:rPr>
          <w:rFonts w:ascii="Times New Roman" w:eastAsia="Calibri" w:hAnsi="Times New Roman" w:cs="Times New Roman"/>
          <w:sz w:val="24"/>
          <w:szCs w:val="24"/>
        </w:rPr>
      </w:pPr>
    </w:p>
    <w:p w:rsidR="00F934A9" w:rsidRPr="001D39B0" w:rsidRDefault="00F934A9" w:rsidP="00D739DF">
      <w:pPr>
        <w:pStyle w:val="ListParagraph"/>
        <w:numPr>
          <w:ilvl w:val="0"/>
          <w:numId w:val="6"/>
        </w:numPr>
        <w:spacing w:after="0" w:line="48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Constitutional Court specifically dedicated part of its judgment to the question whether this court and the court </w:t>
      </w:r>
      <w:r w:rsidRPr="008414A3">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had jurisdiction to rely on s 309 of the Constitution. </w:t>
      </w:r>
      <w:r w:rsidR="00CC479A">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Pr="001D39B0">
        <w:rPr>
          <w:rFonts w:ascii="Times New Roman" w:eastAsia="Calibri" w:hAnsi="Times New Roman" w:cs="Times New Roman"/>
          <w:sz w:val="24"/>
          <w:szCs w:val="24"/>
        </w:rPr>
        <w:t xml:space="preserve">n para 72 </w:t>
      </w:r>
      <w:r>
        <w:rPr>
          <w:rFonts w:ascii="Times New Roman" w:eastAsia="Calibri" w:hAnsi="Times New Roman" w:cs="Times New Roman"/>
          <w:sz w:val="24"/>
          <w:szCs w:val="24"/>
        </w:rPr>
        <w:t xml:space="preserve">under the luminous subheading, </w:t>
      </w:r>
      <w:r w:rsidRPr="001344CA">
        <w:rPr>
          <w:rFonts w:ascii="Times New Roman" w:eastAsia="Calibri" w:hAnsi="Times New Roman" w:cs="Times New Roman"/>
          <w:b/>
          <w:sz w:val="24"/>
          <w:szCs w:val="24"/>
        </w:rPr>
        <w:t xml:space="preserve">BOTH </w:t>
      </w:r>
      <w:r w:rsidRPr="001344CA">
        <w:rPr>
          <w:rFonts w:ascii="Times New Roman" w:hAnsi="Times New Roman" w:cs="Times New Roman"/>
          <w:b/>
          <w:iCs/>
          <w:sz w:val="24"/>
          <w:szCs w:val="24"/>
        </w:rPr>
        <w:t xml:space="preserve">THE COURT </w:t>
      </w:r>
      <w:r w:rsidRPr="008414A3">
        <w:rPr>
          <w:rFonts w:ascii="Times New Roman" w:hAnsi="Times New Roman" w:cs="Times New Roman"/>
          <w:b/>
          <w:i/>
          <w:iCs/>
          <w:sz w:val="24"/>
          <w:szCs w:val="24"/>
        </w:rPr>
        <w:t>A QUO</w:t>
      </w:r>
      <w:r w:rsidRPr="001344CA">
        <w:rPr>
          <w:rFonts w:ascii="Times New Roman" w:hAnsi="Times New Roman" w:cs="Times New Roman"/>
          <w:b/>
          <w:iCs/>
          <w:sz w:val="24"/>
          <w:szCs w:val="24"/>
        </w:rPr>
        <w:t xml:space="preserve"> AND THE HIGH COURT HAD NO JURISDICTION TO INVOKE S 309</w:t>
      </w:r>
      <w:r>
        <w:rPr>
          <w:rFonts w:ascii="Times New Roman" w:hAnsi="Times New Roman" w:cs="Times New Roman"/>
          <w:iCs/>
          <w:sz w:val="24"/>
          <w:szCs w:val="24"/>
        </w:rPr>
        <w:t xml:space="preserve"> it remarked that</w:t>
      </w:r>
      <w:r w:rsidRPr="001D39B0">
        <w:rPr>
          <w:rFonts w:ascii="Times New Roman" w:hAnsi="Times New Roman" w:cs="Times New Roman"/>
          <w:iCs/>
          <w:sz w:val="24"/>
          <w:szCs w:val="24"/>
        </w:rPr>
        <w:t>:</w:t>
      </w:r>
    </w:p>
    <w:p w:rsidR="00F934A9" w:rsidRDefault="00CC479A" w:rsidP="00CC479A">
      <w:pPr>
        <w:pStyle w:val="ListParagraph"/>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 xml:space="preserve">[72] </w:t>
      </w:r>
      <w:r w:rsidR="00F934A9" w:rsidRPr="001D39B0">
        <w:rPr>
          <w:rFonts w:ascii="Times New Roman" w:hAnsi="Times New Roman" w:cs="Times New Roman"/>
          <w:iCs/>
          <w:sz w:val="24"/>
          <w:szCs w:val="24"/>
        </w:rPr>
        <w:t>Proceeding on the basis that the constitutional issue relating to s 309 of the Constitution arose in the proceedings for relief under the Administrative Justice Act, the High Court would have had no jurisdiction to itself determine that question. The application before th</w:t>
      </w:r>
      <w:r w:rsidR="00F934A9">
        <w:rPr>
          <w:rFonts w:ascii="Times New Roman" w:hAnsi="Times New Roman" w:cs="Times New Roman"/>
          <w:iCs/>
          <w:sz w:val="24"/>
          <w:szCs w:val="24"/>
        </w:rPr>
        <w:t xml:space="preserve">e High Court was predicated on </w:t>
      </w:r>
      <w:proofErr w:type="spellStart"/>
      <w:r w:rsidR="00F934A9">
        <w:rPr>
          <w:rFonts w:ascii="Times New Roman" w:hAnsi="Times New Roman" w:cs="Times New Roman"/>
          <w:iCs/>
          <w:sz w:val="24"/>
          <w:szCs w:val="24"/>
        </w:rPr>
        <w:t>s</w:t>
      </w:r>
      <w:r w:rsidR="00F934A9" w:rsidRPr="001D39B0">
        <w:rPr>
          <w:rFonts w:ascii="Times New Roman" w:hAnsi="Times New Roman" w:cs="Times New Roman"/>
          <w:iCs/>
          <w:sz w:val="24"/>
          <w:szCs w:val="24"/>
        </w:rPr>
        <w:t>s</w:t>
      </w:r>
      <w:proofErr w:type="spellEnd"/>
      <w:r w:rsidR="00F934A9" w:rsidRPr="001D39B0">
        <w:rPr>
          <w:rFonts w:ascii="Times New Roman" w:hAnsi="Times New Roman" w:cs="Times New Roman"/>
          <w:iCs/>
          <w:sz w:val="24"/>
          <w:szCs w:val="24"/>
        </w:rPr>
        <w:t xml:space="preserve"> 3 and 4 of the Administrative Justice Act. A constitutional matter arising in these circumstances should more properly have been referred to this Court in terms of s 175(4) of the Constitution. Armed with the determination by this Court on the constitutional issue arising, the High Court would then have been in a position to determine the application before it. By the same token, the court </w:t>
      </w:r>
      <w:r w:rsidR="00F934A9" w:rsidRPr="008414A3">
        <w:rPr>
          <w:rFonts w:ascii="Times New Roman" w:hAnsi="Times New Roman" w:cs="Times New Roman"/>
          <w:i/>
          <w:iCs/>
          <w:sz w:val="24"/>
          <w:szCs w:val="24"/>
        </w:rPr>
        <w:t>a quo</w:t>
      </w:r>
      <w:r w:rsidR="00F934A9" w:rsidRPr="001D39B0">
        <w:rPr>
          <w:rFonts w:ascii="Times New Roman" w:hAnsi="Times New Roman" w:cs="Times New Roman"/>
          <w:iCs/>
          <w:sz w:val="24"/>
          <w:szCs w:val="24"/>
        </w:rPr>
        <w:t xml:space="preserve"> should not have resorted to the interpretation of s 309 of the Constitution in order to determine the appeal before it that was </w:t>
      </w:r>
      <w:r w:rsidR="0008158C">
        <w:rPr>
          <w:rFonts w:ascii="Times New Roman" w:hAnsi="Times New Roman" w:cs="Times New Roman"/>
          <w:iCs/>
          <w:sz w:val="24"/>
          <w:szCs w:val="24"/>
        </w:rPr>
        <w:t xml:space="preserve">predicated on </w:t>
      </w:r>
      <w:proofErr w:type="spellStart"/>
      <w:r w:rsidR="0008158C">
        <w:rPr>
          <w:rFonts w:ascii="Times New Roman" w:hAnsi="Times New Roman" w:cs="Times New Roman"/>
          <w:iCs/>
          <w:sz w:val="24"/>
          <w:szCs w:val="24"/>
        </w:rPr>
        <w:t>Ss</w:t>
      </w:r>
      <w:proofErr w:type="spellEnd"/>
      <w:r w:rsidR="0008158C">
        <w:rPr>
          <w:rFonts w:ascii="Times New Roman" w:hAnsi="Times New Roman" w:cs="Times New Roman"/>
          <w:iCs/>
          <w:sz w:val="24"/>
          <w:szCs w:val="24"/>
        </w:rPr>
        <w:t xml:space="preserve"> 3 and 4 of the</w:t>
      </w:r>
      <w:r w:rsidR="00330B9D">
        <w:rPr>
          <w:rFonts w:ascii="Times New Roman" w:hAnsi="Times New Roman" w:cs="Times New Roman"/>
          <w:iCs/>
          <w:sz w:val="24"/>
          <w:szCs w:val="24"/>
        </w:rPr>
        <w:t xml:space="preserve"> AJA</w:t>
      </w:r>
      <w:r w:rsidR="00F934A9" w:rsidRPr="001D39B0">
        <w:rPr>
          <w:rFonts w:ascii="Times New Roman" w:hAnsi="Times New Roman" w:cs="Times New Roman"/>
          <w:iCs/>
          <w:sz w:val="24"/>
          <w:szCs w:val="24"/>
        </w:rPr>
        <w:t xml:space="preserve">. It is apparent that both Courts needlessly grappled with the question whether the Auditor-General was allowed to delegate her administrative authority in order to decide whether the audit function was reviewable.   </w:t>
      </w:r>
    </w:p>
    <w:p w:rsidR="00384825" w:rsidRDefault="00384825" w:rsidP="00CC479A">
      <w:pPr>
        <w:pStyle w:val="ListParagraph"/>
        <w:spacing w:after="0" w:line="240" w:lineRule="auto"/>
        <w:ind w:left="1080"/>
        <w:jc w:val="both"/>
        <w:rPr>
          <w:rFonts w:ascii="Times New Roman" w:hAnsi="Times New Roman" w:cs="Times New Roman"/>
          <w:iCs/>
          <w:sz w:val="24"/>
          <w:szCs w:val="24"/>
        </w:rPr>
      </w:pPr>
    </w:p>
    <w:p w:rsidR="00F934A9" w:rsidRPr="001D39B0" w:rsidRDefault="00F934A9" w:rsidP="00F934A9">
      <w:pPr>
        <w:pStyle w:val="ListParagraph"/>
        <w:spacing w:after="0" w:line="240" w:lineRule="auto"/>
        <w:ind w:left="1440"/>
        <w:jc w:val="both"/>
        <w:rPr>
          <w:rFonts w:ascii="Times New Roman" w:eastAsia="Calibri" w:hAnsi="Times New Roman" w:cs="Times New Roman"/>
          <w:sz w:val="24"/>
          <w:szCs w:val="24"/>
        </w:rPr>
      </w:pPr>
    </w:p>
    <w:p w:rsidR="000916BD" w:rsidRPr="004726F2" w:rsidRDefault="000916BD" w:rsidP="00384825">
      <w:pPr>
        <w:pStyle w:val="ListParagraph"/>
        <w:numPr>
          <w:ilvl w:val="0"/>
          <w:numId w:val="6"/>
        </w:numPr>
        <w:spacing w:before="240" w:line="480" w:lineRule="auto"/>
        <w:ind w:left="450" w:hanging="450"/>
        <w:jc w:val="both"/>
        <w:rPr>
          <w:rFonts w:ascii="Times New Roman" w:hAnsi="Times New Roman" w:cs="Times New Roman"/>
          <w:sz w:val="24"/>
          <w:szCs w:val="24"/>
        </w:rPr>
      </w:pPr>
      <w:r w:rsidRPr="004726F2">
        <w:rPr>
          <w:rFonts w:ascii="Times New Roman" w:hAnsi="Times New Roman" w:cs="Times New Roman"/>
          <w:sz w:val="24"/>
          <w:szCs w:val="24"/>
        </w:rPr>
        <w:t>It further held that w</w:t>
      </w:r>
      <w:r w:rsidRPr="004726F2">
        <w:rPr>
          <w:rFonts w:ascii="Times New Roman" w:hAnsi="Times New Roman"/>
          <w:sz w:val="24"/>
          <w:szCs w:val="24"/>
        </w:rPr>
        <w:t>here redress is available through the application of principles of the common law or the provisions of statute law, the principles of subsidiarity and av</w:t>
      </w:r>
      <w:r w:rsidR="005B03E2">
        <w:rPr>
          <w:rFonts w:ascii="Times New Roman" w:hAnsi="Times New Roman"/>
          <w:sz w:val="24"/>
          <w:szCs w:val="24"/>
        </w:rPr>
        <w:t>oidance required that the court</w:t>
      </w:r>
      <w:r w:rsidRPr="004726F2">
        <w:rPr>
          <w:rFonts w:ascii="Times New Roman" w:hAnsi="Times New Roman"/>
          <w:i/>
          <w:sz w:val="24"/>
          <w:szCs w:val="24"/>
        </w:rPr>
        <w:t xml:space="preserve"> a quo </w:t>
      </w:r>
      <w:r w:rsidRPr="004726F2">
        <w:rPr>
          <w:rFonts w:ascii="Times New Roman" w:hAnsi="Times New Roman"/>
          <w:sz w:val="24"/>
          <w:szCs w:val="24"/>
        </w:rPr>
        <w:t xml:space="preserve">avoid reliance on constitutional provisions in the determination of the application. </w:t>
      </w:r>
      <w:r w:rsidR="00384825">
        <w:rPr>
          <w:rFonts w:ascii="Times New Roman" w:hAnsi="Times New Roman"/>
          <w:sz w:val="24"/>
          <w:szCs w:val="24"/>
        </w:rPr>
        <w:t xml:space="preserve"> </w:t>
      </w:r>
      <w:r>
        <w:rPr>
          <w:rFonts w:ascii="Times New Roman" w:hAnsi="Times New Roman"/>
          <w:sz w:val="24"/>
          <w:szCs w:val="24"/>
        </w:rPr>
        <w:t>It was held that o</w:t>
      </w:r>
      <w:r w:rsidRPr="004726F2">
        <w:rPr>
          <w:rFonts w:ascii="Times New Roman" w:hAnsi="Times New Roman"/>
          <w:sz w:val="24"/>
          <w:szCs w:val="24"/>
        </w:rPr>
        <w:t xml:space="preserve">nce the court </w:t>
      </w:r>
      <w:r w:rsidRPr="004726F2">
        <w:rPr>
          <w:rFonts w:ascii="Times New Roman" w:hAnsi="Times New Roman"/>
          <w:i/>
          <w:sz w:val="24"/>
          <w:szCs w:val="24"/>
        </w:rPr>
        <w:t>a quo</w:t>
      </w:r>
      <w:r w:rsidRPr="004726F2">
        <w:rPr>
          <w:rFonts w:ascii="Times New Roman" w:hAnsi="Times New Roman"/>
          <w:sz w:val="24"/>
          <w:szCs w:val="24"/>
        </w:rPr>
        <w:t xml:space="preserve"> considered </w:t>
      </w:r>
      <w:r w:rsidR="005B03E2">
        <w:rPr>
          <w:rFonts w:ascii="Times New Roman" w:hAnsi="Times New Roman"/>
          <w:sz w:val="24"/>
          <w:szCs w:val="24"/>
        </w:rPr>
        <w:t xml:space="preserve">that </w:t>
      </w:r>
      <w:r w:rsidRPr="004726F2">
        <w:rPr>
          <w:rFonts w:ascii="Times New Roman" w:hAnsi="Times New Roman"/>
          <w:sz w:val="24"/>
          <w:szCs w:val="24"/>
        </w:rPr>
        <w:t xml:space="preserve">it </w:t>
      </w:r>
      <w:r w:rsidRPr="004726F2">
        <w:rPr>
          <w:rFonts w:ascii="Times New Roman" w:hAnsi="Times New Roman"/>
          <w:sz w:val="24"/>
          <w:szCs w:val="24"/>
        </w:rPr>
        <w:lastRenderedPageBreak/>
        <w:t>could not resolve the dispute before it without interpreting the provisions of the Constitution, it then should have procee</w:t>
      </w:r>
      <w:r>
        <w:rPr>
          <w:rFonts w:ascii="Times New Roman" w:hAnsi="Times New Roman"/>
          <w:sz w:val="24"/>
          <w:szCs w:val="24"/>
        </w:rPr>
        <w:t xml:space="preserve">ded </w:t>
      </w:r>
      <w:r w:rsidRPr="00FF47BC">
        <w:rPr>
          <w:rFonts w:ascii="Times New Roman" w:hAnsi="Times New Roman"/>
          <w:iCs/>
          <w:sz w:val="24"/>
          <w:szCs w:val="24"/>
        </w:rPr>
        <w:t>in terms of s 175</w:t>
      </w:r>
      <w:r w:rsidR="00285BEA">
        <w:rPr>
          <w:rFonts w:ascii="Times New Roman" w:hAnsi="Times New Roman"/>
          <w:iCs/>
          <w:sz w:val="24"/>
          <w:szCs w:val="24"/>
        </w:rPr>
        <w:t xml:space="preserve"> </w:t>
      </w:r>
      <w:r w:rsidRPr="00FF47BC">
        <w:rPr>
          <w:rFonts w:ascii="Times New Roman" w:hAnsi="Times New Roman"/>
          <w:iCs/>
          <w:sz w:val="24"/>
          <w:szCs w:val="24"/>
        </w:rPr>
        <w:t>(4) of the Constitution</w:t>
      </w:r>
      <w:r w:rsidR="00FE50E7">
        <w:rPr>
          <w:rFonts w:ascii="Times New Roman" w:hAnsi="Times New Roman"/>
          <w:iCs/>
          <w:sz w:val="24"/>
          <w:szCs w:val="24"/>
        </w:rPr>
        <w:t xml:space="preserve"> by referring the matter to the Constitutional Court</w:t>
      </w:r>
      <w:r>
        <w:rPr>
          <w:rFonts w:ascii="Times New Roman" w:hAnsi="Times New Roman"/>
          <w:sz w:val="24"/>
          <w:szCs w:val="24"/>
        </w:rPr>
        <w:t xml:space="preserve">. </w:t>
      </w:r>
    </w:p>
    <w:p w:rsidR="000916BD" w:rsidRPr="004726F2" w:rsidRDefault="000916BD" w:rsidP="00384825">
      <w:pPr>
        <w:pStyle w:val="ListParagraph"/>
        <w:spacing w:after="0" w:line="240" w:lineRule="auto"/>
        <w:jc w:val="both"/>
        <w:rPr>
          <w:rFonts w:ascii="Times New Roman" w:hAnsi="Times New Roman" w:cs="Times New Roman"/>
          <w:sz w:val="24"/>
          <w:szCs w:val="24"/>
        </w:rPr>
      </w:pPr>
    </w:p>
    <w:p w:rsidR="000916BD" w:rsidRPr="009B1EC0" w:rsidRDefault="000916BD" w:rsidP="00384825">
      <w:pPr>
        <w:pStyle w:val="ListParagraph"/>
        <w:numPr>
          <w:ilvl w:val="0"/>
          <w:numId w:val="6"/>
        </w:numPr>
        <w:spacing w:after="0" w:line="480" w:lineRule="auto"/>
        <w:ind w:left="450" w:hanging="450"/>
        <w:jc w:val="both"/>
        <w:rPr>
          <w:rFonts w:ascii="Times New Roman" w:eastAsia="Calibri" w:hAnsi="Times New Roman" w:cs="Times New Roman"/>
          <w:sz w:val="24"/>
          <w:szCs w:val="24"/>
        </w:rPr>
      </w:pPr>
      <w:r w:rsidRPr="009B1EC0">
        <w:rPr>
          <w:rFonts w:ascii="Times New Roman" w:hAnsi="Times New Roman" w:cs="Times New Roman"/>
          <w:sz w:val="24"/>
          <w:szCs w:val="24"/>
        </w:rPr>
        <w:t>The</w:t>
      </w:r>
      <w:r>
        <w:rPr>
          <w:rFonts w:ascii="Times New Roman" w:hAnsi="Times New Roman" w:cs="Times New Roman"/>
          <w:sz w:val="24"/>
          <w:szCs w:val="24"/>
        </w:rPr>
        <w:t xml:space="preserve"> Constitutional Court stated </w:t>
      </w:r>
      <w:r w:rsidRPr="009B1EC0">
        <w:rPr>
          <w:rFonts w:ascii="Times New Roman" w:hAnsi="Times New Roman" w:cs="Times New Roman"/>
          <w:sz w:val="24"/>
          <w:szCs w:val="24"/>
        </w:rPr>
        <w:t xml:space="preserve">that this Court and likewise the court </w:t>
      </w:r>
      <w:r w:rsidRPr="009B1EC0">
        <w:rPr>
          <w:rFonts w:ascii="Times New Roman" w:hAnsi="Times New Roman" w:cs="Times New Roman"/>
          <w:i/>
          <w:sz w:val="24"/>
          <w:szCs w:val="24"/>
        </w:rPr>
        <w:t>a quo</w:t>
      </w:r>
      <w:r w:rsidRPr="009B1EC0">
        <w:rPr>
          <w:rFonts w:ascii="Times New Roman" w:hAnsi="Times New Roman" w:cs="Times New Roman"/>
          <w:sz w:val="24"/>
          <w:szCs w:val="24"/>
        </w:rPr>
        <w:t xml:space="preserve"> should have avoided being swayed by arguments that led them astray from addressing the defined legal questions before them arising from an interpretation of </w:t>
      </w:r>
      <w:r w:rsidR="00FE50E7">
        <w:rPr>
          <w:rFonts w:ascii="Times New Roman" w:hAnsi="Times New Roman" w:cs="Times New Roman"/>
          <w:sz w:val="24"/>
          <w:szCs w:val="24"/>
        </w:rPr>
        <w:t>the</w:t>
      </w:r>
      <w:r w:rsidR="00330B9D">
        <w:rPr>
          <w:rFonts w:ascii="Times New Roman" w:hAnsi="Times New Roman" w:cs="Times New Roman"/>
          <w:sz w:val="24"/>
          <w:szCs w:val="24"/>
        </w:rPr>
        <w:t xml:space="preserve"> AJA</w:t>
      </w:r>
      <w:r w:rsidRPr="009B1EC0">
        <w:rPr>
          <w:rFonts w:ascii="Times New Roman" w:hAnsi="Times New Roman" w:cs="Times New Roman"/>
          <w:sz w:val="24"/>
          <w:szCs w:val="24"/>
        </w:rPr>
        <w:t xml:space="preserve"> without resorting to interpreting the Constitution. </w:t>
      </w:r>
      <w:r w:rsidR="00586484">
        <w:rPr>
          <w:rFonts w:ascii="Times New Roman" w:hAnsi="Times New Roman" w:cs="Times New Roman"/>
          <w:sz w:val="24"/>
          <w:szCs w:val="24"/>
        </w:rPr>
        <w:t xml:space="preserve"> </w:t>
      </w:r>
      <w:r w:rsidRPr="009B1EC0">
        <w:rPr>
          <w:rFonts w:ascii="Times New Roman" w:hAnsi="Times New Roman" w:cs="Times New Roman"/>
          <w:sz w:val="24"/>
          <w:szCs w:val="24"/>
        </w:rPr>
        <w:t xml:space="preserve">By succumbing to the respondent’s </w:t>
      </w:r>
      <w:r>
        <w:rPr>
          <w:rFonts w:ascii="Times New Roman" w:hAnsi="Times New Roman" w:cs="Times New Roman"/>
          <w:sz w:val="24"/>
          <w:szCs w:val="24"/>
        </w:rPr>
        <w:t>heads of argument</w:t>
      </w:r>
      <w:r w:rsidRPr="009B1EC0">
        <w:rPr>
          <w:rFonts w:ascii="Times New Roman" w:hAnsi="Times New Roman" w:cs="Times New Roman"/>
          <w:sz w:val="24"/>
          <w:szCs w:val="24"/>
        </w:rPr>
        <w:t>, the Supreme Court as well as the High Court improperly broadened the parameters of their inquiry</w:t>
      </w:r>
      <w:r>
        <w:rPr>
          <w:rFonts w:ascii="Times New Roman" w:hAnsi="Times New Roman" w:cs="Times New Roman"/>
          <w:sz w:val="24"/>
          <w:szCs w:val="24"/>
        </w:rPr>
        <w:t xml:space="preserve"> beyond their jurisdiction</w:t>
      </w:r>
      <w:r w:rsidRPr="009B1EC0">
        <w:rPr>
          <w:rFonts w:ascii="Times New Roman" w:hAnsi="Times New Roman" w:cs="Times New Roman"/>
          <w:sz w:val="24"/>
          <w:szCs w:val="24"/>
        </w:rPr>
        <w:t>, thereby rendering their determination fundamentally flawed.</w:t>
      </w:r>
    </w:p>
    <w:p w:rsidR="004F31BF" w:rsidRDefault="004F31BF" w:rsidP="00586484">
      <w:pPr>
        <w:pStyle w:val="ListParagraph"/>
        <w:spacing w:after="0" w:line="240" w:lineRule="auto"/>
        <w:jc w:val="both"/>
        <w:rPr>
          <w:rFonts w:ascii="Times New Roman" w:hAnsi="Times New Roman" w:cs="Times New Roman"/>
          <w:sz w:val="24"/>
          <w:szCs w:val="24"/>
        </w:rPr>
      </w:pPr>
    </w:p>
    <w:p w:rsidR="000916BD" w:rsidRPr="001D39B0" w:rsidRDefault="000916BD" w:rsidP="00A4405C">
      <w:pPr>
        <w:pStyle w:val="ListParagraph"/>
        <w:numPr>
          <w:ilvl w:val="0"/>
          <w:numId w:val="6"/>
        </w:num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E50E7">
        <w:rPr>
          <w:rFonts w:ascii="Times New Roman" w:hAnsi="Times New Roman" w:cs="Times New Roman"/>
          <w:i/>
          <w:sz w:val="24"/>
          <w:szCs w:val="24"/>
        </w:rPr>
        <w:t>Madhuku</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that the</w:t>
      </w:r>
      <w:r w:rsidR="005B03E2">
        <w:rPr>
          <w:rFonts w:ascii="Times New Roman" w:hAnsi="Times New Roman" w:cs="Times New Roman"/>
          <w:sz w:val="24"/>
          <w:szCs w:val="24"/>
        </w:rPr>
        <w:t xml:space="preserve"> Constituti</w:t>
      </w:r>
      <w:r w:rsidR="00C249D6">
        <w:rPr>
          <w:rFonts w:ascii="Times New Roman" w:hAnsi="Times New Roman" w:cs="Times New Roman"/>
          <w:sz w:val="24"/>
          <w:szCs w:val="24"/>
        </w:rPr>
        <w:t>onal Court held</w:t>
      </w:r>
      <w:r w:rsidR="00586484">
        <w:rPr>
          <w:rFonts w:ascii="Times New Roman" w:hAnsi="Times New Roman" w:cs="Times New Roman"/>
          <w:sz w:val="24"/>
          <w:szCs w:val="24"/>
        </w:rPr>
        <w:t xml:space="preserve"> in CCZ 10/</w:t>
      </w:r>
      <w:r w:rsidR="005B03E2">
        <w:rPr>
          <w:rFonts w:ascii="Times New Roman" w:hAnsi="Times New Roman" w:cs="Times New Roman"/>
          <w:sz w:val="24"/>
          <w:szCs w:val="24"/>
        </w:rPr>
        <w:t xml:space="preserve">24 that the court </w:t>
      </w:r>
      <w:r w:rsidR="005B03E2">
        <w:rPr>
          <w:rFonts w:ascii="Times New Roman" w:hAnsi="Times New Roman" w:cs="Times New Roman"/>
          <w:i/>
          <w:sz w:val="24"/>
          <w:szCs w:val="24"/>
        </w:rPr>
        <w:t xml:space="preserve">a quo </w:t>
      </w:r>
      <w:r w:rsidR="005B03E2">
        <w:rPr>
          <w:rFonts w:ascii="Times New Roman" w:hAnsi="Times New Roman" w:cs="Times New Roman"/>
          <w:sz w:val="24"/>
          <w:szCs w:val="24"/>
        </w:rPr>
        <w:t>did not determine a constitutional issue</w:t>
      </w:r>
      <w:r>
        <w:rPr>
          <w:rFonts w:ascii="Times New Roman" w:hAnsi="Times New Roman" w:cs="Times New Roman"/>
          <w:sz w:val="24"/>
          <w:szCs w:val="24"/>
        </w:rPr>
        <w:t xml:space="preserve"> was </w:t>
      </w:r>
      <w:r w:rsidR="005B03E2">
        <w:rPr>
          <w:rFonts w:ascii="Times New Roman" w:hAnsi="Times New Roman" w:cs="Times New Roman"/>
          <w:sz w:val="24"/>
          <w:szCs w:val="24"/>
        </w:rPr>
        <w:t xml:space="preserve">therefore </w:t>
      </w:r>
      <w:r>
        <w:rPr>
          <w:rFonts w:ascii="Times New Roman" w:hAnsi="Times New Roman" w:cs="Times New Roman"/>
          <w:sz w:val="24"/>
          <w:szCs w:val="24"/>
        </w:rPr>
        <w:t>misplaced</w:t>
      </w:r>
      <w:r w:rsidR="005B03E2">
        <w:rPr>
          <w:rFonts w:ascii="Times New Roman" w:hAnsi="Times New Roman" w:cs="Times New Roman"/>
          <w:sz w:val="24"/>
          <w:szCs w:val="24"/>
        </w:rPr>
        <w:t xml:space="preserve"> in view of the above referred findings of that </w:t>
      </w:r>
      <w:r w:rsidR="00FE50E7">
        <w:rPr>
          <w:rFonts w:ascii="Times New Roman" w:hAnsi="Times New Roman" w:cs="Times New Roman"/>
          <w:sz w:val="24"/>
          <w:szCs w:val="24"/>
        </w:rPr>
        <w:t>C</w:t>
      </w:r>
      <w:r w:rsidR="005B03E2">
        <w:rPr>
          <w:rFonts w:ascii="Times New Roman" w:hAnsi="Times New Roman" w:cs="Times New Roman"/>
          <w:sz w:val="24"/>
          <w:szCs w:val="24"/>
        </w:rPr>
        <w:t>ourt</w:t>
      </w:r>
      <w:r>
        <w:rPr>
          <w:rFonts w:ascii="Times New Roman" w:hAnsi="Times New Roman" w:cs="Times New Roman"/>
          <w:sz w:val="24"/>
          <w:szCs w:val="24"/>
        </w:rPr>
        <w:t xml:space="preserve">. </w:t>
      </w:r>
      <w:proofErr w:type="spellStart"/>
      <w:r w:rsidR="005B03E2">
        <w:rPr>
          <w:rFonts w:ascii="Times New Roman" w:hAnsi="Times New Roman" w:cs="Times New Roman"/>
          <w:sz w:val="24"/>
          <w:szCs w:val="24"/>
        </w:rPr>
        <w:t>Mr</w:t>
      </w:r>
      <w:proofErr w:type="spellEnd"/>
      <w:r w:rsidR="005B03E2">
        <w:rPr>
          <w:rFonts w:ascii="Times New Roman" w:hAnsi="Times New Roman" w:cs="Times New Roman"/>
          <w:sz w:val="24"/>
          <w:szCs w:val="24"/>
        </w:rPr>
        <w:t xml:space="preserve"> </w:t>
      </w:r>
      <w:proofErr w:type="spellStart"/>
      <w:r w:rsidR="005B03E2" w:rsidRPr="00FE50E7">
        <w:rPr>
          <w:rFonts w:ascii="Times New Roman" w:hAnsi="Times New Roman" w:cs="Times New Roman"/>
          <w:i/>
          <w:sz w:val="24"/>
          <w:szCs w:val="24"/>
        </w:rPr>
        <w:t>Madhuku</w:t>
      </w:r>
      <w:proofErr w:type="spellEnd"/>
      <w:r>
        <w:rPr>
          <w:rFonts w:ascii="Times New Roman" w:hAnsi="Times New Roman" w:cs="Times New Roman"/>
          <w:sz w:val="24"/>
          <w:szCs w:val="24"/>
        </w:rPr>
        <w:t xml:space="preserve"> sought to rely on the remarks of the</w:t>
      </w:r>
      <w:r w:rsidRPr="001D39B0">
        <w:rPr>
          <w:rFonts w:ascii="Times New Roman" w:hAnsi="Times New Roman" w:cs="Times New Roman"/>
          <w:sz w:val="24"/>
          <w:szCs w:val="24"/>
        </w:rPr>
        <w:t xml:space="preserve"> </w:t>
      </w:r>
      <w:r>
        <w:rPr>
          <w:rFonts w:ascii="Times New Roman" w:hAnsi="Times New Roman" w:cs="Times New Roman"/>
          <w:sz w:val="24"/>
          <w:szCs w:val="24"/>
        </w:rPr>
        <w:t xml:space="preserve">Constitutional </w:t>
      </w:r>
      <w:r w:rsidRPr="001D39B0">
        <w:rPr>
          <w:rFonts w:ascii="Times New Roman" w:hAnsi="Times New Roman" w:cs="Times New Roman"/>
          <w:sz w:val="24"/>
          <w:szCs w:val="24"/>
        </w:rPr>
        <w:t>Court</w:t>
      </w:r>
      <w:r w:rsidRPr="000916BD">
        <w:rPr>
          <w:rFonts w:ascii="Times New Roman" w:hAnsi="Times New Roman" w:cs="Times New Roman"/>
          <w:sz w:val="24"/>
          <w:szCs w:val="24"/>
        </w:rPr>
        <w:t xml:space="preserve"> </w:t>
      </w:r>
      <w:r w:rsidRPr="001D39B0">
        <w:rPr>
          <w:rFonts w:ascii="Times New Roman" w:hAnsi="Times New Roman" w:cs="Times New Roman"/>
          <w:sz w:val="24"/>
          <w:szCs w:val="24"/>
        </w:rPr>
        <w:t xml:space="preserve">in </w:t>
      </w:r>
      <w:r w:rsidRPr="001D39B0">
        <w:rPr>
          <w:rFonts w:ascii="Times New Roman" w:hAnsi="Times New Roman" w:cs="Times New Roman"/>
          <w:i/>
          <w:sz w:val="24"/>
          <w:szCs w:val="24"/>
        </w:rPr>
        <w:t xml:space="preserve">Vela </w:t>
      </w:r>
      <w:r w:rsidRPr="001D39B0">
        <w:rPr>
          <w:rFonts w:ascii="Times New Roman" w:hAnsi="Times New Roman" w:cs="Times New Roman"/>
          <w:sz w:val="24"/>
          <w:szCs w:val="24"/>
        </w:rPr>
        <w:t>v</w:t>
      </w:r>
      <w:r w:rsidRPr="001D39B0">
        <w:rPr>
          <w:rFonts w:ascii="Times New Roman" w:hAnsi="Times New Roman" w:cs="Times New Roman"/>
          <w:i/>
          <w:sz w:val="24"/>
          <w:szCs w:val="24"/>
        </w:rPr>
        <w:t xml:space="preserve"> </w:t>
      </w:r>
      <w:r w:rsidR="00453431">
        <w:rPr>
          <w:rFonts w:ascii="Times New Roman" w:hAnsi="Times New Roman" w:cs="Times New Roman"/>
          <w:i/>
          <w:sz w:val="24"/>
          <w:szCs w:val="24"/>
        </w:rPr>
        <w:t xml:space="preserve">The </w:t>
      </w:r>
      <w:r w:rsidRPr="001D39B0">
        <w:rPr>
          <w:rFonts w:ascii="Times New Roman" w:hAnsi="Times New Roman" w:cs="Times New Roman"/>
          <w:i/>
          <w:sz w:val="24"/>
          <w:szCs w:val="24"/>
        </w:rPr>
        <w:t>Auditor-General &amp; Anor</w:t>
      </w:r>
      <w:r w:rsidR="00586484">
        <w:rPr>
          <w:rFonts w:ascii="Times New Roman" w:hAnsi="Times New Roman" w:cs="Times New Roman"/>
          <w:sz w:val="24"/>
          <w:szCs w:val="24"/>
        </w:rPr>
        <w:t xml:space="preserve"> CCZ 1/</w:t>
      </w:r>
      <w:r w:rsidR="00497E06">
        <w:rPr>
          <w:rFonts w:ascii="Times New Roman" w:hAnsi="Times New Roman" w:cs="Times New Roman"/>
          <w:sz w:val="24"/>
          <w:szCs w:val="24"/>
        </w:rPr>
        <w:t>2</w:t>
      </w:r>
      <w:r w:rsidRPr="001D39B0">
        <w:rPr>
          <w:rFonts w:ascii="Times New Roman" w:hAnsi="Times New Roman" w:cs="Times New Roman"/>
          <w:sz w:val="24"/>
          <w:szCs w:val="24"/>
        </w:rPr>
        <w:t>3</w:t>
      </w:r>
      <w:r>
        <w:rPr>
          <w:rFonts w:ascii="Times New Roman" w:hAnsi="Times New Roman" w:cs="Times New Roman"/>
          <w:sz w:val="24"/>
          <w:szCs w:val="24"/>
        </w:rPr>
        <w:t xml:space="preserve"> at pp 9-10 where it was remarked </w:t>
      </w:r>
      <w:r w:rsidRPr="001D39B0">
        <w:rPr>
          <w:rFonts w:ascii="Times New Roman" w:hAnsi="Times New Roman" w:cs="Times New Roman"/>
          <w:sz w:val="24"/>
          <w:szCs w:val="24"/>
        </w:rPr>
        <w:t>that:</w:t>
      </w:r>
    </w:p>
    <w:p w:rsidR="000916BD" w:rsidRDefault="000916BD" w:rsidP="00A4405C">
      <w:pPr>
        <w:pStyle w:val="ListParagraph"/>
        <w:spacing w:after="0" w:line="240" w:lineRule="auto"/>
        <w:ind w:left="1170"/>
        <w:jc w:val="both"/>
        <w:rPr>
          <w:rFonts w:ascii="Times New Roman" w:hAnsi="Times New Roman" w:cs="Times New Roman"/>
          <w:sz w:val="24"/>
          <w:szCs w:val="24"/>
        </w:rPr>
      </w:pPr>
      <w:r w:rsidRPr="001D39B0">
        <w:rPr>
          <w:rFonts w:ascii="Times New Roman" w:hAnsi="Times New Roman" w:cs="Times New Roman"/>
          <w:sz w:val="24"/>
          <w:szCs w:val="24"/>
        </w:rPr>
        <w:t>“</w:t>
      </w:r>
      <w:r w:rsidRPr="001D39B0">
        <w:rPr>
          <w:rFonts w:ascii="Times New Roman" w:hAnsi="Times New Roman" w:cs="Times New Roman"/>
          <w:i/>
          <w:sz w:val="24"/>
          <w:szCs w:val="24"/>
        </w:rPr>
        <w:t xml:space="preserve">In </w:t>
      </w:r>
      <w:proofErr w:type="spellStart"/>
      <w:r w:rsidRPr="001D39B0">
        <w:rPr>
          <w:rFonts w:ascii="Times New Roman" w:hAnsi="Times New Roman" w:cs="Times New Roman"/>
          <w:i/>
          <w:sz w:val="24"/>
          <w:szCs w:val="24"/>
        </w:rPr>
        <w:t>casu</w:t>
      </w:r>
      <w:proofErr w:type="spellEnd"/>
      <w:r w:rsidRPr="001D39B0">
        <w:rPr>
          <w:rFonts w:ascii="Times New Roman" w:hAnsi="Times New Roman" w:cs="Times New Roman"/>
          <w:sz w:val="24"/>
          <w:szCs w:val="24"/>
        </w:rPr>
        <w:t xml:space="preserve">, it is common cause that the cause of action before the High Court was not predicated on a provision of the Constitution. It was rooted in administrative law in terms of which the applicant sought to have reviewed what he alleged was administrative conduct by the first respondent through the agency of the second respondent. … Because no such matter had been pleaded before it, it stands to reason that the High Court did not decide a constitutional matter. As is evident from its judgment, the High Court did not invoke any provisions of the Constitution in arriving at its determination on the non-constitutional matter that was before it… The </w:t>
      </w:r>
      <w:r w:rsidRPr="001D39B0">
        <w:rPr>
          <w:rFonts w:ascii="Times New Roman" w:hAnsi="Times New Roman" w:cs="Times New Roman"/>
          <w:i/>
          <w:sz w:val="24"/>
          <w:szCs w:val="24"/>
        </w:rPr>
        <w:t xml:space="preserve">ratio </w:t>
      </w:r>
      <w:proofErr w:type="spellStart"/>
      <w:r w:rsidRPr="001D39B0">
        <w:rPr>
          <w:rFonts w:ascii="Times New Roman" w:hAnsi="Times New Roman" w:cs="Times New Roman"/>
          <w:i/>
          <w:sz w:val="24"/>
          <w:szCs w:val="24"/>
        </w:rPr>
        <w:t>decidendi</w:t>
      </w:r>
      <w:proofErr w:type="spellEnd"/>
      <w:r w:rsidRPr="001D39B0">
        <w:rPr>
          <w:rFonts w:ascii="Times New Roman" w:hAnsi="Times New Roman" w:cs="Times New Roman"/>
          <w:sz w:val="24"/>
          <w:szCs w:val="24"/>
        </w:rPr>
        <w:t xml:space="preserve"> of its judgment on the substantive issue raised in the application for review was based on the application of the principles of administrative law. …”</w:t>
      </w:r>
    </w:p>
    <w:p w:rsidR="00A4405C" w:rsidRDefault="00A4405C" w:rsidP="00A4405C">
      <w:pPr>
        <w:pStyle w:val="ListParagraph"/>
        <w:spacing w:after="0" w:line="240" w:lineRule="auto"/>
        <w:ind w:left="1170"/>
        <w:jc w:val="both"/>
        <w:rPr>
          <w:rFonts w:ascii="Times New Roman" w:hAnsi="Times New Roman" w:cs="Times New Roman"/>
          <w:sz w:val="24"/>
          <w:szCs w:val="24"/>
        </w:rPr>
      </w:pPr>
    </w:p>
    <w:p w:rsidR="000916BD" w:rsidRPr="001D39B0" w:rsidRDefault="000916BD" w:rsidP="000916BD">
      <w:pPr>
        <w:pStyle w:val="ListParagraph"/>
        <w:spacing w:line="240" w:lineRule="auto"/>
        <w:ind w:left="1440"/>
        <w:jc w:val="both"/>
        <w:rPr>
          <w:rFonts w:ascii="Times New Roman" w:hAnsi="Times New Roman" w:cs="Times New Roman"/>
          <w:sz w:val="24"/>
          <w:szCs w:val="24"/>
        </w:rPr>
      </w:pPr>
    </w:p>
    <w:p w:rsidR="003F440A" w:rsidRDefault="005B03E2" w:rsidP="00A4405C">
      <w:pPr>
        <w:pStyle w:val="ListParagraph"/>
        <w:numPr>
          <w:ilvl w:val="0"/>
          <w:numId w:val="6"/>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This was a judgment to an </w:t>
      </w:r>
      <w:r w:rsidR="000916BD">
        <w:rPr>
          <w:rFonts w:ascii="Times New Roman" w:hAnsi="Times New Roman" w:cs="Times New Roman"/>
          <w:sz w:val="24"/>
          <w:szCs w:val="24"/>
        </w:rPr>
        <w:t xml:space="preserve">application by the respondent for </w:t>
      </w:r>
      <w:r w:rsidR="000916BD" w:rsidRPr="001D39B0">
        <w:rPr>
          <w:rFonts w:ascii="Times New Roman" w:hAnsi="Times New Roman" w:cs="Times New Roman"/>
          <w:sz w:val="24"/>
          <w:szCs w:val="24"/>
        </w:rPr>
        <w:t>leave to appeal</w:t>
      </w:r>
      <w:r>
        <w:rPr>
          <w:rFonts w:ascii="Times New Roman" w:hAnsi="Times New Roman" w:cs="Times New Roman"/>
          <w:sz w:val="24"/>
          <w:szCs w:val="24"/>
        </w:rPr>
        <w:t xml:space="preserve">. </w:t>
      </w:r>
      <w:r w:rsidR="00A4405C">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97E06">
        <w:rPr>
          <w:rFonts w:ascii="Times New Roman" w:hAnsi="Times New Roman" w:cs="Times New Roman"/>
          <w:i/>
          <w:sz w:val="24"/>
          <w:szCs w:val="24"/>
        </w:rPr>
        <w:t>Madhuku</w:t>
      </w:r>
      <w:proofErr w:type="spellEnd"/>
      <w:r>
        <w:rPr>
          <w:rFonts w:ascii="Times New Roman" w:hAnsi="Times New Roman" w:cs="Times New Roman"/>
          <w:sz w:val="24"/>
          <w:szCs w:val="24"/>
        </w:rPr>
        <w:t xml:space="preserve"> </w:t>
      </w:r>
      <w:r w:rsidR="00497E06">
        <w:rPr>
          <w:rFonts w:ascii="Times New Roman" w:hAnsi="Times New Roman" w:cs="Times New Roman"/>
          <w:sz w:val="24"/>
          <w:szCs w:val="24"/>
        </w:rPr>
        <w:t>placed emphasis on the C</w:t>
      </w:r>
      <w:r w:rsidR="003F440A">
        <w:rPr>
          <w:rFonts w:ascii="Times New Roman" w:hAnsi="Times New Roman" w:cs="Times New Roman"/>
          <w:sz w:val="24"/>
          <w:szCs w:val="24"/>
        </w:rPr>
        <w:t xml:space="preserve">ourt’s remarks that </w:t>
      </w:r>
      <w:r w:rsidR="009019B3">
        <w:rPr>
          <w:rFonts w:ascii="Times New Roman" w:hAnsi="Times New Roman" w:cs="Times New Roman"/>
          <w:sz w:val="24"/>
          <w:szCs w:val="24"/>
        </w:rPr>
        <w:t>t</w:t>
      </w:r>
      <w:r w:rsidR="003F440A">
        <w:rPr>
          <w:rFonts w:ascii="Times New Roman" w:hAnsi="Times New Roman" w:cs="Times New Roman"/>
          <w:sz w:val="24"/>
          <w:szCs w:val="24"/>
        </w:rPr>
        <w:t xml:space="preserve">he </w:t>
      </w:r>
      <w:r w:rsidR="003F440A" w:rsidRPr="003F440A">
        <w:rPr>
          <w:rFonts w:ascii="Times New Roman" w:hAnsi="Times New Roman" w:cs="Times New Roman"/>
          <w:i/>
          <w:sz w:val="24"/>
          <w:szCs w:val="24"/>
        </w:rPr>
        <w:t xml:space="preserve">ratio </w:t>
      </w:r>
      <w:proofErr w:type="spellStart"/>
      <w:r w:rsidR="003F440A" w:rsidRPr="003F440A">
        <w:rPr>
          <w:rFonts w:ascii="Times New Roman" w:hAnsi="Times New Roman" w:cs="Times New Roman"/>
          <w:i/>
          <w:sz w:val="24"/>
          <w:szCs w:val="24"/>
        </w:rPr>
        <w:t>decidendi</w:t>
      </w:r>
      <w:proofErr w:type="spellEnd"/>
      <w:r w:rsidR="003F440A">
        <w:rPr>
          <w:rFonts w:ascii="Times New Roman" w:hAnsi="Times New Roman" w:cs="Times New Roman"/>
          <w:sz w:val="24"/>
          <w:szCs w:val="24"/>
        </w:rPr>
        <w:t xml:space="preserve"> of </w:t>
      </w:r>
      <w:r w:rsidR="00497E06">
        <w:rPr>
          <w:rFonts w:ascii="Times New Roman" w:hAnsi="Times New Roman" w:cs="Times New Roman"/>
          <w:sz w:val="24"/>
          <w:szCs w:val="24"/>
        </w:rPr>
        <w:t>the c</w:t>
      </w:r>
      <w:r w:rsidR="009019B3">
        <w:rPr>
          <w:rFonts w:ascii="Times New Roman" w:hAnsi="Times New Roman" w:cs="Times New Roman"/>
          <w:sz w:val="24"/>
          <w:szCs w:val="24"/>
        </w:rPr>
        <w:t>ourt</w:t>
      </w:r>
      <w:r w:rsidR="009019B3">
        <w:rPr>
          <w:rFonts w:ascii="Times New Roman" w:hAnsi="Times New Roman" w:cs="Times New Roman"/>
          <w:i/>
          <w:sz w:val="24"/>
          <w:szCs w:val="24"/>
        </w:rPr>
        <w:t xml:space="preserve"> a quo</w:t>
      </w:r>
      <w:r w:rsidR="009019B3">
        <w:rPr>
          <w:rFonts w:ascii="Times New Roman" w:hAnsi="Times New Roman" w:cs="Times New Roman"/>
          <w:sz w:val="24"/>
          <w:szCs w:val="24"/>
        </w:rPr>
        <w:t>’</w:t>
      </w:r>
      <w:r w:rsidR="003F440A">
        <w:rPr>
          <w:rFonts w:ascii="Times New Roman" w:hAnsi="Times New Roman" w:cs="Times New Roman"/>
          <w:sz w:val="24"/>
          <w:szCs w:val="24"/>
        </w:rPr>
        <w:t xml:space="preserve">s judgment </w:t>
      </w:r>
      <w:r w:rsidR="009019B3">
        <w:rPr>
          <w:rFonts w:ascii="Times New Roman" w:hAnsi="Times New Roman" w:cs="Times New Roman"/>
          <w:sz w:val="24"/>
          <w:szCs w:val="24"/>
        </w:rPr>
        <w:t>“</w:t>
      </w:r>
      <w:r w:rsidR="003F440A">
        <w:rPr>
          <w:rFonts w:ascii="Times New Roman" w:hAnsi="Times New Roman" w:cs="Times New Roman"/>
          <w:sz w:val="24"/>
          <w:szCs w:val="24"/>
        </w:rPr>
        <w:t xml:space="preserve">was based on the application of the principles of administrative law.” </w:t>
      </w:r>
      <w:r w:rsidR="009019B3">
        <w:rPr>
          <w:rFonts w:ascii="Times New Roman" w:hAnsi="Times New Roman" w:cs="Times New Roman"/>
          <w:sz w:val="24"/>
          <w:szCs w:val="24"/>
        </w:rPr>
        <w:t xml:space="preserve"> </w:t>
      </w:r>
      <w:r w:rsidR="00A4405C">
        <w:rPr>
          <w:rFonts w:ascii="Times New Roman" w:hAnsi="Times New Roman" w:cs="Times New Roman"/>
          <w:sz w:val="24"/>
          <w:szCs w:val="24"/>
        </w:rPr>
        <w:t xml:space="preserve"> </w:t>
      </w:r>
      <w:r w:rsidR="00B945BD">
        <w:rPr>
          <w:rFonts w:ascii="Times New Roman" w:hAnsi="Times New Roman" w:cs="Times New Roman"/>
          <w:sz w:val="24"/>
          <w:szCs w:val="24"/>
        </w:rPr>
        <w:t xml:space="preserve">He </w:t>
      </w:r>
      <w:r w:rsidR="003F440A">
        <w:rPr>
          <w:rFonts w:ascii="Times New Roman" w:hAnsi="Times New Roman" w:cs="Times New Roman"/>
          <w:sz w:val="24"/>
          <w:szCs w:val="24"/>
        </w:rPr>
        <w:lastRenderedPageBreak/>
        <w:t xml:space="preserve">raised </w:t>
      </w:r>
      <w:r w:rsidR="00B945BD">
        <w:rPr>
          <w:rFonts w:ascii="Times New Roman" w:hAnsi="Times New Roman" w:cs="Times New Roman"/>
          <w:sz w:val="24"/>
          <w:szCs w:val="24"/>
        </w:rPr>
        <w:t xml:space="preserve">the same argument before </w:t>
      </w:r>
      <w:r w:rsidR="003F440A">
        <w:rPr>
          <w:rFonts w:ascii="Times New Roman" w:hAnsi="Times New Roman" w:cs="Times New Roman"/>
          <w:sz w:val="24"/>
          <w:szCs w:val="24"/>
        </w:rPr>
        <w:t>the full bench of the Constitutional Court</w:t>
      </w:r>
      <w:r w:rsidR="00B945BD">
        <w:rPr>
          <w:rFonts w:ascii="Times New Roman" w:hAnsi="Times New Roman" w:cs="Times New Roman"/>
          <w:sz w:val="24"/>
          <w:szCs w:val="24"/>
        </w:rPr>
        <w:t xml:space="preserve"> and went a step further to argue that the full bench was bound by the decision </w:t>
      </w:r>
      <w:r w:rsidR="00E572B0">
        <w:rPr>
          <w:rFonts w:ascii="Times New Roman" w:hAnsi="Times New Roman" w:cs="Times New Roman"/>
          <w:sz w:val="24"/>
          <w:szCs w:val="24"/>
        </w:rPr>
        <w:t xml:space="preserve">made </w:t>
      </w:r>
      <w:r w:rsidR="00B945BD">
        <w:rPr>
          <w:rFonts w:ascii="Times New Roman" w:hAnsi="Times New Roman" w:cs="Times New Roman"/>
          <w:sz w:val="24"/>
          <w:szCs w:val="24"/>
        </w:rPr>
        <w:t xml:space="preserve">in </w:t>
      </w:r>
      <w:r w:rsidR="00E572B0">
        <w:rPr>
          <w:rFonts w:ascii="Times New Roman" w:hAnsi="Times New Roman" w:cs="Times New Roman"/>
          <w:sz w:val="24"/>
          <w:szCs w:val="24"/>
        </w:rPr>
        <w:t>CC</w:t>
      </w:r>
      <w:r>
        <w:rPr>
          <w:rFonts w:ascii="Times New Roman" w:hAnsi="Times New Roman" w:cs="Times New Roman"/>
          <w:sz w:val="24"/>
          <w:szCs w:val="24"/>
        </w:rPr>
        <w:t>Z</w:t>
      </w:r>
      <w:r w:rsidR="00A4405C">
        <w:rPr>
          <w:rFonts w:ascii="Times New Roman" w:hAnsi="Times New Roman" w:cs="Times New Roman"/>
          <w:sz w:val="24"/>
          <w:szCs w:val="24"/>
        </w:rPr>
        <w:t xml:space="preserve"> 1/</w:t>
      </w:r>
      <w:r w:rsidR="00E572B0">
        <w:rPr>
          <w:rFonts w:ascii="Times New Roman" w:hAnsi="Times New Roman" w:cs="Times New Roman"/>
          <w:sz w:val="24"/>
          <w:szCs w:val="24"/>
        </w:rPr>
        <w:t>23</w:t>
      </w:r>
      <w:r w:rsidR="00B945BD">
        <w:rPr>
          <w:rFonts w:ascii="Times New Roman" w:hAnsi="Times New Roman" w:cs="Times New Roman"/>
          <w:sz w:val="24"/>
          <w:szCs w:val="24"/>
        </w:rPr>
        <w:t xml:space="preserve">. </w:t>
      </w:r>
    </w:p>
    <w:p w:rsidR="00A4405C" w:rsidRPr="00E83C25" w:rsidRDefault="00A4405C" w:rsidP="00A4405C">
      <w:pPr>
        <w:pStyle w:val="ListParagraph"/>
        <w:spacing w:after="0" w:line="240" w:lineRule="auto"/>
        <w:ind w:left="450"/>
        <w:jc w:val="both"/>
        <w:rPr>
          <w:rFonts w:ascii="Times New Roman" w:hAnsi="Times New Roman" w:cs="Times New Roman"/>
          <w:sz w:val="24"/>
          <w:szCs w:val="24"/>
        </w:rPr>
      </w:pPr>
    </w:p>
    <w:p w:rsidR="005B03E2" w:rsidRDefault="00F934A9" w:rsidP="00A4405C">
      <w:pPr>
        <w:pStyle w:val="ListParagraph"/>
        <w:numPr>
          <w:ilvl w:val="0"/>
          <w:numId w:val="6"/>
        </w:numPr>
        <w:spacing w:line="480" w:lineRule="auto"/>
        <w:ind w:left="450" w:hanging="450"/>
        <w:jc w:val="both"/>
        <w:rPr>
          <w:rFonts w:ascii="Times New Roman" w:hAnsi="Times New Roman" w:cs="Times New Roman"/>
          <w:sz w:val="24"/>
          <w:szCs w:val="24"/>
        </w:rPr>
      </w:pPr>
      <w:r w:rsidRPr="001D39B0">
        <w:rPr>
          <w:rFonts w:ascii="Times New Roman" w:hAnsi="Times New Roman" w:cs="Times New Roman"/>
          <w:sz w:val="24"/>
          <w:szCs w:val="24"/>
        </w:rPr>
        <w:t xml:space="preserve">At para 28, the full bench of the Constitutional Court </w:t>
      </w:r>
      <w:r w:rsidR="0050267C">
        <w:rPr>
          <w:rFonts w:ascii="Times New Roman" w:hAnsi="Times New Roman" w:cs="Times New Roman"/>
          <w:sz w:val="24"/>
          <w:szCs w:val="24"/>
        </w:rPr>
        <w:t>rejec</w:t>
      </w:r>
      <w:r w:rsidR="00E572B0">
        <w:rPr>
          <w:rFonts w:ascii="Times New Roman" w:hAnsi="Times New Roman" w:cs="Times New Roman"/>
          <w:sz w:val="24"/>
          <w:szCs w:val="24"/>
        </w:rPr>
        <w:t xml:space="preserve">ted </w:t>
      </w:r>
      <w:proofErr w:type="spellStart"/>
      <w:r w:rsidR="00E572B0">
        <w:rPr>
          <w:rFonts w:ascii="Times New Roman" w:hAnsi="Times New Roman" w:cs="Times New Roman"/>
          <w:sz w:val="24"/>
          <w:szCs w:val="24"/>
        </w:rPr>
        <w:t>Mr</w:t>
      </w:r>
      <w:proofErr w:type="spellEnd"/>
      <w:r w:rsidR="00E572B0">
        <w:rPr>
          <w:rFonts w:ascii="Times New Roman" w:hAnsi="Times New Roman" w:cs="Times New Roman"/>
          <w:sz w:val="24"/>
          <w:szCs w:val="24"/>
        </w:rPr>
        <w:t xml:space="preserve"> </w:t>
      </w:r>
      <w:proofErr w:type="spellStart"/>
      <w:r w:rsidR="00E572B0" w:rsidRPr="00497E06">
        <w:rPr>
          <w:rFonts w:ascii="Times New Roman" w:hAnsi="Times New Roman" w:cs="Times New Roman"/>
          <w:i/>
          <w:sz w:val="24"/>
          <w:szCs w:val="24"/>
        </w:rPr>
        <w:t>Madhuku</w:t>
      </w:r>
      <w:r w:rsidR="00E572B0">
        <w:rPr>
          <w:rFonts w:ascii="Times New Roman" w:hAnsi="Times New Roman" w:cs="Times New Roman"/>
          <w:sz w:val="24"/>
          <w:szCs w:val="24"/>
        </w:rPr>
        <w:t>’s</w:t>
      </w:r>
      <w:proofErr w:type="spellEnd"/>
      <w:r w:rsidR="00E572B0">
        <w:rPr>
          <w:rFonts w:ascii="Times New Roman" w:hAnsi="Times New Roman" w:cs="Times New Roman"/>
          <w:sz w:val="24"/>
          <w:szCs w:val="24"/>
        </w:rPr>
        <w:t xml:space="preserve"> arguments. </w:t>
      </w:r>
      <w:r w:rsidRPr="001D39B0">
        <w:rPr>
          <w:rFonts w:ascii="Times New Roman" w:hAnsi="Times New Roman" w:cs="Times New Roman"/>
          <w:sz w:val="24"/>
          <w:szCs w:val="24"/>
        </w:rPr>
        <w:t xml:space="preserve"> It held</w:t>
      </w:r>
      <w:r w:rsidR="00E572B0">
        <w:rPr>
          <w:rFonts w:ascii="Times New Roman" w:hAnsi="Times New Roman" w:cs="Times New Roman"/>
          <w:sz w:val="24"/>
          <w:szCs w:val="24"/>
        </w:rPr>
        <w:t xml:space="preserve"> that </w:t>
      </w:r>
      <w:r w:rsidRPr="001D39B0">
        <w:rPr>
          <w:rFonts w:ascii="Times New Roman" w:hAnsi="Times New Roman" w:cs="Times New Roman"/>
          <w:sz w:val="24"/>
          <w:szCs w:val="24"/>
        </w:rPr>
        <w:t xml:space="preserve">: </w:t>
      </w:r>
    </w:p>
    <w:p w:rsidR="005B03E2" w:rsidRPr="00A4405C" w:rsidRDefault="005B03E2" w:rsidP="00A4405C">
      <w:pPr>
        <w:pStyle w:val="ListParagraph"/>
        <w:spacing w:line="240" w:lineRule="auto"/>
        <w:ind w:left="990"/>
        <w:jc w:val="both"/>
        <w:rPr>
          <w:rFonts w:ascii="Times New Roman" w:hAnsi="Times New Roman" w:cs="Times New Roman"/>
          <w:sz w:val="24"/>
          <w:szCs w:val="24"/>
        </w:rPr>
      </w:pPr>
      <w:r w:rsidRPr="001D39B0">
        <w:rPr>
          <w:rFonts w:ascii="Times New Roman" w:hAnsi="Times New Roman" w:cs="Times New Roman"/>
          <w:sz w:val="24"/>
          <w:szCs w:val="24"/>
        </w:rPr>
        <w:t xml:space="preserve">“There can be no argument that </w:t>
      </w:r>
      <w:r w:rsidRPr="001D39B0">
        <w:rPr>
          <w:rFonts w:ascii="Times New Roman" w:hAnsi="Times New Roman" w:cs="Times New Roman"/>
          <w:b/>
          <w:sz w:val="24"/>
          <w:szCs w:val="24"/>
        </w:rPr>
        <w:t xml:space="preserve">the Court made an unmistakable finding that no constitutional matter had arisen before the court </w:t>
      </w:r>
      <w:r w:rsidRPr="001D39B0">
        <w:rPr>
          <w:rFonts w:ascii="Times New Roman" w:hAnsi="Times New Roman" w:cs="Times New Roman"/>
          <w:b/>
          <w:i/>
          <w:sz w:val="24"/>
          <w:szCs w:val="24"/>
        </w:rPr>
        <w:t>a quo</w:t>
      </w:r>
      <w:r w:rsidRPr="001D39B0">
        <w:rPr>
          <w:rFonts w:ascii="Times New Roman" w:hAnsi="Times New Roman" w:cs="Times New Roman"/>
          <w:b/>
          <w:sz w:val="24"/>
          <w:szCs w:val="24"/>
        </w:rPr>
        <w:t xml:space="preserve"> and the High Court</w:t>
      </w:r>
      <w:r w:rsidRPr="001D39B0">
        <w:rPr>
          <w:rFonts w:ascii="Times New Roman" w:hAnsi="Times New Roman" w:cs="Times New Roman"/>
          <w:sz w:val="24"/>
          <w:szCs w:val="24"/>
        </w:rPr>
        <w:t xml:space="preserve">. Given that it is the full bench of this Court that has now asked the parties to address it on whether a constitutional matter properly arose before the court </w:t>
      </w:r>
      <w:r w:rsidRPr="001D39B0">
        <w:rPr>
          <w:rFonts w:ascii="Times New Roman" w:hAnsi="Times New Roman" w:cs="Times New Roman"/>
          <w:i/>
          <w:sz w:val="24"/>
          <w:szCs w:val="24"/>
        </w:rPr>
        <w:t>a</w:t>
      </w:r>
      <w:r w:rsidRPr="001D39B0">
        <w:rPr>
          <w:rFonts w:ascii="Times New Roman" w:hAnsi="Times New Roman" w:cs="Times New Roman"/>
          <w:sz w:val="24"/>
          <w:szCs w:val="24"/>
        </w:rPr>
        <w:t xml:space="preserve"> </w:t>
      </w:r>
      <w:r w:rsidRPr="001D39B0">
        <w:rPr>
          <w:rFonts w:ascii="Times New Roman" w:hAnsi="Times New Roman" w:cs="Times New Roman"/>
          <w:i/>
          <w:sz w:val="24"/>
          <w:szCs w:val="24"/>
        </w:rPr>
        <w:t>quo</w:t>
      </w:r>
      <w:r w:rsidRPr="001D39B0">
        <w:rPr>
          <w:rFonts w:ascii="Times New Roman" w:hAnsi="Times New Roman" w:cs="Times New Roman"/>
          <w:sz w:val="24"/>
          <w:szCs w:val="24"/>
        </w:rPr>
        <w:t>, it cannot be said that the question amounts to a review of a decision of this Court</w:t>
      </w:r>
      <w:r w:rsidRPr="00A4405C">
        <w:rPr>
          <w:rFonts w:ascii="Times New Roman" w:hAnsi="Times New Roman" w:cs="Times New Roman"/>
          <w:sz w:val="24"/>
          <w:szCs w:val="24"/>
        </w:rPr>
        <w:t>.”(</w:t>
      </w:r>
      <w:r w:rsidR="00A4405C" w:rsidRPr="00A4405C">
        <w:rPr>
          <w:rFonts w:ascii="Times New Roman" w:hAnsi="Times New Roman" w:cs="Times New Roman"/>
          <w:sz w:val="24"/>
          <w:szCs w:val="24"/>
        </w:rPr>
        <w:t>Emphasis</w:t>
      </w:r>
      <w:r w:rsidRPr="00A4405C">
        <w:rPr>
          <w:rFonts w:ascii="Times New Roman" w:hAnsi="Times New Roman" w:cs="Times New Roman"/>
          <w:sz w:val="24"/>
          <w:szCs w:val="24"/>
        </w:rPr>
        <w:t xml:space="preserve"> added)</w:t>
      </w:r>
    </w:p>
    <w:p w:rsidR="005B03E2" w:rsidRDefault="005B03E2" w:rsidP="005B03E2">
      <w:pPr>
        <w:pStyle w:val="ListParagraph"/>
        <w:spacing w:line="480" w:lineRule="auto"/>
        <w:jc w:val="both"/>
        <w:rPr>
          <w:rFonts w:ascii="Times New Roman" w:hAnsi="Times New Roman" w:cs="Times New Roman"/>
          <w:sz w:val="24"/>
          <w:szCs w:val="24"/>
        </w:rPr>
      </w:pPr>
    </w:p>
    <w:p w:rsidR="005B03E2" w:rsidRDefault="00E94D21" w:rsidP="00C304D8">
      <w:pPr>
        <w:pStyle w:val="ListParagraph"/>
        <w:numPr>
          <w:ilvl w:val="0"/>
          <w:numId w:val="6"/>
        </w:numPr>
        <w:spacing w:line="480" w:lineRule="auto"/>
        <w:ind w:left="450" w:hanging="450"/>
        <w:jc w:val="both"/>
        <w:rPr>
          <w:rFonts w:ascii="Times New Roman" w:hAnsi="Times New Roman"/>
          <w:iCs/>
          <w:sz w:val="24"/>
          <w:szCs w:val="24"/>
        </w:rPr>
      </w:pPr>
      <w:r>
        <w:rPr>
          <w:rFonts w:ascii="Times New Roman" w:hAnsi="Times New Roman" w:cs="Times New Roman"/>
          <w:sz w:val="24"/>
          <w:szCs w:val="24"/>
        </w:rPr>
        <w:t>It further held in</w:t>
      </w:r>
      <w:r w:rsidR="00E572B0" w:rsidRPr="005B03E2">
        <w:rPr>
          <w:rFonts w:ascii="Times New Roman" w:hAnsi="Times New Roman" w:cs="Times New Roman"/>
          <w:sz w:val="24"/>
          <w:szCs w:val="24"/>
        </w:rPr>
        <w:t xml:space="preserve"> paras 29 and 30 that the full bench of the Constitutional Court </w:t>
      </w:r>
      <w:r w:rsidR="00E572B0" w:rsidRPr="005B03E2">
        <w:rPr>
          <w:rFonts w:ascii="Times New Roman" w:hAnsi="Times New Roman"/>
          <w:iCs/>
          <w:sz w:val="24"/>
          <w:szCs w:val="24"/>
        </w:rPr>
        <w:t xml:space="preserve">is not bound by its pronouncements in interlocutory proceedings for leave to appeal. </w:t>
      </w:r>
      <w:r w:rsidR="00C304D8">
        <w:rPr>
          <w:rFonts w:ascii="Times New Roman" w:hAnsi="Times New Roman"/>
          <w:iCs/>
          <w:sz w:val="24"/>
          <w:szCs w:val="24"/>
        </w:rPr>
        <w:t xml:space="preserve"> </w:t>
      </w:r>
      <w:r w:rsidR="004F31BF" w:rsidRPr="005B03E2">
        <w:rPr>
          <w:rFonts w:ascii="Times New Roman" w:hAnsi="Times New Roman"/>
          <w:iCs/>
          <w:sz w:val="24"/>
          <w:szCs w:val="24"/>
        </w:rPr>
        <w:t xml:space="preserve">The issue is therefore </w:t>
      </w:r>
      <w:r w:rsidR="004F31BF" w:rsidRPr="005B03E2">
        <w:rPr>
          <w:rFonts w:ascii="Times New Roman" w:hAnsi="Times New Roman"/>
          <w:i/>
          <w:iCs/>
          <w:sz w:val="24"/>
          <w:szCs w:val="24"/>
        </w:rPr>
        <w:t xml:space="preserve">res judicata </w:t>
      </w:r>
      <w:r w:rsidR="004F31BF" w:rsidRPr="005B03E2">
        <w:rPr>
          <w:rFonts w:ascii="Times New Roman" w:hAnsi="Times New Roman"/>
          <w:iCs/>
          <w:sz w:val="24"/>
          <w:szCs w:val="24"/>
        </w:rPr>
        <w:t xml:space="preserve">and the respondent cannot raise it </w:t>
      </w:r>
      <w:r w:rsidR="007D669C" w:rsidRPr="005B03E2">
        <w:rPr>
          <w:rFonts w:ascii="Times New Roman" w:hAnsi="Times New Roman"/>
          <w:iCs/>
          <w:sz w:val="24"/>
          <w:szCs w:val="24"/>
        </w:rPr>
        <w:t xml:space="preserve">afresh </w:t>
      </w:r>
      <w:r w:rsidR="004F31BF" w:rsidRPr="005B03E2">
        <w:rPr>
          <w:rFonts w:ascii="Times New Roman" w:hAnsi="Times New Roman"/>
          <w:iCs/>
          <w:sz w:val="24"/>
          <w:szCs w:val="24"/>
        </w:rPr>
        <w:t>before this Court</w:t>
      </w:r>
      <w:r w:rsidR="005B03E2" w:rsidRPr="005B03E2">
        <w:rPr>
          <w:rFonts w:ascii="Times New Roman" w:hAnsi="Times New Roman"/>
          <w:iCs/>
          <w:sz w:val="24"/>
          <w:szCs w:val="24"/>
        </w:rPr>
        <w:t>.</w:t>
      </w:r>
    </w:p>
    <w:p w:rsidR="00C304D8" w:rsidRDefault="00C304D8" w:rsidP="00C304D8">
      <w:pPr>
        <w:pStyle w:val="ListParagraph"/>
        <w:spacing w:after="0" w:line="240" w:lineRule="auto"/>
        <w:ind w:left="450"/>
        <w:jc w:val="both"/>
        <w:rPr>
          <w:rFonts w:ascii="Times New Roman" w:hAnsi="Times New Roman"/>
          <w:iCs/>
          <w:sz w:val="24"/>
          <w:szCs w:val="24"/>
        </w:rPr>
      </w:pPr>
    </w:p>
    <w:p w:rsidR="005B03E2" w:rsidRPr="005B03E2" w:rsidRDefault="00F64855" w:rsidP="00C304D8">
      <w:pPr>
        <w:pStyle w:val="ListParagraph"/>
        <w:numPr>
          <w:ilvl w:val="0"/>
          <w:numId w:val="6"/>
        </w:numPr>
        <w:spacing w:after="0" w:line="480" w:lineRule="auto"/>
        <w:ind w:left="450" w:hanging="450"/>
        <w:jc w:val="both"/>
        <w:rPr>
          <w:rFonts w:ascii="Times New Roman" w:hAnsi="Times New Roman"/>
          <w:iCs/>
          <w:sz w:val="24"/>
          <w:szCs w:val="24"/>
        </w:rPr>
      </w:pPr>
      <w:r w:rsidRPr="005B03E2">
        <w:rPr>
          <w:rFonts w:ascii="Times New Roman" w:hAnsi="Times New Roman" w:cs="Times New Roman"/>
          <w:sz w:val="24"/>
          <w:szCs w:val="24"/>
        </w:rPr>
        <w:t xml:space="preserve">The court </w:t>
      </w:r>
      <w:r w:rsidRPr="005B03E2">
        <w:rPr>
          <w:rFonts w:ascii="Times New Roman" w:hAnsi="Times New Roman" w:cs="Times New Roman"/>
          <w:i/>
          <w:sz w:val="24"/>
          <w:szCs w:val="24"/>
        </w:rPr>
        <w:t xml:space="preserve">a quo </w:t>
      </w:r>
      <w:r w:rsidR="00A95F2E">
        <w:rPr>
          <w:rFonts w:ascii="Times New Roman" w:hAnsi="Times New Roman" w:cs="Times New Roman"/>
          <w:sz w:val="24"/>
          <w:szCs w:val="24"/>
        </w:rPr>
        <w:t xml:space="preserve">indeed </w:t>
      </w:r>
      <w:r w:rsidRPr="005B03E2">
        <w:rPr>
          <w:rFonts w:ascii="Times New Roman" w:hAnsi="Times New Roman" w:cs="Times New Roman"/>
          <w:sz w:val="24"/>
          <w:szCs w:val="24"/>
        </w:rPr>
        <w:t>went beyond what was absolutel</w:t>
      </w:r>
      <w:r w:rsidR="005B03E2">
        <w:rPr>
          <w:rFonts w:ascii="Times New Roman" w:hAnsi="Times New Roman" w:cs="Times New Roman"/>
          <w:sz w:val="24"/>
          <w:szCs w:val="24"/>
        </w:rPr>
        <w:t>y necessary to determine the non</w:t>
      </w:r>
      <w:r w:rsidR="00A95F2E">
        <w:rPr>
          <w:rFonts w:ascii="Times New Roman" w:hAnsi="Times New Roman" w:cs="Times New Roman"/>
          <w:sz w:val="24"/>
          <w:szCs w:val="24"/>
        </w:rPr>
        <w:t>-</w:t>
      </w:r>
      <w:r w:rsidRPr="005B03E2">
        <w:rPr>
          <w:rFonts w:ascii="Times New Roman" w:hAnsi="Times New Roman" w:cs="Times New Roman"/>
          <w:sz w:val="24"/>
          <w:szCs w:val="24"/>
        </w:rPr>
        <w:t xml:space="preserve"> constitutional issue</w:t>
      </w:r>
      <w:r w:rsidR="005B03E2">
        <w:rPr>
          <w:rFonts w:ascii="Times New Roman" w:hAnsi="Times New Roman" w:cs="Times New Roman"/>
          <w:sz w:val="24"/>
          <w:szCs w:val="24"/>
        </w:rPr>
        <w:t xml:space="preserve"> before it by having regard not only to s 309 of th</w:t>
      </w:r>
      <w:r w:rsidR="00662A55">
        <w:rPr>
          <w:rFonts w:ascii="Times New Roman" w:hAnsi="Times New Roman" w:cs="Times New Roman"/>
          <w:sz w:val="24"/>
          <w:szCs w:val="24"/>
        </w:rPr>
        <w:t xml:space="preserve">e Constitution but also to </w:t>
      </w:r>
      <w:proofErr w:type="spellStart"/>
      <w:r w:rsidR="00662A55">
        <w:rPr>
          <w:rFonts w:ascii="Times New Roman" w:hAnsi="Times New Roman" w:cs="Times New Roman"/>
          <w:sz w:val="24"/>
          <w:szCs w:val="24"/>
        </w:rPr>
        <w:t>ss</w:t>
      </w:r>
      <w:proofErr w:type="spellEnd"/>
      <w:r w:rsidR="00662A55">
        <w:rPr>
          <w:rFonts w:ascii="Times New Roman" w:hAnsi="Times New Roman" w:cs="Times New Roman"/>
          <w:sz w:val="24"/>
          <w:szCs w:val="24"/>
        </w:rPr>
        <w:t xml:space="preserve"> 46 and 68</w:t>
      </w:r>
      <w:r w:rsidR="005B03E2">
        <w:rPr>
          <w:rFonts w:ascii="Times New Roman" w:hAnsi="Times New Roman" w:cs="Times New Roman"/>
          <w:sz w:val="24"/>
          <w:szCs w:val="24"/>
        </w:rPr>
        <w:t xml:space="preserve"> of the Constitution. </w:t>
      </w:r>
      <w:r w:rsidR="00C304D8">
        <w:rPr>
          <w:rFonts w:ascii="Times New Roman" w:hAnsi="Times New Roman" w:cs="Times New Roman"/>
          <w:sz w:val="24"/>
          <w:szCs w:val="24"/>
        </w:rPr>
        <w:t xml:space="preserve"> </w:t>
      </w:r>
      <w:r w:rsidR="00850E0F" w:rsidRPr="005B03E2">
        <w:rPr>
          <w:rFonts w:ascii="Times New Roman" w:hAnsi="Times New Roman" w:cs="Times New Roman"/>
          <w:sz w:val="24"/>
          <w:szCs w:val="24"/>
        </w:rPr>
        <w:t>At p 12 of its judgment, it stated that:</w:t>
      </w:r>
    </w:p>
    <w:p w:rsidR="005B03E2" w:rsidRPr="00F64855" w:rsidRDefault="005B03E2" w:rsidP="00C304D8">
      <w:pPr>
        <w:spacing w:after="0"/>
        <w:ind w:left="1080"/>
        <w:jc w:val="both"/>
      </w:pPr>
      <w:r>
        <w:t>“</w:t>
      </w:r>
      <w:r w:rsidRPr="005B03E2">
        <w:rPr>
          <w:rFonts w:ascii="Times New Roman" w:hAnsi="Times New Roman" w:cs="Times New Roman"/>
          <w:sz w:val="24"/>
          <w:szCs w:val="24"/>
        </w:rPr>
        <w:t xml:space="preserve">Essentially, the applicant’s complaint is that there were gross irregularities in the manner the forensic investigation was carried out by the first respondent acting through </w:t>
      </w:r>
      <w:r w:rsidR="001E17ED">
        <w:rPr>
          <w:rFonts w:ascii="Times New Roman" w:hAnsi="Times New Roman" w:cs="Times New Roman"/>
          <w:sz w:val="24"/>
          <w:szCs w:val="24"/>
        </w:rPr>
        <w:t xml:space="preserve">the auditors she had appointed.  </w:t>
      </w:r>
      <w:r w:rsidRPr="005B03E2">
        <w:rPr>
          <w:rFonts w:ascii="Times New Roman" w:hAnsi="Times New Roman" w:cs="Times New Roman"/>
          <w:sz w:val="24"/>
          <w:szCs w:val="24"/>
        </w:rPr>
        <w:t>The appropriate place to begin is the Constitution which, through s 68 (1), entitles everyone to just administrative action which is carried out in a lawful, reasonable and procedurally fair manner.</w:t>
      </w:r>
    </w:p>
    <w:p w:rsidR="005B03E2" w:rsidRPr="005B03E2" w:rsidRDefault="005B03E2" w:rsidP="005B03E2">
      <w:pPr>
        <w:pStyle w:val="ListParagraph"/>
        <w:spacing w:line="480" w:lineRule="auto"/>
        <w:jc w:val="both"/>
        <w:rPr>
          <w:rFonts w:ascii="Times New Roman" w:hAnsi="Times New Roman"/>
          <w:iCs/>
          <w:sz w:val="24"/>
          <w:szCs w:val="24"/>
        </w:rPr>
      </w:pPr>
    </w:p>
    <w:p w:rsidR="00A95F2E" w:rsidRPr="00A95F2E" w:rsidRDefault="00850E0F" w:rsidP="001E17ED">
      <w:pPr>
        <w:pStyle w:val="ListParagraph"/>
        <w:numPr>
          <w:ilvl w:val="0"/>
          <w:numId w:val="6"/>
        </w:numPr>
        <w:spacing w:after="0" w:line="480" w:lineRule="auto"/>
        <w:ind w:left="450" w:hanging="450"/>
        <w:jc w:val="both"/>
        <w:rPr>
          <w:rFonts w:ascii="Times New Roman" w:hAnsi="Times New Roman"/>
          <w:iCs/>
          <w:sz w:val="24"/>
          <w:szCs w:val="24"/>
        </w:rPr>
      </w:pPr>
      <w:r w:rsidRPr="005B03E2">
        <w:rPr>
          <w:rFonts w:ascii="Times New Roman" w:hAnsi="Times New Roman" w:cs="Times New Roman"/>
          <w:sz w:val="24"/>
          <w:szCs w:val="24"/>
        </w:rPr>
        <w:t xml:space="preserve">It </w:t>
      </w:r>
      <w:r w:rsidR="00A95F2E">
        <w:rPr>
          <w:rFonts w:ascii="Times New Roman" w:hAnsi="Times New Roman" w:cs="Times New Roman"/>
          <w:sz w:val="24"/>
          <w:szCs w:val="24"/>
        </w:rPr>
        <w:t>proceeded to quote s 68 of the Constitution</w:t>
      </w:r>
      <w:r w:rsidRPr="005B03E2">
        <w:rPr>
          <w:rFonts w:ascii="Times New Roman" w:hAnsi="Times New Roman" w:cs="Times New Roman"/>
          <w:sz w:val="24"/>
          <w:szCs w:val="24"/>
        </w:rPr>
        <w:t xml:space="preserve"> remark</w:t>
      </w:r>
      <w:r w:rsidR="00A95F2E">
        <w:rPr>
          <w:rFonts w:ascii="Times New Roman" w:hAnsi="Times New Roman" w:cs="Times New Roman"/>
          <w:sz w:val="24"/>
          <w:szCs w:val="24"/>
        </w:rPr>
        <w:t>ing</w:t>
      </w:r>
      <w:r w:rsidRPr="005B03E2">
        <w:rPr>
          <w:rFonts w:ascii="Times New Roman" w:hAnsi="Times New Roman" w:cs="Times New Roman"/>
          <w:sz w:val="24"/>
          <w:szCs w:val="24"/>
        </w:rPr>
        <w:t xml:space="preserve"> that the constitutional right enshrined in s 68 (1) has been mirrored a</w:t>
      </w:r>
      <w:r w:rsidR="00F84CA3">
        <w:rPr>
          <w:rFonts w:ascii="Times New Roman" w:hAnsi="Times New Roman" w:cs="Times New Roman"/>
          <w:sz w:val="24"/>
          <w:szCs w:val="24"/>
        </w:rPr>
        <w:t xml:space="preserve">nd given effect in terms of the </w:t>
      </w:r>
      <w:r w:rsidR="00330B9D">
        <w:rPr>
          <w:rFonts w:ascii="Times New Roman" w:hAnsi="Times New Roman" w:cs="Times New Roman"/>
          <w:sz w:val="24"/>
          <w:szCs w:val="24"/>
        </w:rPr>
        <w:t>AJA</w:t>
      </w:r>
      <w:r w:rsidRPr="005B03E2">
        <w:rPr>
          <w:rFonts w:ascii="Times New Roman" w:hAnsi="Times New Roman" w:cs="Times New Roman"/>
          <w:sz w:val="24"/>
          <w:szCs w:val="24"/>
        </w:rPr>
        <w:t xml:space="preserve">. </w:t>
      </w:r>
      <w:r w:rsidR="001E17ED">
        <w:rPr>
          <w:rFonts w:ascii="Times New Roman" w:hAnsi="Times New Roman" w:cs="Times New Roman"/>
          <w:sz w:val="24"/>
          <w:szCs w:val="24"/>
        </w:rPr>
        <w:t xml:space="preserve"> </w:t>
      </w:r>
      <w:r w:rsidRPr="005B03E2">
        <w:rPr>
          <w:rFonts w:ascii="Times New Roman" w:hAnsi="Times New Roman" w:cs="Times New Roman"/>
          <w:sz w:val="24"/>
          <w:szCs w:val="24"/>
        </w:rPr>
        <w:t>However, at pp17-18 it delved into interpreting s 68 (1) when it sought to distinguish the word “decision”</w:t>
      </w:r>
      <w:r w:rsidR="00A95F2E">
        <w:rPr>
          <w:rFonts w:ascii="Times New Roman" w:hAnsi="Times New Roman" w:cs="Times New Roman"/>
          <w:sz w:val="24"/>
          <w:szCs w:val="24"/>
        </w:rPr>
        <w:t xml:space="preserve"> used throughout </w:t>
      </w:r>
      <w:r w:rsidR="00E96B89">
        <w:rPr>
          <w:rFonts w:ascii="Times New Roman" w:hAnsi="Times New Roman" w:cs="Times New Roman"/>
          <w:sz w:val="24"/>
          <w:szCs w:val="24"/>
        </w:rPr>
        <w:t>the</w:t>
      </w:r>
      <w:r w:rsidR="00330B9D">
        <w:rPr>
          <w:rFonts w:ascii="Times New Roman" w:hAnsi="Times New Roman" w:cs="Times New Roman"/>
          <w:sz w:val="24"/>
          <w:szCs w:val="24"/>
        </w:rPr>
        <w:t xml:space="preserve"> AJA</w:t>
      </w:r>
      <w:r w:rsidR="00A95F2E">
        <w:rPr>
          <w:rFonts w:ascii="Times New Roman" w:hAnsi="Times New Roman" w:cs="Times New Roman"/>
          <w:sz w:val="24"/>
          <w:szCs w:val="24"/>
        </w:rPr>
        <w:t xml:space="preserve"> and in particular in s 4 of that Act and the word “conduct” used in s 68 of the Constitution</w:t>
      </w:r>
      <w:r w:rsidRPr="005B03E2">
        <w:rPr>
          <w:rFonts w:ascii="Times New Roman" w:hAnsi="Times New Roman" w:cs="Times New Roman"/>
          <w:sz w:val="24"/>
          <w:szCs w:val="24"/>
        </w:rPr>
        <w:t xml:space="preserve">. </w:t>
      </w:r>
      <w:r w:rsidR="001E17ED">
        <w:rPr>
          <w:rFonts w:ascii="Times New Roman" w:hAnsi="Times New Roman" w:cs="Times New Roman"/>
          <w:sz w:val="24"/>
          <w:szCs w:val="24"/>
        </w:rPr>
        <w:t xml:space="preserve"> </w:t>
      </w:r>
      <w:r w:rsidRPr="005B03E2">
        <w:rPr>
          <w:rFonts w:ascii="Times New Roman" w:hAnsi="Times New Roman" w:cs="Times New Roman"/>
          <w:sz w:val="24"/>
          <w:szCs w:val="24"/>
        </w:rPr>
        <w:t>It remarked that</w:t>
      </w:r>
      <w:r>
        <w:t>:</w:t>
      </w:r>
    </w:p>
    <w:p w:rsidR="00A95F2E" w:rsidRPr="00A95F2E" w:rsidRDefault="00A95F2E" w:rsidP="001E17ED">
      <w:pPr>
        <w:pStyle w:val="ListParagraph"/>
        <w:spacing w:after="0" w:line="240" w:lineRule="auto"/>
        <w:ind w:left="1080"/>
        <w:jc w:val="both"/>
        <w:rPr>
          <w:rFonts w:ascii="Times New Roman" w:hAnsi="Times New Roman" w:cs="Times New Roman"/>
          <w:sz w:val="24"/>
          <w:szCs w:val="24"/>
        </w:rPr>
      </w:pPr>
      <w:r w:rsidRPr="00A95F2E">
        <w:rPr>
          <w:rFonts w:ascii="Times New Roman" w:hAnsi="Times New Roman" w:cs="Times New Roman"/>
          <w:sz w:val="24"/>
          <w:szCs w:val="24"/>
        </w:rPr>
        <w:t xml:space="preserve">“Thirdly, s 68 (1) of the Constitution, though using the word “conduct”, confirms that action is different from, and was not intended to mean decision. It provides that every person has a right to lawful, prompt, efficient, reasonable, proportionate, </w:t>
      </w:r>
      <w:r w:rsidRPr="00A95F2E">
        <w:rPr>
          <w:rFonts w:ascii="Times New Roman" w:hAnsi="Times New Roman" w:cs="Times New Roman"/>
          <w:sz w:val="24"/>
          <w:szCs w:val="24"/>
        </w:rPr>
        <w:lastRenderedPageBreak/>
        <w:t>impartial and procedurally fair “administrative</w:t>
      </w:r>
      <w:r w:rsidRPr="00A95F2E">
        <w:rPr>
          <w:rFonts w:ascii="Times New Roman" w:hAnsi="Times New Roman" w:cs="Times New Roman"/>
        </w:rPr>
        <w:t xml:space="preserve"> </w:t>
      </w:r>
      <w:r w:rsidRPr="00A95F2E">
        <w:rPr>
          <w:rFonts w:ascii="Times New Roman" w:hAnsi="Times New Roman" w:cs="Times New Roman"/>
          <w:sz w:val="24"/>
          <w:szCs w:val="24"/>
        </w:rPr>
        <w:t xml:space="preserve">conduct”. Similarly, s68 (2) gives anyone who has been adversely affected by “administrative conduct” the right to be given reasons in writing for such conduct. The word decision was avoided (I dare say, deliberately), buttressing the argument that a decision </w:t>
      </w:r>
      <w:r w:rsidRPr="00A95F2E">
        <w:rPr>
          <w:rFonts w:ascii="Times New Roman" w:hAnsi="Times New Roman" w:cs="Times New Roman"/>
          <w:i/>
          <w:sz w:val="24"/>
          <w:szCs w:val="24"/>
        </w:rPr>
        <w:t>per se</w:t>
      </w:r>
      <w:r w:rsidRPr="00A95F2E">
        <w:rPr>
          <w:rFonts w:ascii="Times New Roman" w:hAnsi="Times New Roman" w:cs="Times New Roman"/>
          <w:sz w:val="24"/>
          <w:szCs w:val="24"/>
        </w:rPr>
        <w:t xml:space="preserve"> is not a </w:t>
      </w:r>
      <w:r w:rsidRPr="00A95F2E">
        <w:rPr>
          <w:rFonts w:ascii="Times New Roman" w:hAnsi="Times New Roman" w:cs="Times New Roman"/>
          <w:i/>
          <w:sz w:val="24"/>
          <w:szCs w:val="24"/>
        </w:rPr>
        <w:t>causa sine qua non</w:t>
      </w:r>
      <w:r w:rsidRPr="00A95F2E">
        <w:rPr>
          <w:rFonts w:ascii="Times New Roman" w:hAnsi="Times New Roman" w:cs="Times New Roman"/>
          <w:sz w:val="24"/>
          <w:szCs w:val="24"/>
        </w:rPr>
        <w:t xml:space="preserve"> for the remedy of judicial review to be tenable. Fourthly, the Constitution provides a further rationale for not construing action to mean decision, and s 46 (2) is a must read. It is couched as follows:</w:t>
      </w:r>
    </w:p>
    <w:p w:rsidR="00A95F2E" w:rsidRPr="00A95F2E" w:rsidRDefault="00A95F2E" w:rsidP="00A95F2E">
      <w:pPr>
        <w:pStyle w:val="ListParagraph"/>
        <w:spacing w:line="240" w:lineRule="auto"/>
        <w:jc w:val="both"/>
        <w:rPr>
          <w:rFonts w:ascii="Times New Roman" w:hAnsi="Times New Roman" w:cs="Times New Roman"/>
          <w:sz w:val="12"/>
          <w:szCs w:val="12"/>
        </w:rPr>
      </w:pPr>
    </w:p>
    <w:p w:rsidR="00A95F2E" w:rsidRPr="00A95F2E" w:rsidRDefault="00DB1FA1" w:rsidP="00DB1FA1">
      <w:pPr>
        <w:pStyle w:val="ListParagraph"/>
        <w:spacing w:line="240" w:lineRule="auto"/>
        <w:ind w:left="171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w:t>
      </w:r>
      <w:r w:rsidR="00A95F2E" w:rsidRPr="00A95F2E">
        <w:rPr>
          <w:rFonts w:ascii="Times New Roman" w:eastAsia="Times New Roman" w:hAnsi="Times New Roman" w:cs="Times New Roman"/>
          <w:sz w:val="24"/>
          <w:szCs w:val="24"/>
          <w:lang w:val="en-ZW" w:eastAsia="en-ZW"/>
        </w:rPr>
        <w:t>When interpreting any legislation, and when developing the common law or customary law, every court, tribunal or body must promote and be guided by the spirit and objectives of this Chapter</w:t>
      </w:r>
      <w:r>
        <w:rPr>
          <w:rFonts w:ascii="Times New Roman" w:eastAsia="Times New Roman" w:hAnsi="Times New Roman" w:cs="Times New Roman"/>
          <w:sz w:val="24"/>
          <w:szCs w:val="24"/>
          <w:lang w:val="en-ZW" w:eastAsia="en-ZW"/>
        </w:rPr>
        <w:t>’</w:t>
      </w:r>
      <w:r w:rsidR="00A95F2E" w:rsidRPr="00A95F2E">
        <w:rPr>
          <w:rFonts w:ascii="Times New Roman" w:eastAsia="Times New Roman" w:hAnsi="Times New Roman" w:cs="Times New Roman"/>
          <w:sz w:val="24"/>
          <w:szCs w:val="24"/>
          <w:lang w:val="en-ZW" w:eastAsia="en-ZW"/>
        </w:rPr>
        <w:t>.</w:t>
      </w:r>
    </w:p>
    <w:p w:rsidR="00A95F2E" w:rsidRPr="00A95F2E" w:rsidRDefault="00A95F2E" w:rsidP="00A95F2E">
      <w:pPr>
        <w:pStyle w:val="ListParagraph"/>
        <w:spacing w:line="240" w:lineRule="auto"/>
        <w:jc w:val="both"/>
        <w:rPr>
          <w:rFonts w:ascii="Times New Roman" w:hAnsi="Times New Roman" w:cs="Times New Roman"/>
          <w:sz w:val="20"/>
          <w:szCs w:val="20"/>
        </w:rPr>
      </w:pPr>
    </w:p>
    <w:p w:rsidR="00A95F2E" w:rsidRDefault="00A95F2E" w:rsidP="00DB1FA1">
      <w:pPr>
        <w:spacing w:line="240" w:lineRule="auto"/>
        <w:ind w:left="1080"/>
        <w:jc w:val="both"/>
        <w:rPr>
          <w:rFonts w:ascii="Times New Roman" w:hAnsi="Times New Roman" w:cs="Times New Roman"/>
          <w:sz w:val="24"/>
          <w:szCs w:val="24"/>
        </w:rPr>
      </w:pPr>
      <w:r w:rsidRPr="00A95F2E">
        <w:rPr>
          <w:rFonts w:ascii="Times New Roman" w:hAnsi="Times New Roman" w:cs="Times New Roman"/>
          <w:sz w:val="24"/>
          <w:szCs w:val="24"/>
        </w:rPr>
        <w:t>It must be borne in mind that s 46 (1) enjoins this court to give full effect to the rights and freedoms enshrined in this Chapter. It follows, in my view, that the best way to achieve this is to interpret the definition of</w:t>
      </w:r>
      <w:r w:rsidR="00E96B89">
        <w:rPr>
          <w:rFonts w:ascii="Times New Roman" w:hAnsi="Times New Roman" w:cs="Times New Roman"/>
          <w:sz w:val="24"/>
          <w:szCs w:val="24"/>
        </w:rPr>
        <w:t xml:space="preserve"> “administrative action” in the</w:t>
      </w:r>
      <w:r w:rsidR="00330B9D">
        <w:rPr>
          <w:rFonts w:ascii="Times New Roman" w:hAnsi="Times New Roman" w:cs="Times New Roman"/>
          <w:sz w:val="24"/>
          <w:szCs w:val="24"/>
        </w:rPr>
        <w:t xml:space="preserve"> AJA</w:t>
      </w:r>
      <w:r w:rsidRPr="00A95F2E">
        <w:rPr>
          <w:rFonts w:ascii="Times New Roman" w:hAnsi="Times New Roman" w:cs="Times New Roman"/>
          <w:sz w:val="24"/>
          <w:szCs w:val="24"/>
        </w:rPr>
        <w:t xml:space="preserve"> in a way which does not subsume action and decision into one. Such an approach would enhance the process of review by not confining it to decisions to the exclusion of examining the process and actions taken in the lead up to those decisions. In fact, the use of the formulation “administrative conduct” as opposed to decision, in s 68 of the Constitution, makes it imperative for a wider interpretation to be given.</w:t>
      </w:r>
      <w:r w:rsidR="00DB1FA1">
        <w:rPr>
          <w:rFonts w:ascii="Times New Roman" w:hAnsi="Times New Roman" w:cs="Times New Roman"/>
          <w:sz w:val="24"/>
          <w:szCs w:val="24"/>
        </w:rPr>
        <w:t>’</w:t>
      </w:r>
      <w:r w:rsidRPr="00A95F2E">
        <w:rPr>
          <w:rFonts w:ascii="Times New Roman" w:hAnsi="Times New Roman" w:cs="Times New Roman"/>
          <w:sz w:val="24"/>
          <w:szCs w:val="24"/>
        </w:rPr>
        <w:t>”</w:t>
      </w:r>
    </w:p>
    <w:p w:rsidR="00DB1FA1" w:rsidRPr="00A95F2E" w:rsidRDefault="00DB1FA1" w:rsidP="00DD7006">
      <w:pPr>
        <w:spacing w:after="0" w:line="240" w:lineRule="auto"/>
        <w:ind w:left="1080"/>
        <w:jc w:val="both"/>
        <w:rPr>
          <w:rFonts w:ascii="Times New Roman" w:hAnsi="Times New Roman"/>
          <w:iCs/>
          <w:sz w:val="24"/>
          <w:szCs w:val="24"/>
        </w:rPr>
      </w:pPr>
    </w:p>
    <w:p w:rsidR="00F3793C" w:rsidRPr="00A91A7B" w:rsidRDefault="00A95F2E" w:rsidP="00DD7006">
      <w:pPr>
        <w:pStyle w:val="ListParagraph"/>
        <w:numPr>
          <w:ilvl w:val="0"/>
          <w:numId w:val="6"/>
        </w:numPr>
        <w:spacing w:after="0" w:line="480" w:lineRule="auto"/>
        <w:ind w:left="360"/>
        <w:jc w:val="both"/>
        <w:rPr>
          <w:rFonts w:ascii="Times New Roman" w:hAnsi="Times New Roman"/>
          <w:iCs/>
          <w:sz w:val="24"/>
          <w:szCs w:val="24"/>
        </w:rPr>
      </w:pPr>
      <w:r w:rsidRPr="00A95F2E">
        <w:rPr>
          <w:rFonts w:ascii="Times New Roman" w:hAnsi="Times New Roman" w:cs="Times New Roman"/>
          <w:sz w:val="24"/>
          <w:szCs w:val="24"/>
        </w:rPr>
        <w:t xml:space="preserve">The </w:t>
      </w:r>
      <w:r w:rsidR="00850E0F" w:rsidRPr="00A95F2E">
        <w:rPr>
          <w:rFonts w:ascii="Times New Roman" w:hAnsi="Times New Roman" w:cs="Times New Roman"/>
          <w:sz w:val="24"/>
          <w:szCs w:val="24"/>
        </w:rPr>
        <w:t xml:space="preserve">court </w:t>
      </w:r>
      <w:r w:rsidR="00850E0F" w:rsidRPr="00A95F2E">
        <w:rPr>
          <w:rFonts w:ascii="Times New Roman" w:hAnsi="Times New Roman" w:cs="Times New Roman"/>
          <w:i/>
          <w:sz w:val="24"/>
          <w:szCs w:val="24"/>
        </w:rPr>
        <w:t>a quo</w:t>
      </w:r>
      <w:r w:rsidR="00850E0F" w:rsidRPr="00A95F2E">
        <w:rPr>
          <w:rFonts w:ascii="Times New Roman" w:hAnsi="Times New Roman" w:cs="Times New Roman"/>
          <w:sz w:val="24"/>
          <w:szCs w:val="24"/>
        </w:rPr>
        <w:t xml:space="preserve"> </w:t>
      </w:r>
      <w:r w:rsidRPr="00A95F2E">
        <w:rPr>
          <w:rFonts w:ascii="Times New Roman" w:hAnsi="Times New Roman" w:cs="Times New Roman"/>
          <w:sz w:val="24"/>
          <w:szCs w:val="24"/>
        </w:rPr>
        <w:t xml:space="preserve">therefore </w:t>
      </w:r>
      <w:r w:rsidR="00850E0F" w:rsidRPr="00A95F2E">
        <w:rPr>
          <w:rFonts w:ascii="Times New Roman" w:hAnsi="Times New Roman" w:cs="Times New Roman"/>
          <w:sz w:val="24"/>
          <w:szCs w:val="24"/>
        </w:rPr>
        <w:t xml:space="preserve">used </w:t>
      </w:r>
      <w:r w:rsidR="00776D33" w:rsidRPr="00A95F2E">
        <w:rPr>
          <w:rFonts w:ascii="Times New Roman" w:hAnsi="Times New Roman" w:cs="Times New Roman"/>
          <w:sz w:val="24"/>
          <w:szCs w:val="24"/>
        </w:rPr>
        <w:t xml:space="preserve">the </w:t>
      </w:r>
      <w:r w:rsidR="00850E0F" w:rsidRPr="00A95F2E">
        <w:rPr>
          <w:rFonts w:ascii="Times New Roman" w:hAnsi="Times New Roman" w:cs="Times New Roman"/>
          <w:sz w:val="24"/>
          <w:szCs w:val="24"/>
        </w:rPr>
        <w:t>mechanism in s 46 (2) of the Constitution</w:t>
      </w:r>
      <w:r w:rsidR="002815A9">
        <w:rPr>
          <w:rFonts w:ascii="Times New Roman" w:hAnsi="Times New Roman" w:cs="Times New Roman"/>
          <w:sz w:val="24"/>
          <w:szCs w:val="24"/>
        </w:rPr>
        <w:t>,</w:t>
      </w:r>
      <w:r w:rsidR="00850E0F" w:rsidRPr="00A95F2E">
        <w:rPr>
          <w:rFonts w:ascii="Times New Roman" w:hAnsi="Times New Roman" w:cs="Times New Roman"/>
          <w:sz w:val="24"/>
          <w:szCs w:val="24"/>
        </w:rPr>
        <w:t xml:space="preserve"> that </w:t>
      </w:r>
      <w:r w:rsidR="00776D33" w:rsidRPr="00A95F2E">
        <w:rPr>
          <w:rFonts w:ascii="Times New Roman" w:hAnsi="Times New Roman" w:cs="Times New Roman"/>
          <w:sz w:val="24"/>
          <w:szCs w:val="24"/>
        </w:rPr>
        <w:t xml:space="preserve">is </w:t>
      </w:r>
      <w:r w:rsidR="00850E0F" w:rsidRPr="00A95F2E">
        <w:rPr>
          <w:rFonts w:ascii="Times New Roman" w:hAnsi="Times New Roman" w:cs="Times New Roman"/>
          <w:sz w:val="24"/>
          <w:szCs w:val="24"/>
        </w:rPr>
        <w:t>used when interpreting fundamental rights</w:t>
      </w:r>
      <w:r w:rsidR="002815A9">
        <w:rPr>
          <w:rFonts w:ascii="Times New Roman" w:hAnsi="Times New Roman" w:cs="Times New Roman"/>
          <w:sz w:val="24"/>
          <w:szCs w:val="24"/>
        </w:rPr>
        <w:t>,</w:t>
      </w:r>
      <w:r w:rsidR="00850E0F" w:rsidRPr="00A95F2E">
        <w:rPr>
          <w:rFonts w:ascii="Times New Roman" w:hAnsi="Times New Roman" w:cs="Times New Roman"/>
          <w:sz w:val="24"/>
          <w:szCs w:val="24"/>
        </w:rPr>
        <w:t xml:space="preserve"> to interpret the term </w:t>
      </w:r>
      <w:r w:rsidR="00776D33" w:rsidRPr="00A95F2E">
        <w:rPr>
          <w:rFonts w:ascii="Times New Roman" w:hAnsi="Times New Roman" w:cs="Times New Roman"/>
          <w:sz w:val="24"/>
          <w:szCs w:val="24"/>
        </w:rPr>
        <w:t>“</w:t>
      </w:r>
      <w:r w:rsidR="00850E0F" w:rsidRPr="00A95F2E">
        <w:rPr>
          <w:rFonts w:ascii="Times New Roman" w:hAnsi="Times New Roman" w:cs="Times New Roman"/>
          <w:sz w:val="24"/>
          <w:szCs w:val="24"/>
        </w:rPr>
        <w:t xml:space="preserve">administrative action” in </w:t>
      </w:r>
      <w:r w:rsidR="00E96B89">
        <w:rPr>
          <w:rFonts w:ascii="Times New Roman" w:hAnsi="Times New Roman" w:cs="Times New Roman"/>
          <w:sz w:val="24"/>
          <w:szCs w:val="24"/>
        </w:rPr>
        <w:t xml:space="preserve">the </w:t>
      </w:r>
      <w:r w:rsidR="00330B9D">
        <w:rPr>
          <w:rFonts w:ascii="Times New Roman" w:hAnsi="Times New Roman" w:cs="Times New Roman"/>
          <w:sz w:val="24"/>
          <w:szCs w:val="24"/>
        </w:rPr>
        <w:t>AJA</w:t>
      </w:r>
      <w:r w:rsidR="00A91A7B">
        <w:rPr>
          <w:rFonts w:ascii="Times New Roman" w:hAnsi="Times New Roman" w:cs="Times New Roman"/>
          <w:sz w:val="24"/>
          <w:szCs w:val="24"/>
        </w:rPr>
        <w:t xml:space="preserve">.  </w:t>
      </w:r>
      <w:r w:rsidR="00850E0F" w:rsidRPr="00A95F2E">
        <w:rPr>
          <w:rFonts w:ascii="Times New Roman" w:hAnsi="Times New Roman" w:cs="Times New Roman"/>
          <w:sz w:val="24"/>
          <w:szCs w:val="24"/>
        </w:rPr>
        <w:t>The section was used in order to widen the definition and ultimately come to the conclusion that BDO’s forensic audit was an exercise of administrative authority and therefore reviewable.</w:t>
      </w:r>
    </w:p>
    <w:p w:rsidR="00A91A7B" w:rsidRPr="00F3793C" w:rsidRDefault="00A91A7B" w:rsidP="00A91A7B">
      <w:pPr>
        <w:pStyle w:val="ListParagraph"/>
        <w:spacing w:after="0" w:line="240" w:lineRule="auto"/>
        <w:ind w:left="360"/>
        <w:jc w:val="both"/>
        <w:rPr>
          <w:rFonts w:ascii="Times New Roman" w:hAnsi="Times New Roman"/>
          <w:iCs/>
          <w:sz w:val="24"/>
          <w:szCs w:val="24"/>
        </w:rPr>
      </w:pPr>
    </w:p>
    <w:p w:rsidR="001D6F7B" w:rsidRPr="00FF68A8" w:rsidRDefault="00F934A9" w:rsidP="00A91A7B">
      <w:pPr>
        <w:pStyle w:val="ListParagraph"/>
        <w:numPr>
          <w:ilvl w:val="0"/>
          <w:numId w:val="6"/>
        </w:numPr>
        <w:spacing w:line="480" w:lineRule="auto"/>
        <w:ind w:left="360" w:hanging="450"/>
        <w:jc w:val="both"/>
        <w:rPr>
          <w:rFonts w:ascii="Times New Roman" w:hAnsi="Times New Roman"/>
          <w:iCs/>
          <w:sz w:val="24"/>
          <w:szCs w:val="24"/>
        </w:rPr>
      </w:pPr>
      <w:r w:rsidRPr="00F3793C">
        <w:rPr>
          <w:rFonts w:ascii="Times New Roman" w:hAnsi="Times New Roman" w:cs="Times New Roman"/>
          <w:sz w:val="24"/>
          <w:szCs w:val="24"/>
        </w:rPr>
        <w:t xml:space="preserve">The Constitutional Court </w:t>
      </w:r>
      <w:r w:rsidR="002137BE">
        <w:rPr>
          <w:rFonts w:ascii="Times New Roman" w:hAnsi="Times New Roman" w:cs="Times New Roman"/>
          <w:sz w:val="24"/>
          <w:szCs w:val="24"/>
        </w:rPr>
        <w:t>is</w:t>
      </w:r>
      <w:r w:rsidRPr="00F3793C">
        <w:rPr>
          <w:rFonts w:ascii="Times New Roman" w:hAnsi="Times New Roman" w:cs="Times New Roman"/>
          <w:sz w:val="24"/>
          <w:szCs w:val="24"/>
        </w:rPr>
        <w:t xml:space="preserve"> the ultimate arbiter in all constitutional matters. Its domain is exclusively the Constitution and, it serves as its vigilant guardian by interpreting, safeguarding and upholding the principles enshrined therein. Consequently, its rulings on any and all constitutional issues carry binding authority over all other courts</w:t>
      </w:r>
      <w:r w:rsidR="001D6F7B">
        <w:rPr>
          <w:rFonts w:ascii="Times New Roman" w:hAnsi="Times New Roman" w:cs="Times New Roman"/>
          <w:sz w:val="24"/>
          <w:szCs w:val="24"/>
        </w:rPr>
        <w:t xml:space="preserve"> by virtue of the </w:t>
      </w:r>
      <w:r w:rsidR="001D6F7B" w:rsidRPr="00D05845">
        <w:rPr>
          <w:rFonts w:ascii="Times New Roman" w:hAnsi="Times New Roman" w:cs="Times New Roman"/>
          <w:i/>
          <w:sz w:val="24"/>
          <w:szCs w:val="24"/>
        </w:rPr>
        <w:t>stare decisis</w:t>
      </w:r>
      <w:r w:rsidR="001D6F7B">
        <w:rPr>
          <w:rFonts w:ascii="Times New Roman" w:hAnsi="Times New Roman" w:cs="Times New Roman"/>
          <w:i/>
          <w:sz w:val="24"/>
          <w:szCs w:val="24"/>
        </w:rPr>
        <w:t xml:space="preserve"> </w:t>
      </w:r>
      <w:r w:rsidR="001D6F7B">
        <w:rPr>
          <w:rFonts w:ascii="Times New Roman" w:hAnsi="Times New Roman" w:cs="Times New Roman"/>
          <w:sz w:val="24"/>
          <w:szCs w:val="24"/>
        </w:rPr>
        <w:t>principle</w:t>
      </w:r>
      <w:r w:rsidRPr="00F3793C">
        <w:rPr>
          <w:rFonts w:ascii="Times New Roman" w:hAnsi="Times New Roman" w:cs="Times New Roman"/>
          <w:sz w:val="24"/>
          <w:szCs w:val="24"/>
        </w:rPr>
        <w:t>, ensuring consistency and finality in the application of constitutional principles.</w:t>
      </w:r>
    </w:p>
    <w:p w:rsidR="00FF68A8" w:rsidRPr="00FF68A8" w:rsidRDefault="00FF68A8" w:rsidP="00FF68A8">
      <w:pPr>
        <w:pStyle w:val="ListParagraph"/>
        <w:spacing w:after="0"/>
        <w:rPr>
          <w:rFonts w:ascii="Times New Roman" w:hAnsi="Times New Roman"/>
          <w:iCs/>
          <w:sz w:val="24"/>
          <w:szCs w:val="24"/>
        </w:rPr>
      </w:pPr>
    </w:p>
    <w:p w:rsidR="002137BE" w:rsidRPr="001D6F7B" w:rsidRDefault="001D6F7B" w:rsidP="00A91A7B">
      <w:pPr>
        <w:pStyle w:val="ListParagraph"/>
        <w:numPr>
          <w:ilvl w:val="0"/>
          <w:numId w:val="6"/>
        </w:numPr>
        <w:spacing w:line="480" w:lineRule="auto"/>
        <w:ind w:left="360"/>
        <w:jc w:val="both"/>
        <w:rPr>
          <w:rFonts w:ascii="Times New Roman" w:hAnsi="Times New Roman"/>
          <w:iCs/>
          <w:sz w:val="24"/>
          <w:szCs w:val="24"/>
        </w:rPr>
      </w:pPr>
      <w:r>
        <w:rPr>
          <w:rFonts w:ascii="Times New Roman" w:hAnsi="Times New Roman" w:cs="Times New Roman"/>
          <w:sz w:val="24"/>
          <w:szCs w:val="24"/>
        </w:rPr>
        <w:t xml:space="preserve">It was stated in </w:t>
      </w:r>
      <w:proofErr w:type="spellStart"/>
      <w:r w:rsidR="002137BE" w:rsidRPr="001D6F7B">
        <w:rPr>
          <w:rFonts w:ascii="Times New Roman" w:hAnsi="Times New Roman" w:cs="Times New Roman"/>
          <w:i/>
          <w:sz w:val="24"/>
          <w:szCs w:val="24"/>
        </w:rPr>
        <w:t>Denhere</w:t>
      </w:r>
      <w:proofErr w:type="spellEnd"/>
      <w:r w:rsidR="00E96B89">
        <w:rPr>
          <w:rFonts w:ascii="Times New Roman" w:hAnsi="Times New Roman" w:cs="Times New Roman"/>
          <w:sz w:val="24"/>
          <w:szCs w:val="24"/>
        </w:rPr>
        <w:t xml:space="preserve"> v</w:t>
      </w:r>
      <w:r w:rsidR="002137BE" w:rsidRPr="001D6F7B">
        <w:rPr>
          <w:rFonts w:ascii="Times New Roman" w:hAnsi="Times New Roman" w:cs="Times New Roman"/>
          <w:i/>
          <w:sz w:val="24"/>
          <w:szCs w:val="24"/>
        </w:rPr>
        <w:t xml:space="preserve"> </w:t>
      </w:r>
      <w:proofErr w:type="spellStart"/>
      <w:r w:rsidR="002137BE" w:rsidRPr="001D6F7B">
        <w:rPr>
          <w:rFonts w:ascii="Times New Roman" w:hAnsi="Times New Roman" w:cs="Times New Roman"/>
          <w:i/>
          <w:sz w:val="24"/>
          <w:szCs w:val="24"/>
        </w:rPr>
        <w:t>Denhere</w:t>
      </w:r>
      <w:proofErr w:type="spellEnd"/>
      <w:r w:rsidR="002137BE" w:rsidRPr="001D6F7B">
        <w:rPr>
          <w:rFonts w:ascii="Times New Roman" w:hAnsi="Times New Roman" w:cs="Times New Roman"/>
          <w:sz w:val="24"/>
          <w:szCs w:val="24"/>
        </w:rPr>
        <w:t xml:space="preserve"> 2019 (1) ZLR 554 (CC) at 565B-C</w:t>
      </w:r>
      <w:r>
        <w:rPr>
          <w:rFonts w:ascii="Times New Roman" w:hAnsi="Times New Roman" w:cs="Times New Roman"/>
          <w:sz w:val="24"/>
          <w:szCs w:val="24"/>
        </w:rPr>
        <w:t xml:space="preserve"> that:</w:t>
      </w:r>
    </w:p>
    <w:p w:rsidR="002137BE" w:rsidRPr="00D05845" w:rsidRDefault="00FF68A8" w:rsidP="00FF68A8">
      <w:pPr>
        <w:pStyle w:val="FootnoteText"/>
        <w:tabs>
          <w:tab w:val="left" w:pos="1440"/>
        </w:tabs>
        <w:ind w:left="1260" w:hanging="1260"/>
        <w:jc w:val="both"/>
        <w:rPr>
          <w:rFonts w:ascii="Times New Roman" w:hAnsi="Times New Roman" w:cs="Times New Roman"/>
          <w:sz w:val="24"/>
          <w:szCs w:val="24"/>
        </w:rPr>
      </w:pPr>
      <w:r>
        <w:rPr>
          <w:rFonts w:ascii="Times New Roman" w:hAnsi="Times New Roman" w:cs="Times New Roman"/>
          <w:sz w:val="24"/>
          <w:szCs w:val="24"/>
        </w:rPr>
        <w:lastRenderedPageBreak/>
        <w:tab/>
      </w:r>
      <w:r w:rsidR="002137BE">
        <w:rPr>
          <w:rFonts w:ascii="Times New Roman" w:hAnsi="Times New Roman" w:cs="Times New Roman"/>
          <w:sz w:val="24"/>
          <w:szCs w:val="24"/>
        </w:rPr>
        <w:t>“</w:t>
      </w:r>
      <w:r w:rsidR="002137BE" w:rsidRPr="00D05845">
        <w:rPr>
          <w:rFonts w:ascii="Times New Roman" w:hAnsi="Times New Roman" w:cs="Times New Roman"/>
          <w:sz w:val="24"/>
          <w:szCs w:val="24"/>
        </w:rPr>
        <w:t>The words “</w:t>
      </w:r>
      <w:r w:rsidR="002137BE" w:rsidRPr="00D05845">
        <w:rPr>
          <w:rFonts w:ascii="Times New Roman" w:hAnsi="Times New Roman" w:cs="Times New Roman"/>
          <w:i/>
          <w:sz w:val="24"/>
          <w:szCs w:val="24"/>
        </w:rPr>
        <w:t>stare decisis</w:t>
      </w:r>
      <w:r w:rsidR="002137BE" w:rsidRPr="00D05845">
        <w:rPr>
          <w:rFonts w:ascii="Times New Roman" w:hAnsi="Times New Roman" w:cs="Times New Roman"/>
          <w:sz w:val="24"/>
          <w:szCs w:val="24"/>
        </w:rPr>
        <w:t xml:space="preserve">” are Latin words which mean that things that have been decided should be left to stay undisturbed. The meaning of the doctrine of </w:t>
      </w:r>
      <w:r w:rsidR="002137BE" w:rsidRPr="00D05845">
        <w:rPr>
          <w:rFonts w:ascii="Times New Roman" w:hAnsi="Times New Roman" w:cs="Times New Roman"/>
          <w:i/>
          <w:sz w:val="24"/>
          <w:szCs w:val="24"/>
        </w:rPr>
        <w:t>stare decisis</w:t>
      </w:r>
      <w:r w:rsidR="002137BE" w:rsidRPr="00D05845">
        <w:rPr>
          <w:rFonts w:ascii="Times New Roman" w:hAnsi="Times New Roman" w:cs="Times New Roman"/>
          <w:sz w:val="24"/>
          <w:szCs w:val="24"/>
        </w:rPr>
        <w:t xml:space="preserve"> is that when a point of law has been once solemnly and necessarily settled by a decision of a competent court it will no longer be considered open to examination or to a new ruling by the same tribunal or those which are bound to follow its adjudication.</w:t>
      </w:r>
      <w:r w:rsidR="002137BE">
        <w:rPr>
          <w:rFonts w:ascii="Times New Roman" w:hAnsi="Times New Roman" w:cs="Times New Roman"/>
          <w:sz w:val="24"/>
          <w:szCs w:val="24"/>
        </w:rPr>
        <w:t xml:space="preserve"> </w:t>
      </w:r>
      <w:r w:rsidR="002137BE" w:rsidRPr="001D6F7B">
        <w:rPr>
          <w:rFonts w:ascii="Times New Roman" w:hAnsi="Times New Roman" w:cs="Times New Roman"/>
          <w:b/>
          <w:sz w:val="24"/>
          <w:szCs w:val="24"/>
        </w:rPr>
        <w:t xml:space="preserve">The doctrine of </w:t>
      </w:r>
      <w:r w:rsidR="002137BE" w:rsidRPr="001D6F7B">
        <w:rPr>
          <w:rFonts w:ascii="Times New Roman" w:hAnsi="Times New Roman" w:cs="Times New Roman"/>
          <w:b/>
          <w:i/>
          <w:sz w:val="24"/>
          <w:szCs w:val="24"/>
        </w:rPr>
        <w:t>stare decisis</w:t>
      </w:r>
      <w:r w:rsidR="002137BE" w:rsidRPr="001D6F7B">
        <w:rPr>
          <w:rFonts w:ascii="Times New Roman" w:hAnsi="Times New Roman" w:cs="Times New Roman"/>
          <w:b/>
          <w:sz w:val="24"/>
          <w:szCs w:val="24"/>
        </w:rPr>
        <w:t xml:space="preserve"> is therefore a rule of precedent or authority, addressed to lower courts and members of the public who are decision-makers, to the effect that decisions of the higher courts on particular points of law presented to</w:t>
      </w:r>
      <w:r w:rsidR="002137BE" w:rsidRPr="001D6F7B">
        <w:rPr>
          <w:rFonts w:ascii="Times New Roman" w:hAnsi="Times New Roman" w:cs="Times New Roman"/>
          <w:b/>
          <w:color w:val="FF0000"/>
          <w:sz w:val="24"/>
          <w:szCs w:val="24"/>
        </w:rPr>
        <w:t xml:space="preserve"> </w:t>
      </w:r>
      <w:r w:rsidR="002137BE" w:rsidRPr="001D6F7B">
        <w:rPr>
          <w:rFonts w:ascii="Times New Roman" w:hAnsi="Times New Roman" w:cs="Times New Roman"/>
          <w:b/>
          <w:sz w:val="24"/>
          <w:szCs w:val="24"/>
        </w:rPr>
        <w:t>and passed upon by those courts are law. Lower</w:t>
      </w:r>
      <w:r w:rsidR="002137BE" w:rsidRPr="001D6F7B">
        <w:rPr>
          <w:rFonts w:ascii="Times New Roman" w:hAnsi="Times New Roman" w:cs="Times New Roman"/>
          <w:b/>
          <w:color w:val="FF0000"/>
          <w:sz w:val="24"/>
          <w:szCs w:val="24"/>
        </w:rPr>
        <w:t xml:space="preserve"> </w:t>
      </w:r>
      <w:r w:rsidR="002137BE" w:rsidRPr="001D6F7B">
        <w:rPr>
          <w:rFonts w:ascii="Times New Roman" w:hAnsi="Times New Roman" w:cs="Times New Roman"/>
          <w:b/>
          <w:sz w:val="24"/>
          <w:szCs w:val="24"/>
        </w:rPr>
        <w:t>courts are bound to obey them in similar cases in future until they are overruled, even though a rigorous adherence to them might at times work individual hardship.</w:t>
      </w:r>
      <w:r w:rsidR="002137BE">
        <w:rPr>
          <w:rFonts w:ascii="Times New Roman" w:hAnsi="Times New Roman" w:cs="Times New Roman"/>
          <w:sz w:val="24"/>
          <w:szCs w:val="24"/>
        </w:rPr>
        <w:t>”</w:t>
      </w:r>
    </w:p>
    <w:p w:rsidR="00F934A9" w:rsidRPr="00F3793C" w:rsidRDefault="00F934A9" w:rsidP="001D6F7B">
      <w:pPr>
        <w:pStyle w:val="ListParagraph"/>
        <w:spacing w:line="480" w:lineRule="auto"/>
        <w:jc w:val="both"/>
        <w:rPr>
          <w:rFonts w:ascii="Times New Roman" w:hAnsi="Times New Roman"/>
          <w:iCs/>
          <w:sz w:val="24"/>
          <w:szCs w:val="24"/>
        </w:rPr>
      </w:pPr>
    </w:p>
    <w:p w:rsidR="001D6F7B" w:rsidRPr="00625913" w:rsidRDefault="00F934A9" w:rsidP="00562866">
      <w:pPr>
        <w:pStyle w:val="ListParagraph"/>
        <w:numPr>
          <w:ilvl w:val="0"/>
          <w:numId w:val="6"/>
        </w:numPr>
        <w:spacing w:after="0" w:line="480" w:lineRule="auto"/>
        <w:ind w:left="270"/>
        <w:jc w:val="both"/>
        <w:rPr>
          <w:rFonts w:ascii="Times New Roman" w:eastAsia="Calibri" w:hAnsi="Times New Roman" w:cs="Times New Roman"/>
          <w:sz w:val="24"/>
          <w:szCs w:val="24"/>
        </w:rPr>
      </w:pPr>
      <w:r w:rsidRPr="001D39B0">
        <w:rPr>
          <w:rFonts w:ascii="Times New Roman" w:eastAsia="Times New Roman" w:hAnsi="Times New Roman" w:cs="Times New Roman"/>
          <w:sz w:val="24"/>
          <w:szCs w:val="24"/>
          <w:lang w:eastAsia="en-ZW"/>
        </w:rPr>
        <w:t>The Constitutional Co</w:t>
      </w:r>
      <w:r w:rsidR="002137BE">
        <w:rPr>
          <w:rFonts w:ascii="Times New Roman" w:eastAsia="Times New Roman" w:hAnsi="Times New Roman" w:cs="Times New Roman"/>
          <w:sz w:val="24"/>
          <w:szCs w:val="24"/>
          <w:lang w:eastAsia="en-ZW"/>
        </w:rPr>
        <w:t>urt</w:t>
      </w:r>
      <w:r>
        <w:rPr>
          <w:rFonts w:ascii="Times New Roman" w:eastAsia="Times New Roman" w:hAnsi="Times New Roman" w:cs="Times New Roman"/>
          <w:sz w:val="24"/>
          <w:szCs w:val="24"/>
          <w:lang w:eastAsia="en-ZW"/>
        </w:rPr>
        <w:t xml:space="preserve"> unambiguously pronounced itself on</w:t>
      </w:r>
      <w:r w:rsidRPr="001D39B0">
        <w:rPr>
          <w:rFonts w:ascii="Times New Roman" w:eastAsia="Times New Roman" w:hAnsi="Times New Roman" w:cs="Times New Roman"/>
          <w:sz w:val="24"/>
          <w:szCs w:val="24"/>
          <w:lang w:eastAsia="en-ZW"/>
        </w:rPr>
        <w:t xml:space="preserve"> the court </w:t>
      </w:r>
      <w:r w:rsidRPr="001D39B0">
        <w:rPr>
          <w:rFonts w:ascii="Times New Roman" w:eastAsia="Times New Roman" w:hAnsi="Times New Roman" w:cs="Times New Roman"/>
          <w:i/>
          <w:sz w:val="24"/>
          <w:szCs w:val="24"/>
          <w:lang w:eastAsia="en-ZW"/>
        </w:rPr>
        <w:t>a quo’s</w:t>
      </w:r>
      <w:r w:rsidRPr="001D39B0">
        <w:rPr>
          <w:rFonts w:ascii="Times New Roman" w:eastAsia="Times New Roman" w:hAnsi="Times New Roman" w:cs="Times New Roman"/>
          <w:sz w:val="24"/>
          <w:szCs w:val="24"/>
          <w:lang w:eastAsia="en-ZW"/>
        </w:rPr>
        <w:t xml:space="preserve"> invocation of s 309 of the Constitution</w:t>
      </w:r>
      <w:r>
        <w:rPr>
          <w:rFonts w:ascii="Times New Roman" w:eastAsia="Times New Roman" w:hAnsi="Times New Roman" w:cs="Times New Roman"/>
          <w:sz w:val="24"/>
          <w:szCs w:val="24"/>
          <w:lang w:eastAsia="en-ZW"/>
        </w:rPr>
        <w:t xml:space="preserve"> and the propriety of its judgment</w:t>
      </w:r>
      <w:r w:rsidRPr="001D39B0">
        <w:rPr>
          <w:rFonts w:ascii="Times New Roman" w:eastAsia="Times New Roman" w:hAnsi="Times New Roman" w:cs="Times New Roman"/>
          <w:sz w:val="24"/>
          <w:szCs w:val="24"/>
          <w:lang w:eastAsia="en-ZW"/>
        </w:rPr>
        <w:t>.</w:t>
      </w:r>
      <w:r w:rsidR="00E27AAA">
        <w:rPr>
          <w:rFonts w:ascii="Times New Roman" w:eastAsia="Times New Roman" w:hAnsi="Times New Roman" w:cs="Times New Roman"/>
          <w:sz w:val="24"/>
          <w:szCs w:val="24"/>
          <w:lang w:eastAsia="en-ZW"/>
        </w:rPr>
        <w:t xml:space="preserve">  </w:t>
      </w:r>
      <w:r w:rsidRPr="001D39B0">
        <w:rPr>
          <w:rFonts w:ascii="Times New Roman" w:eastAsia="Calibri" w:hAnsi="Times New Roman" w:cs="Times New Roman"/>
          <w:sz w:val="24"/>
          <w:szCs w:val="24"/>
        </w:rPr>
        <w:t xml:space="preserve">Following </w:t>
      </w:r>
      <w:r>
        <w:rPr>
          <w:rFonts w:ascii="Times New Roman" w:eastAsia="Calibri" w:hAnsi="Times New Roman" w:cs="Times New Roman"/>
          <w:sz w:val="24"/>
          <w:szCs w:val="24"/>
        </w:rPr>
        <w:t>that pronouncement, this Court</w:t>
      </w:r>
      <w:r>
        <w:rPr>
          <w:rFonts w:ascii="Times New Roman" w:eastAsia="Times New Roman" w:hAnsi="Times New Roman" w:cs="Times New Roman"/>
          <w:sz w:val="24"/>
          <w:szCs w:val="24"/>
          <w:lang w:eastAsia="en-ZW"/>
        </w:rPr>
        <w:t xml:space="preserve"> is </w:t>
      </w:r>
      <w:r w:rsidRPr="001D39B0">
        <w:rPr>
          <w:rFonts w:ascii="Times New Roman" w:eastAsia="Times New Roman" w:hAnsi="Times New Roman" w:cs="Times New Roman"/>
          <w:sz w:val="24"/>
          <w:szCs w:val="24"/>
          <w:lang w:eastAsia="en-ZW"/>
        </w:rPr>
        <w:t>compelled to a singular determination</w:t>
      </w:r>
      <w:r>
        <w:rPr>
          <w:rFonts w:ascii="Times New Roman" w:eastAsia="Times New Roman" w:hAnsi="Times New Roman" w:cs="Times New Roman"/>
          <w:sz w:val="24"/>
          <w:szCs w:val="24"/>
          <w:lang w:eastAsia="en-ZW"/>
        </w:rPr>
        <w:t xml:space="preserve">, that the court </w:t>
      </w:r>
      <w:r w:rsidRPr="008414A3">
        <w:rPr>
          <w:rFonts w:ascii="Times New Roman" w:eastAsia="Times New Roman" w:hAnsi="Times New Roman" w:cs="Times New Roman"/>
          <w:i/>
          <w:sz w:val="24"/>
          <w:szCs w:val="24"/>
          <w:lang w:eastAsia="en-ZW"/>
        </w:rPr>
        <w:t>a quo</w:t>
      </w:r>
      <w:r w:rsidR="00E27AAA">
        <w:rPr>
          <w:rFonts w:ascii="Times New Roman" w:eastAsia="Times New Roman" w:hAnsi="Times New Roman" w:cs="Times New Roman"/>
          <w:sz w:val="24"/>
          <w:szCs w:val="24"/>
          <w:lang w:eastAsia="en-ZW"/>
        </w:rPr>
        <w:t xml:space="preserve"> misdirected itself.   </w:t>
      </w:r>
      <w:r>
        <w:rPr>
          <w:rFonts w:ascii="Times New Roman" w:eastAsia="Times New Roman" w:hAnsi="Times New Roman" w:cs="Times New Roman"/>
          <w:sz w:val="24"/>
          <w:szCs w:val="24"/>
          <w:lang w:eastAsia="en-ZW"/>
        </w:rPr>
        <w:t>This Court is</w:t>
      </w:r>
      <w:r w:rsidRPr="001D39B0">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thus </w:t>
      </w:r>
      <w:r w:rsidRPr="001D39B0">
        <w:rPr>
          <w:rFonts w:ascii="Times New Roman" w:eastAsia="Times New Roman" w:hAnsi="Times New Roman" w:cs="Times New Roman"/>
          <w:sz w:val="24"/>
          <w:szCs w:val="24"/>
          <w:lang w:eastAsia="en-ZW"/>
        </w:rPr>
        <w:t xml:space="preserve">precluded from </w:t>
      </w:r>
      <w:r>
        <w:rPr>
          <w:rFonts w:ascii="Times New Roman" w:eastAsia="Times New Roman" w:hAnsi="Times New Roman" w:cs="Times New Roman"/>
          <w:sz w:val="24"/>
          <w:szCs w:val="24"/>
          <w:lang w:eastAsia="en-ZW"/>
        </w:rPr>
        <w:t xml:space="preserve">allowing </w:t>
      </w:r>
      <w:r w:rsidRPr="001D39B0">
        <w:rPr>
          <w:rFonts w:ascii="Times New Roman" w:eastAsia="Times New Roman" w:hAnsi="Times New Roman" w:cs="Times New Roman"/>
          <w:sz w:val="24"/>
          <w:szCs w:val="24"/>
          <w:lang w:eastAsia="en-ZW"/>
        </w:rPr>
        <w:t xml:space="preserve">the court </w:t>
      </w:r>
      <w:r w:rsidRPr="001D39B0">
        <w:rPr>
          <w:rFonts w:ascii="Times New Roman" w:eastAsia="Times New Roman" w:hAnsi="Times New Roman" w:cs="Times New Roman"/>
          <w:i/>
          <w:sz w:val="24"/>
          <w:szCs w:val="24"/>
          <w:lang w:eastAsia="en-ZW"/>
        </w:rPr>
        <w:t>a quo’s</w:t>
      </w:r>
      <w:r w:rsidRPr="001D39B0">
        <w:rPr>
          <w:rFonts w:ascii="Times New Roman" w:eastAsia="Times New Roman" w:hAnsi="Times New Roman" w:cs="Times New Roman"/>
          <w:sz w:val="24"/>
          <w:szCs w:val="24"/>
          <w:lang w:eastAsia="en-ZW"/>
        </w:rPr>
        <w:t xml:space="preserve"> judgment </w:t>
      </w:r>
      <w:r>
        <w:rPr>
          <w:rFonts w:ascii="Times New Roman" w:eastAsia="Times New Roman" w:hAnsi="Times New Roman" w:cs="Times New Roman"/>
          <w:sz w:val="24"/>
          <w:szCs w:val="24"/>
          <w:lang w:eastAsia="en-ZW"/>
        </w:rPr>
        <w:t xml:space="preserve">to stand by virtue of the </w:t>
      </w:r>
      <w:r w:rsidRPr="00E96B89">
        <w:rPr>
          <w:rFonts w:ascii="Times New Roman" w:eastAsia="Times New Roman" w:hAnsi="Times New Roman" w:cs="Times New Roman"/>
          <w:i/>
          <w:sz w:val="24"/>
          <w:szCs w:val="24"/>
          <w:lang w:eastAsia="en-ZW"/>
        </w:rPr>
        <w:t>stare decisis</w:t>
      </w:r>
      <w:r w:rsidR="00E27AAA">
        <w:rPr>
          <w:rFonts w:ascii="Times New Roman" w:eastAsia="Times New Roman" w:hAnsi="Times New Roman" w:cs="Times New Roman"/>
          <w:sz w:val="24"/>
          <w:szCs w:val="24"/>
          <w:lang w:eastAsia="en-ZW"/>
        </w:rPr>
        <w:t xml:space="preserve"> principle.  </w:t>
      </w:r>
      <w:r>
        <w:rPr>
          <w:rFonts w:ascii="Times New Roman" w:eastAsia="Times New Roman" w:hAnsi="Times New Roman" w:cs="Times New Roman"/>
          <w:sz w:val="24"/>
          <w:szCs w:val="24"/>
          <w:lang w:eastAsia="en-ZW"/>
        </w:rPr>
        <w:t xml:space="preserve">Arriving at a contrary decision on the question would be contrary to the principle. </w:t>
      </w:r>
    </w:p>
    <w:p w:rsidR="00625913" w:rsidRPr="001D6F7B" w:rsidRDefault="00625913" w:rsidP="00625913">
      <w:pPr>
        <w:pStyle w:val="ListParagraph"/>
        <w:spacing w:after="0" w:line="240" w:lineRule="auto"/>
        <w:ind w:left="270"/>
        <w:jc w:val="both"/>
        <w:rPr>
          <w:rFonts w:ascii="Times New Roman" w:eastAsia="Calibri" w:hAnsi="Times New Roman" w:cs="Times New Roman"/>
          <w:sz w:val="24"/>
          <w:szCs w:val="24"/>
        </w:rPr>
      </w:pPr>
    </w:p>
    <w:p w:rsidR="001D6F7B" w:rsidRPr="001D6F7B" w:rsidRDefault="00F934A9" w:rsidP="00625913">
      <w:pPr>
        <w:pStyle w:val="ListParagraph"/>
        <w:numPr>
          <w:ilvl w:val="0"/>
          <w:numId w:val="6"/>
        </w:numPr>
        <w:tabs>
          <w:tab w:val="left" w:pos="270"/>
          <w:tab w:val="left" w:pos="360"/>
        </w:tabs>
        <w:spacing w:after="0" w:line="480" w:lineRule="auto"/>
        <w:ind w:left="270"/>
        <w:jc w:val="both"/>
        <w:rPr>
          <w:rFonts w:ascii="Times New Roman" w:hAnsi="Times New Roman" w:cs="Times New Roman"/>
          <w:sz w:val="24"/>
          <w:szCs w:val="24"/>
        </w:rPr>
      </w:pPr>
      <w:r w:rsidRPr="001D6F7B">
        <w:rPr>
          <w:rFonts w:ascii="Times New Roman" w:eastAsia="Calibri" w:hAnsi="Times New Roman" w:cs="Times New Roman"/>
          <w:sz w:val="24"/>
          <w:szCs w:val="24"/>
        </w:rPr>
        <w:t xml:space="preserve">What is </w:t>
      </w:r>
      <w:r w:rsidR="001D6F7B" w:rsidRPr="001D6F7B">
        <w:rPr>
          <w:rFonts w:ascii="Times New Roman" w:eastAsia="Calibri" w:hAnsi="Times New Roman" w:cs="Times New Roman"/>
          <w:sz w:val="24"/>
          <w:szCs w:val="24"/>
        </w:rPr>
        <w:t xml:space="preserve">even more compelling </w:t>
      </w:r>
      <w:r w:rsidRPr="001D6F7B">
        <w:rPr>
          <w:rFonts w:ascii="Times New Roman" w:eastAsia="Calibri" w:hAnsi="Times New Roman" w:cs="Times New Roman"/>
          <w:sz w:val="24"/>
          <w:szCs w:val="24"/>
        </w:rPr>
        <w:t>in this case is that the decision of the C</w:t>
      </w:r>
      <w:r w:rsidR="001D6F7B" w:rsidRPr="001D6F7B">
        <w:rPr>
          <w:rFonts w:ascii="Times New Roman" w:eastAsia="Calibri" w:hAnsi="Times New Roman" w:cs="Times New Roman"/>
          <w:sz w:val="24"/>
          <w:szCs w:val="24"/>
        </w:rPr>
        <w:t xml:space="preserve">onstitutional Court </w:t>
      </w:r>
      <w:r w:rsidRPr="001D6F7B">
        <w:rPr>
          <w:rFonts w:ascii="Times New Roman" w:eastAsia="Calibri" w:hAnsi="Times New Roman" w:cs="Times New Roman"/>
          <w:sz w:val="24"/>
          <w:szCs w:val="24"/>
        </w:rPr>
        <w:t xml:space="preserve">was premised on the very case before this Court. </w:t>
      </w:r>
      <w:r w:rsidR="00BB187E">
        <w:rPr>
          <w:rFonts w:ascii="Times New Roman" w:eastAsia="Calibri" w:hAnsi="Times New Roman" w:cs="Times New Roman"/>
          <w:sz w:val="24"/>
          <w:szCs w:val="24"/>
        </w:rPr>
        <w:t xml:space="preserve"> </w:t>
      </w:r>
      <w:r w:rsidR="001D6F7B" w:rsidRPr="001D6F7B">
        <w:rPr>
          <w:rFonts w:ascii="Times New Roman" w:eastAsia="Calibri" w:hAnsi="Times New Roman" w:cs="Times New Roman"/>
          <w:sz w:val="24"/>
          <w:szCs w:val="24"/>
        </w:rPr>
        <w:t xml:space="preserve">As stated in </w:t>
      </w:r>
      <w:proofErr w:type="spellStart"/>
      <w:r w:rsidR="001D6F7B" w:rsidRPr="001D6F7B">
        <w:rPr>
          <w:rFonts w:ascii="Times New Roman" w:hAnsi="Times New Roman" w:cs="Times New Roman"/>
          <w:i/>
          <w:sz w:val="24"/>
          <w:szCs w:val="24"/>
        </w:rPr>
        <w:t>Denhere</w:t>
      </w:r>
      <w:proofErr w:type="spellEnd"/>
      <w:r w:rsidR="0050267C">
        <w:rPr>
          <w:rFonts w:ascii="Times New Roman" w:hAnsi="Times New Roman" w:cs="Times New Roman"/>
          <w:sz w:val="24"/>
          <w:szCs w:val="24"/>
        </w:rPr>
        <w:t xml:space="preserve"> v</w:t>
      </w:r>
      <w:r w:rsidR="001D6F7B" w:rsidRPr="001D6F7B">
        <w:rPr>
          <w:rFonts w:ascii="Times New Roman" w:hAnsi="Times New Roman" w:cs="Times New Roman"/>
          <w:i/>
          <w:sz w:val="24"/>
          <w:szCs w:val="24"/>
        </w:rPr>
        <w:t xml:space="preserve"> </w:t>
      </w:r>
      <w:proofErr w:type="spellStart"/>
      <w:r w:rsidR="001D6F7B" w:rsidRPr="001D6F7B">
        <w:rPr>
          <w:rFonts w:ascii="Times New Roman" w:hAnsi="Times New Roman" w:cs="Times New Roman"/>
          <w:i/>
          <w:sz w:val="24"/>
          <w:szCs w:val="24"/>
        </w:rPr>
        <w:t>Denhere</w:t>
      </w:r>
      <w:proofErr w:type="spellEnd"/>
      <w:r w:rsidR="001D6F7B" w:rsidRPr="001D6F7B">
        <w:rPr>
          <w:rFonts w:ascii="Times New Roman" w:hAnsi="Times New Roman" w:cs="Times New Roman"/>
          <w:i/>
          <w:sz w:val="24"/>
          <w:szCs w:val="24"/>
        </w:rPr>
        <w:t xml:space="preserve"> </w:t>
      </w:r>
      <w:r w:rsidR="001D6F7B" w:rsidRPr="001D6F7B">
        <w:rPr>
          <w:rFonts w:ascii="Times New Roman" w:hAnsi="Times New Roman" w:cs="Times New Roman"/>
          <w:sz w:val="24"/>
          <w:szCs w:val="24"/>
        </w:rPr>
        <w:t>(</w:t>
      </w:r>
      <w:r w:rsidR="001D6F7B" w:rsidRPr="001D6F7B">
        <w:rPr>
          <w:rFonts w:ascii="Times New Roman" w:hAnsi="Times New Roman" w:cs="Times New Roman"/>
          <w:i/>
          <w:sz w:val="24"/>
          <w:szCs w:val="24"/>
        </w:rPr>
        <w:t>supra</w:t>
      </w:r>
      <w:r w:rsidR="001D6F7B" w:rsidRPr="001D6F7B">
        <w:rPr>
          <w:rFonts w:ascii="Times New Roman" w:hAnsi="Times New Roman" w:cs="Times New Roman"/>
          <w:sz w:val="24"/>
          <w:szCs w:val="24"/>
        </w:rPr>
        <w:t xml:space="preserve">) at </w:t>
      </w:r>
      <w:r w:rsidR="001D6F7B">
        <w:rPr>
          <w:rFonts w:ascii="Times New Roman" w:eastAsia="Calibri" w:hAnsi="Times New Roman" w:cs="Times New Roman"/>
          <w:sz w:val="24"/>
          <w:szCs w:val="24"/>
        </w:rPr>
        <w:t>566 D-E :</w:t>
      </w:r>
    </w:p>
    <w:p w:rsidR="00F934A9" w:rsidRPr="001D6F7B" w:rsidRDefault="001D6F7B" w:rsidP="00BB187E">
      <w:pPr>
        <w:pStyle w:val="ListParagraph"/>
        <w:spacing w:after="0" w:line="240" w:lineRule="auto"/>
        <w:ind w:left="990"/>
        <w:jc w:val="both"/>
        <w:rPr>
          <w:rFonts w:ascii="Times New Roman" w:hAnsi="Times New Roman" w:cs="Times New Roman"/>
          <w:sz w:val="24"/>
          <w:szCs w:val="24"/>
        </w:rPr>
      </w:pPr>
      <w:r>
        <w:rPr>
          <w:rFonts w:ascii="Times New Roman" w:eastAsia="Calibri" w:hAnsi="Times New Roman" w:cs="Times New Roman"/>
          <w:sz w:val="24"/>
          <w:szCs w:val="24"/>
        </w:rPr>
        <w:t>“</w:t>
      </w:r>
      <w:r w:rsidR="00F934A9" w:rsidRPr="001D6F7B">
        <w:rPr>
          <w:rFonts w:ascii="Times New Roman" w:hAnsi="Times New Roman" w:cs="Times New Roman"/>
          <w:sz w:val="24"/>
          <w:szCs w:val="24"/>
        </w:rPr>
        <w:t xml:space="preserve">The rule of </w:t>
      </w:r>
      <w:r w:rsidR="00F934A9" w:rsidRPr="001D6F7B">
        <w:rPr>
          <w:rFonts w:ascii="Times New Roman" w:hAnsi="Times New Roman" w:cs="Times New Roman"/>
          <w:i/>
          <w:sz w:val="24"/>
          <w:szCs w:val="24"/>
        </w:rPr>
        <w:t>stare decisis</w:t>
      </w:r>
      <w:r w:rsidR="00F934A9" w:rsidRPr="001D6F7B">
        <w:rPr>
          <w:rFonts w:ascii="Times New Roman" w:hAnsi="Times New Roman" w:cs="Times New Roman"/>
          <w:sz w:val="24"/>
          <w:szCs w:val="24"/>
        </w:rPr>
        <w:t xml:space="preserve"> does not require decision-makers to comply with a decision which is a precedent on a particular point of law in every case regardless of the circumstances. The language of the decision is to be construed not as a statement of abstract propositions without limitation. It must be construed in connection with the particular facts of the case and the specific matters that were in view when the language was used. In other words, every rule of precedent has a set of juristic facts which it governs. The rule of </w:t>
      </w:r>
      <w:r w:rsidR="00F934A9" w:rsidRPr="001D6F7B">
        <w:rPr>
          <w:rFonts w:ascii="Times New Roman" w:hAnsi="Times New Roman" w:cs="Times New Roman"/>
          <w:i/>
          <w:sz w:val="24"/>
          <w:szCs w:val="24"/>
        </w:rPr>
        <w:t>stare decisis</w:t>
      </w:r>
      <w:r w:rsidR="00F934A9" w:rsidRPr="001D6F7B">
        <w:rPr>
          <w:rFonts w:ascii="Times New Roman" w:hAnsi="Times New Roman" w:cs="Times New Roman"/>
          <w:sz w:val="24"/>
          <w:szCs w:val="24"/>
        </w:rPr>
        <w:t xml:space="preserve"> does not require adherence to a decision on a point of law in a case in which the state of facts is entirely different from the juristic facts governed by the precedent.”</w:t>
      </w:r>
    </w:p>
    <w:p w:rsidR="00F934A9" w:rsidRPr="001D39B0" w:rsidRDefault="00F934A9" w:rsidP="00F934A9">
      <w:pPr>
        <w:pStyle w:val="ListParagraph"/>
        <w:spacing w:after="0" w:line="480" w:lineRule="auto"/>
        <w:jc w:val="both"/>
        <w:rPr>
          <w:rFonts w:ascii="Times New Roman" w:eastAsia="Calibri" w:hAnsi="Times New Roman" w:cs="Times New Roman"/>
          <w:sz w:val="24"/>
          <w:szCs w:val="24"/>
        </w:rPr>
      </w:pPr>
    </w:p>
    <w:p w:rsidR="0006235C" w:rsidRDefault="0006235C" w:rsidP="00BB187E">
      <w:pPr>
        <w:pStyle w:val="ListParagraph"/>
        <w:numPr>
          <w:ilvl w:val="0"/>
          <w:numId w:val="6"/>
        </w:numPr>
        <w:spacing w:after="0" w:line="48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first ground of appeal therefore must succeed. </w:t>
      </w:r>
      <w:r w:rsidR="00BB18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court </w:t>
      </w:r>
      <w:r>
        <w:rPr>
          <w:rFonts w:ascii="Times New Roman" w:eastAsia="Calibri" w:hAnsi="Times New Roman" w:cs="Times New Roman"/>
          <w:i/>
          <w:sz w:val="24"/>
          <w:szCs w:val="24"/>
        </w:rPr>
        <w:t xml:space="preserve">a </w:t>
      </w:r>
      <w:r w:rsidRPr="00285BEA">
        <w:rPr>
          <w:rFonts w:ascii="Times New Roman" w:eastAsia="Calibri" w:hAnsi="Times New Roman" w:cs="Times New Roman"/>
          <w:i/>
          <w:sz w:val="24"/>
          <w:szCs w:val="24"/>
        </w:rPr>
        <w:t>quo</w:t>
      </w:r>
      <w:r>
        <w:rPr>
          <w:rFonts w:ascii="Times New Roman" w:eastAsia="Calibri" w:hAnsi="Times New Roman" w:cs="Times New Roman"/>
          <w:sz w:val="24"/>
          <w:szCs w:val="24"/>
        </w:rPr>
        <w:t>’s fi</w:t>
      </w:r>
      <w:r w:rsidR="00E96B89">
        <w:rPr>
          <w:rFonts w:ascii="Times New Roman" w:eastAsia="Calibri" w:hAnsi="Times New Roman" w:cs="Times New Roman"/>
          <w:sz w:val="24"/>
          <w:szCs w:val="24"/>
        </w:rPr>
        <w:t xml:space="preserve">nding that </w:t>
      </w:r>
      <w:r>
        <w:rPr>
          <w:rFonts w:ascii="Times New Roman" w:eastAsia="Calibri" w:hAnsi="Times New Roman" w:cs="Times New Roman"/>
          <w:sz w:val="24"/>
          <w:szCs w:val="24"/>
        </w:rPr>
        <w:t>BDO was exercising administrative author</w:t>
      </w:r>
      <w:r w:rsidRPr="008361E3">
        <w:rPr>
          <w:rFonts w:ascii="Times New Roman" w:eastAsia="Calibri" w:hAnsi="Times New Roman" w:cs="Times New Roman"/>
          <w:sz w:val="24"/>
          <w:szCs w:val="24"/>
        </w:rPr>
        <w:t>ity</w:t>
      </w:r>
      <w:r>
        <w:rPr>
          <w:rFonts w:ascii="Times New Roman" w:eastAsia="Calibri" w:hAnsi="Times New Roman" w:cs="Times New Roman"/>
          <w:sz w:val="24"/>
          <w:szCs w:val="24"/>
        </w:rPr>
        <w:t xml:space="preserve"> subject to review when it carried out the forensic audit for the </w:t>
      </w:r>
      <w:r w:rsidR="00B43646">
        <w:rPr>
          <w:rFonts w:ascii="Times New Roman" w:eastAsia="Calibri" w:hAnsi="Times New Roman" w:cs="Times New Roman"/>
          <w:sz w:val="24"/>
          <w:szCs w:val="24"/>
        </w:rPr>
        <w:t>Auditor-General</w:t>
      </w:r>
      <w:r w:rsidRPr="0006235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was premised on an interpretation of constitutional </w:t>
      </w:r>
      <w:r>
        <w:rPr>
          <w:rFonts w:ascii="Times New Roman" w:eastAsia="Calibri" w:hAnsi="Times New Roman" w:cs="Times New Roman"/>
          <w:sz w:val="24"/>
          <w:szCs w:val="24"/>
        </w:rPr>
        <w:lastRenderedPageBreak/>
        <w:t xml:space="preserve">provisions. </w:t>
      </w:r>
      <w:r w:rsidR="00BB18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court </w:t>
      </w:r>
      <w:r w:rsidRPr="00BB187E">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did not have the jurisdiction to engage any of the constitutional provisions in order to arrive at the very simple question whether BDO fell under the ambit of </w:t>
      </w:r>
      <w:r w:rsidR="00E96B89">
        <w:rPr>
          <w:rFonts w:ascii="Times New Roman" w:eastAsia="Calibri" w:hAnsi="Times New Roman" w:cs="Times New Roman"/>
          <w:sz w:val="24"/>
          <w:szCs w:val="24"/>
        </w:rPr>
        <w:t>the</w:t>
      </w:r>
      <w:r w:rsidR="00330B9D">
        <w:rPr>
          <w:rFonts w:ascii="Times New Roman" w:eastAsia="Calibri" w:hAnsi="Times New Roman" w:cs="Times New Roman"/>
          <w:sz w:val="24"/>
          <w:szCs w:val="24"/>
        </w:rPr>
        <w:t xml:space="preserve"> AJA</w:t>
      </w:r>
      <w:r>
        <w:rPr>
          <w:rFonts w:ascii="Times New Roman" w:eastAsia="Calibri" w:hAnsi="Times New Roman" w:cs="Times New Roman"/>
          <w:sz w:val="24"/>
          <w:szCs w:val="24"/>
        </w:rPr>
        <w:t xml:space="preserve"> and therefore whether its forensic audit was subject to review.</w:t>
      </w:r>
    </w:p>
    <w:p w:rsidR="00BB187E" w:rsidRDefault="00BB187E" w:rsidP="00BB187E">
      <w:pPr>
        <w:pStyle w:val="ListParagraph"/>
        <w:spacing w:after="0" w:line="240" w:lineRule="auto"/>
        <w:ind w:left="360"/>
        <w:jc w:val="both"/>
        <w:rPr>
          <w:rFonts w:ascii="Times New Roman" w:eastAsia="Calibri" w:hAnsi="Times New Roman" w:cs="Times New Roman"/>
          <w:sz w:val="24"/>
          <w:szCs w:val="24"/>
        </w:rPr>
      </w:pPr>
    </w:p>
    <w:p w:rsidR="0006235C" w:rsidRDefault="0006235C" w:rsidP="00BB187E">
      <w:pPr>
        <w:pStyle w:val="ListParagraph"/>
        <w:numPr>
          <w:ilvl w:val="0"/>
          <w:numId w:val="6"/>
        </w:numPr>
        <w:spacing w:after="0" w:line="480"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above i</w:t>
      </w:r>
      <w:r w:rsidRPr="0006235C">
        <w:rPr>
          <w:rFonts w:ascii="Times New Roman" w:eastAsia="Calibri" w:hAnsi="Times New Roman" w:cs="Times New Roman"/>
          <w:sz w:val="24"/>
          <w:szCs w:val="24"/>
        </w:rPr>
        <w:t>ssue</w:t>
      </w:r>
      <w:r>
        <w:rPr>
          <w:rFonts w:ascii="Times New Roman" w:eastAsia="Calibri" w:hAnsi="Times New Roman" w:cs="Times New Roman"/>
          <w:sz w:val="24"/>
          <w:szCs w:val="24"/>
        </w:rPr>
        <w:t xml:space="preserve"> is dispositive of this appeal regardless of the other issues a</w:t>
      </w:r>
      <w:r w:rsidR="009C671D">
        <w:rPr>
          <w:rFonts w:ascii="Times New Roman" w:eastAsia="Calibri" w:hAnsi="Times New Roman" w:cs="Times New Roman"/>
          <w:sz w:val="24"/>
          <w:szCs w:val="24"/>
        </w:rPr>
        <w:t>d</w:t>
      </w:r>
      <w:r>
        <w:rPr>
          <w:rFonts w:ascii="Times New Roman" w:eastAsia="Calibri" w:hAnsi="Times New Roman" w:cs="Times New Roman"/>
          <w:sz w:val="24"/>
          <w:szCs w:val="24"/>
        </w:rPr>
        <w:t xml:space="preserve">verted to by the parties. </w:t>
      </w:r>
    </w:p>
    <w:p w:rsidR="00F63E05" w:rsidRPr="00F63E05" w:rsidRDefault="00F63E05" w:rsidP="00F63E05">
      <w:pPr>
        <w:pStyle w:val="ListParagraph"/>
        <w:rPr>
          <w:rFonts w:ascii="Times New Roman" w:eastAsia="Calibri" w:hAnsi="Times New Roman" w:cs="Times New Roman"/>
          <w:sz w:val="24"/>
          <w:szCs w:val="24"/>
        </w:rPr>
      </w:pPr>
    </w:p>
    <w:p w:rsidR="00F934A9" w:rsidRDefault="00F934A9" w:rsidP="00F63E05">
      <w:pPr>
        <w:pStyle w:val="ListParagraph"/>
        <w:numPr>
          <w:ilvl w:val="0"/>
          <w:numId w:val="6"/>
        </w:numPr>
        <w:spacing w:after="0" w:line="480" w:lineRule="auto"/>
        <w:ind w:left="360" w:hanging="450"/>
        <w:jc w:val="both"/>
        <w:rPr>
          <w:rFonts w:ascii="Times New Roman" w:eastAsia="Calibri" w:hAnsi="Times New Roman" w:cs="Times New Roman"/>
          <w:sz w:val="24"/>
          <w:szCs w:val="24"/>
        </w:rPr>
      </w:pPr>
      <w:r w:rsidRPr="001344CA">
        <w:rPr>
          <w:rFonts w:ascii="Times New Roman" w:eastAsia="Calibri" w:hAnsi="Times New Roman" w:cs="Times New Roman"/>
          <w:sz w:val="24"/>
          <w:szCs w:val="24"/>
        </w:rPr>
        <w:t xml:space="preserve">To allow the judgment of the court </w:t>
      </w:r>
      <w:r w:rsidRPr="001344CA">
        <w:rPr>
          <w:rFonts w:ascii="Times New Roman" w:eastAsia="Calibri" w:hAnsi="Times New Roman" w:cs="Times New Roman"/>
          <w:i/>
          <w:sz w:val="24"/>
          <w:szCs w:val="24"/>
        </w:rPr>
        <w:t>a quo</w:t>
      </w:r>
      <w:r w:rsidRPr="001344CA">
        <w:rPr>
          <w:rFonts w:ascii="Times New Roman" w:eastAsia="Calibri" w:hAnsi="Times New Roman" w:cs="Times New Roman"/>
          <w:sz w:val="24"/>
          <w:szCs w:val="24"/>
        </w:rPr>
        <w:t xml:space="preserve"> to stand, despite the Constitutional Court’s unequivocal censure and characterization of the judgment</w:t>
      </w:r>
      <w:r w:rsidRPr="001344CA">
        <w:rPr>
          <w:rFonts w:ascii="Times New Roman" w:eastAsia="Calibri" w:hAnsi="Times New Roman" w:cs="Times New Roman"/>
          <w:i/>
          <w:sz w:val="24"/>
          <w:szCs w:val="24"/>
        </w:rPr>
        <w:t xml:space="preserve"> a quo</w:t>
      </w:r>
      <w:r>
        <w:rPr>
          <w:rFonts w:ascii="Times New Roman" w:eastAsia="Calibri" w:hAnsi="Times New Roman" w:cs="Times New Roman"/>
          <w:sz w:val="24"/>
          <w:szCs w:val="24"/>
        </w:rPr>
        <w:t xml:space="preserve"> </w:t>
      </w:r>
      <w:r w:rsidRPr="001344CA">
        <w:rPr>
          <w:rFonts w:ascii="Times New Roman" w:eastAsia="Calibri" w:hAnsi="Times New Roman" w:cs="Times New Roman"/>
          <w:sz w:val="24"/>
          <w:szCs w:val="24"/>
        </w:rPr>
        <w:t>as reproachable, would constitute a grave judicial impropriety.</w:t>
      </w:r>
    </w:p>
    <w:p w:rsidR="00F63E05" w:rsidRPr="00F63E05" w:rsidRDefault="00F63E05" w:rsidP="00F63E05">
      <w:pPr>
        <w:pStyle w:val="ListParagraph"/>
        <w:rPr>
          <w:rFonts w:ascii="Times New Roman" w:eastAsia="Calibri" w:hAnsi="Times New Roman" w:cs="Times New Roman"/>
          <w:sz w:val="24"/>
          <w:szCs w:val="24"/>
        </w:rPr>
      </w:pPr>
    </w:p>
    <w:p w:rsidR="00285BEA" w:rsidRPr="00C17BE5" w:rsidRDefault="00285BEA" w:rsidP="00F63E05">
      <w:pPr>
        <w:pStyle w:val="ListParagraph"/>
        <w:numPr>
          <w:ilvl w:val="0"/>
          <w:numId w:val="6"/>
        </w:numPr>
        <w:spacing w:after="0" w:line="480" w:lineRule="auto"/>
        <w:ind w:left="360"/>
        <w:jc w:val="both"/>
        <w:rPr>
          <w:rFonts w:ascii="Times New Roman" w:eastAsia="Calibri" w:hAnsi="Times New Roman" w:cs="Times New Roman"/>
          <w:sz w:val="24"/>
          <w:szCs w:val="24"/>
        </w:rPr>
      </w:pPr>
      <w:r>
        <w:rPr>
          <w:rFonts w:ascii="Times New Roman" w:hAnsi="Times New Roman" w:cs="Times New Roman"/>
          <w:bCs/>
          <w:sz w:val="24"/>
          <w:szCs w:val="24"/>
        </w:rPr>
        <w:t>Regarding costs, the appellants, having been successful are entitled to costs.</w:t>
      </w:r>
    </w:p>
    <w:p w:rsidR="00C17BE5" w:rsidRPr="00C17BE5" w:rsidRDefault="00C17BE5" w:rsidP="00C17BE5">
      <w:pPr>
        <w:pStyle w:val="ListParagraph"/>
        <w:rPr>
          <w:rFonts w:ascii="Times New Roman" w:eastAsia="Calibri" w:hAnsi="Times New Roman" w:cs="Times New Roman"/>
          <w:sz w:val="24"/>
          <w:szCs w:val="24"/>
        </w:rPr>
      </w:pPr>
    </w:p>
    <w:p w:rsidR="00F934A9" w:rsidRPr="001D39B0" w:rsidRDefault="00F934A9" w:rsidP="00C17BE5">
      <w:pPr>
        <w:pStyle w:val="ListParagraph"/>
        <w:numPr>
          <w:ilvl w:val="0"/>
          <w:numId w:val="6"/>
        </w:numPr>
        <w:spacing w:after="0" w:line="480" w:lineRule="auto"/>
        <w:ind w:left="360"/>
        <w:jc w:val="both"/>
        <w:rPr>
          <w:rFonts w:ascii="Times New Roman" w:eastAsia="Calibri" w:hAnsi="Times New Roman" w:cs="Times New Roman"/>
          <w:sz w:val="24"/>
          <w:szCs w:val="24"/>
        </w:rPr>
      </w:pPr>
      <w:r w:rsidRPr="001D39B0">
        <w:rPr>
          <w:rFonts w:ascii="Times New Roman" w:eastAsia="Calibri" w:hAnsi="Times New Roman" w:cs="Times New Roman"/>
          <w:sz w:val="24"/>
          <w:szCs w:val="24"/>
        </w:rPr>
        <w:t>Accordingly, it is ordered as follows:</w:t>
      </w:r>
    </w:p>
    <w:p w:rsidR="00F934A9" w:rsidRDefault="00F934A9" w:rsidP="00C17BE5">
      <w:pPr>
        <w:pStyle w:val="ListParagraph"/>
        <w:numPr>
          <w:ilvl w:val="2"/>
          <w:numId w:val="5"/>
        </w:numPr>
        <w:spacing w:after="0" w:line="240" w:lineRule="auto"/>
        <w:jc w:val="both"/>
        <w:rPr>
          <w:rFonts w:ascii="Times New Roman" w:eastAsia="Calibri" w:hAnsi="Times New Roman" w:cs="Times New Roman"/>
          <w:sz w:val="24"/>
          <w:szCs w:val="24"/>
        </w:rPr>
      </w:pPr>
      <w:r w:rsidRPr="001D39B0">
        <w:rPr>
          <w:rFonts w:ascii="Times New Roman" w:eastAsia="Calibri" w:hAnsi="Times New Roman" w:cs="Times New Roman"/>
          <w:sz w:val="24"/>
          <w:szCs w:val="24"/>
        </w:rPr>
        <w:t xml:space="preserve">The </w:t>
      </w:r>
      <w:r w:rsidR="004726F2">
        <w:rPr>
          <w:rFonts w:ascii="Times New Roman" w:eastAsia="Calibri" w:hAnsi="Times New Roman" w:cs="Times New Roman"/>
          <w:sz w:val="24"/>
          <w:szCs w:val="24"/>
        </w:rPr>
        <w:t>appeal be and is hereby allowe</w:t>
      </w:r>
      <w:r w:rsidR="00AC7676">
        <w:rPr>
          <w:rFonts w:ascii="Times New Roman" w:eastAsia="Calibri" w:hAnsi="Times New Roman" w:cs="Times New Roman"/>
          <w:sz w:val="24"/>
          <w:szCs w:val="24"/>
        </w:rPr>
        <w:t>d</w:t>
      </w:r>
      <w:r w:rsidR="00285BEA">
        <w:rPr>
          <w:rFonts w:ascii="Times New Roman" w:eastAsia="Calibri" w:hAnsi="Times New Roman" w:cs="Times New Roman"/>
          <w:sz w:val="24"/>
          <w:szCs w:val="24"/>
        </w:rPr>
        <w:t xml:space="preserve"> with costs</w:t>
      </w:r>
      <w:r w:rsidR="00AC7676">
        <w:rPr>
          <w:rFonts w:ascii="Times New Roman" w:eastAsia="Calibri" w:hAnsi="Times New Roman" w:cs="Times New Roman"/>
          <w:sz w:val="24"/>
          <w:szCs w:val="24"/>
        </w:rPr>
        <w:t>.</w:t>
      </w:r>
    </w:p>
    <w:p w:rsidR="00C17BE5" w:rsidRPr="001D39B0" w:rsidRDefault="00C17BE5" w:rsidP="00C17BE5">
      <w:pPr>
        <w:pStyle w:val="ListParagraph"/>
        <w:spacing w:after="0" w:line="240" w:lineRule="auto"/>
        <w:ind w:left="1080"/>
        <w:jc w:val="both"/>
        <w:rPr>
          <w:rFonts w:ascii="Times New Roman" w:eastAsia="Calibri" w:hAnsi="Times New Roman" w:cs="Times New Roman"/>
          <w:sz w:val="24"/>
          <w:szCs w:val="24"/>
        </w:rPr>
      </w:pPr>
    </w:p>
    <w:p w:rsidR="00F934A9" w:rsidRDefault="00AC7676" w:rsidP="00C17BE5">
      <w:pPr>
        <w:pStyle w:val="ListParagraph"/>
        <w:numPr>
          <w:ilvl w:val="2"/>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934A9" w:rsidRPr="001D39B0">
        <w:rPr>
          <w:rFonts w:ascii="Times New Roman" w:eastAsia="Calibri" w:hAnsi="Times New Roman" w:cs="Times New Roman"/>
          <w:sz w:val="24"/>
          <w:szCs w:val="24"/>
        </w:rPr>
        <w:t>he judgm</w:t>
      </w:r>
      <w:r w:rsidR="00EC1A7A">
        <w:rPr>
          <w:rFonts w:ascii="Times New Roman" w:eastAsia="Calibri" w:hAnsi="Times New Roman" w:cs="Times New Roman"/>
          <w:sz w:val="24"/>
          <w:szCs w:val="24"/>
        </w:rPr>
        <w:t>ent of the High Court in HH 405/</w:t>
      </w:r>
      <w:r w:rsidR="00F934A9" w:rsidRPr="001D39B0">
        <w:rPr>
          <w:rFonts w:ascii="Times New Roman" w:eastAsia="Calibri" w:hAnsi="Times New Roman" w:cs="Times New Roman"/>
          <w:sz w:val="24"/>
          <w:szCs w:val="24"/>
        </w:rPr>
        <w:t>20 be and is hereby set aside.</w:t>
      </w:r>
    </w:p>
    <w:p w:rsidR="00C17BE5" w:rsidRPr="00C17BE5" w:rsidRDefault="00C17BE5" w:rsidP="00C17BE5">
      <w:pPr>
        <w:pStyle w:val="ListParagraph"/>
        <w:spacing w:line="240" w:lineRule="auto"/>
        <w:rPr>
          <w:rFonts w:ascii="Times New Roman" w:eastAsia="Calibri" w:hAnsi="Times New Roman" w:cs="Times New Roman"/>
          <w:sz w:val="24"/>
          <w:szCs w:val="24"/>
        </w:rPr>
      </w:pPr>
    </w:p>
    <w:p w:rsidR="00F934A9" w:rsidRPr="001D39B0" w:rsidRDefault="00F934A9" w:rsidP="00C17BE5">
      <w:pPr>
        <w:pStyle w:val="ListParagraph"/>
        <w:numPr>
          <w:ilvl w:val="2"/>
          <w:numId w:val="5"/>
        </w:numPr>
        <w:spacing w:after="0" w:line="240" w:lineRule="auto"/>
        <w:jc w:val="both"/>
        <w:rPr>
          <w:rFonts w:ascii="Times New Roman" w:eastAsia="Calibri" w:hAnsi="Times New Roman" w:cs="Times New Roman"/>
          <w:sz w:val="24"/>
          <w:szCs w:val="24"/>
        </w:rPr>
      </w:pPr>
      <w:r w:rsidRPr="001D39B0">
        <w:rPr>
          <w:rFonts w:ascii="Times New Roman" w:eastAsia="Calibri" w:hAnsi="Times New Roman" w:cs="Times New Roman"/>
          <w:sz w:val="24"/>
          <w:szCs w:val="24"/>
        </w:rPr>
        <w:t xml:space="preserve">The </w:t>
      </w:r>
      <w:r w:rsidR="00285BEA">
        <w:rPr>
          <w:rFonts w:ascii="Times New Roman" w:eastAsia="Calibri" w:hAnsi="Times New Roman" w:cs="Times New Roman"/>
          <w:sz w:val="24"/>
          <w:szCs w:val="24"/>
        </w:rPr>
        <w:t xml:space="preserve">case be and </w:t>
      </w:r>
      <w:r w:rsidRPr="001D39B0">
        <w:rPr>
          <w:rFonts w:ascii="Times New Roman" w:eastAsia="Calibri" w:hAnsi="Times New Roman" w:cs="Times New Roman"/>
          <w:sz w:val="24"/>
          <w:szCs w:val="24"/>
        </w:rPr>
        <w:t xml:space="preserve">is hereby remitted to the High Court for a hearing </w:t>
      </w:r>
      <w:r w:rsidRPr="001D39B0">
        <w:rPr>
          <w:rFonts w:ascii="Times New Roman" w:eastAsia="Calibri" w:hAnsi="Times New Roman" w:cs="Times New Roman"/>
          <w:i/>
          <w:sz w:val="24"/>
          <w:szCs w:val="24"/>
        </w:rPr>
        <w:t>de novo</w:t>
      </w:r>
      <w:r w:rsidR="00AC7676">
        <w:rPr>
          <w:rFonts w:ascii="Times New Roman" w:eastAsia="Calibri" w:hAnsi="Times New Roman" w:cs="Times New Roman"/>
          <w:sz w:val="24"/>
          <w:szCs w:val="24"/>
        </w:rPr>
        <w:t>.</w:t>
      </w:r>
    </w:p>
    <w:p w:rsidR="00F934A9" w:rsidRPr="001D39B0" w:rsidRDefault="00F934A9" w:rsidP="00F934A9">
      <w:pPr>
        <w:spacing w:after="0" w:line="360" w:lineRule="auto"/>
        <w:rPr>
          <w:rFonts w:ascii="Times New Roman" w:eastAsia="Calibri" w:hAnsi="Times New Roman" w:cs="Times New Roman"/>
          <w:sz w:val="24"/>
          <w:szCs w:val="24"/>
        </w:rPr>
      </w:pPr>
    </w:p>
    <w:p w:rsidR="00F934A9" w:rsidRDefault="00F934A9" w:rsidP="00F934A9">
      <w:pPr>
        <w:spacing w:line="360" w:lineRule="auto"/>
        <w:jc w:val="both"/>
        <w:rPr>
          <w:rFonts w:ascii="Times New Roman" w:eastAsia="Calibri" w:hAnsi="Times New Roman" w:cs="Times New Roman"/>
          <w:b/>
          <w:sz w:val="24"/>
          <w:szCs w:val="24"/>
          <w:lang w:val="en-GB"/>
        </w:rPr>
      </w:pPr>
    </w:p>
    <w:p w:rsidR="00671422" w:rsidRPr="001D39B0" w:rsidRDefault="00671422" w:rsidP="00F934A9">
      <w:pPr>
        <w:spacing w:line="360" w:lineRule="auto"/>
        <w:jc w:val="both"/>
        <w:rPr>
          <w:rFonts w:ascii="Times New Roman" w:eastAsia="Calibri" w:hAnsi="Times New Roman" w:cs="Times New Roman"/>
          <w:b/>
          <w:sz w:val="24"/>
          <w:szCs w:val="24"/>
          <w:lang w:val="en-GB"/>
        </w:rPr>
      </w:pPr>
    </w:p>
    <w:p w:rsidR="00F934A9" w:rsidRPr="001D39B0" w:rsidRDefault="00F934A9" w:rsidP="00F934A9">
      <w:pPr>
        <w:spacing w:line="360" w:lineRule="auto"/>
        <w:ind w:left="720" w:firstLine="720"/>
        <w:jc w:val="both"/>
        <w:rPr>
          <w:rFonts w:ascii="Times New Roman" w:eastAsia="Calibri" w:hAnsi="Times New Roman" w:cs="Times New Roman"/>
          <w:sz w:val="24"/>
          <w:szCs w:val="24"/>
          <w:lang w:val="en-GB"/>
        </w:rPr>
      </w:pPr>
      <w:r w:rsidRPr="001D39B0">
        <w:rPr>
          <w:rFonts w:ascii="Times New Roman" w:eastAsia="Calibri" w:hAnsi="Times New Roman" w:cs="Times New Roman"/>
          <w:b/>
          <w:sz w:val="24"/>
          <w:szCs w:val="24"/>
          <w:lang w:val="en-GB"/>
        </w:rPr>
        <w:t>UCHENA JA</w:t>
      </w:r>
      <w:r w:rsidRPr="001D39B0">
        <w:rPr>
          <w:rFonts w:ascii="Times New Roman" w:eastAsia="Calibri" w:hAnsi="Times New Roman" w:cs="Times New Roman"/>
          <w:b/>
          <w:sz w:val="24"/>
          <w:szCs w:val="24"/>
          <w:lang w:val="en-GB"/>
        </w:rPr>
        <w:tab/>
      </w:r>
      <w:r w:rsidRPr="001D39B0">
        <w:rPr>
          <w:rFonts w:ascii="Times New Roman" w:eastAsia="Calibri" w:hAnsi="Times New Roman" w:cs="Times New Roman"/>
          <w:b/>
          <w:sz w:val="24"/>
          <w:szCs w:val="24"/>
          <w:lang w:val="en-GB"/>
        </w:rPr>
        <w:tab/>
      </w:r>
      <w:r w:rsidRPr="001D39B0">
        <w:rPr>
          <w:rFonts w:ascii="Times New Roman" w:eastAsia="Calibri" w:hAnsi="Times New Roman" w:cs="Times New Roman"/>
          <w:sz w:val="24"/>
          <w:szCs w:val="24"/>
          <w:lang w:val="en-GB"/>
        </w:rPr>
        <w:t xml:space="preserve">:  </w:t>
      </w:r>
      <w:r w:rsidRPr="001D39B0">
        <w:rPr>
          <w:rFonts w:ascii="Times New Roman" w:eastAsia="Calibri" w:hAnsi="Times New Roman" w:cs="Times New Roman"/>
          <w:sz w:val="24"/>
          <w:szCs w:val="24"/>
          <w:lang w:val="en-GB"/>
        </w:rPr>
        <w:tab/>
        <w:t>I agree</w:t>
      </w:r>
    </w:p>
    <w:p w:rsidR="00F934A9" w:rsidRPr="001D39B0" w:rsidRDefault="00F934A9" w:rsidP="006530B3">
      <w:pPr>
        <w:spacing w:after="0" w:line="240" w:lineRule="auto"/>
        <w:ind w:left="720" w:firstLine="720"/>
        <w:jc w:val="both"/>
        <w:rPr>
          <w:rFonts w:ascii="Times New Roman" w:eastAsia="Calibri" w:hAnsi="Times New Roman" w:cs="Times New Roman"/>
          <w:sz w:val="24"/>
          <w:szCs w:val="24"/>
          <w:lang w:val="en-GB"/>
        </w:rPr>
      </w:pPr>
    </w:p>
    <w:p w:rsidR="00F934A9" w:rsidRPr="001D39B0" w:rsidRDefault="00F934A9" w:rsidP="00F934A9">
      <w:pPr>
        <w:spacing w:line="360" w:lineRule="auto"/>
        <w:jc w:val="both"/>
        <w:rPr>
          <w:rFonts w:ascii="Times New Roman" w:eastAsia="Calibri" w:hAnsi="Times New Roman" w:cs="Times New Roman"/>
          <w:sz w:val="24"/>
          <w:szCs w:val="24"/>
          <w:lang w:val="en-GB"/>
        </w:rPr>
      </w:pPr>
    </w:p>
    <w:p w:rsidR="00F934A9" w:rsidRDefault="00F934A9" w:rsidP="00F934A9">
      <w:pPr>
        <w:spacing w:line="360" w:lineRule="auto"/>
        <w:ind w:left="720" w:firstLine="720"/>
        <w:jc w:val="both"/>
        <w:rPr>
          <w:rFonts w:ascii="Times New Roman" w:eastAsia="Calibri" w:hAnsi="Times New Roman" w:cs="Times New Roman"/>
          <w:sz w:val="24"/>
          <w:szCs w:val="24"/>
          <w:lang w:val="en-GB"/>
        </w:rPr>
      </w:pPr>
      <w:r w:rsidRPr="001D39B0">
        <w:rPr>
          <w:rFonts w:ascii="Times New Roman" w:eastAsia="Calibri" w:hAnsi="Times New Roman" w:cs="Times New Roman"/>
          <w:b/>
          <w:sz w:val="24"/>
          <w:szCs w:val="24"/>
          <w:lang w:val="en-GB"/>
        </w:rPr>
        <w:t>KUDYA JA</w:t>
      </w:r>
      <w:r w:rsidRPr="001D39B0">
        <w:rPr>
          <w:rFonts w:ascii="Times New Roman" w:eastAsia="Calibri" w:hAnsi="Times New Roman" w:cs="Times New Roman"/>
          <w:b/>
          <w:sz w:val="24"/>
          <w:szCs w:val="24"/>
          <w:lang w:val="en-GB"/>
        </w:rPr>
        <w:tab/>
      </w:r>
      <w:r w:rsidRPr="001D39B0">
        <w:rPr>
          <w:rFonts w:ascii="Times New Roman" w:eastAsia="Calibri" w:hAnsi="Times New Roman" w:cs="Times New Roman"/>
          <w:b/>
          <w:sz w:val="24"/>
          <w:szCs w:val="24"/>
          <w:lang w:val="en-GB"/>
        </w:rPr>
        <w:tab/>
      </w:r>
      <w:r w:rsidRPr="001D39B0">
        <w:rPr>
          <w:rFonts w:ascii="Times New Roman" w:eastAsia="Calibri" w:hAnsi="Times New Roman" w:cs="Times New Roman"/>
          <w:sz w:val="24"/>
          <w:szCs w:val="24"/>
          <w:lang w:val="en-GB"/>
        </w:rPr>
        <w:t xml:space="preserve">: </w:t>
      </w:r>
      <w:r w:rsidRPr="001D39B0">
        <w:rPr>
          <w:rFonts w:ascii="Times New Roman" w:eastAsia="Calibri" w:hAnsi="Times New Roman" w:cs="Times New Roman"/>
          <w:sz w:val="24"/>
          <w:szCs w:val="24"/>
          <w:lang w:val="en-GB"/>
        </w:rPr>
        <w:tab/>
        <w:t>I agree</w:t>
      </w:r>
    </w:p>
    <w:p w:rsidR="00671422" w:rsidRDefault="00671422" w:rsidP="00F934A9">
      <w:pPr>
        <w:spacing w:line="360" w:lineRule="auto"/>
        <w:ind w:left="720" w:firstLine="720"/>
        <w:jc w:val="both"/>
        <w:rPr>
          <w:rFonts w:ascii="Times New Roman" w:eastAsia="Calibri" w:hAnsi="Times New Roman" w:cs="Times New Roman"/>
          <w:sz w:val="24"/>
          <w:szCs w:val="24"/>
          <w:lang w:val="en-GB"/>
        </w:rPr>
      </w:pPr>
      <w:bookmarkStart w:id="0" w:name="_GoBack"/>
      <w:bookmarkEnd w:id="0"/>
    </w:p>
    <w:p w:rsidR="00671422" w:rsidRDefault="00671422" w:rsidP="00671422">
      <w:pPr>
        <w:spacing w:after="0" w:line="240" w:lineRule="auto"/>
        <w:ind w:left="720" w:firstLine="720"/>
        <w:jc w:val="both"/>
        <w:rPr>
          <w:rFonts w:ascii="Times New Roman" w:eastAsia="Calibri" w:hAnsi="Times New Roman" w:cs="Times New Roman"/>
          <w:sz w:val="24"/>
          <w:szCs w:val="24"/>
          <w:lang w:val="en-GB"/>
        </w:rPr>
      </w:pPr>
    </w:p>
    <w:p w:rsidR="006530B3" w:rsidRPr="001D39B0" w:rsidRDefault="006530B3" w:rsidP="00F934A9">
      <w:pPr>
        <w:spacing w:line="360" w:lineRule="auto"/>
        <w:ind w:left="720" w:firstLine="720"/>
        <w:jc w:val="both"/>
        <w:rPr>
          <w:rFonts w:ascii="Times New Roman" w:eastAsia="Calibri" w:hAnsi="Times New Roman" w:cs="Times New Roman"/>
          <w:sz w:val="24"/>
          <w:szCs w:val="24"/>
          <w:lang w:val="en-GB"/>
        </w:rPr>
      </w:pPr>
    </w:p>
    <w:p w:rsidR="00F934A9" w:rsidRPr="001D39B0" w:rsidRDefault="00F934A9" w:rsidP="00175AD1">
      <w:pPr>
        <w:spacing w:after="0" w:line="480" w:lineRule="auto"/>
        <w:rPr>
          <w:rFonts w:ascii="Times New Roman" w:eastAsia="Calibri" w:hAnsi="Times New Roman" w:cs="Times New Roman"/>
          <w:i/>
          <w:sz w:val="24"/>
          <w:szCs w:val="24"/>
        </w:rPr>
      </w:pPr>
      <w:proofErr w:type="spellStart"/>
      <w:r w:rsidRPr="001D39B0">
        <w:rPr>
          <w:rFonts w:ascii="Times New Roman" w:eastAsia="Calibri" w:hAnsi="Times New Roman" w:cs="Times New Roman"/>
          <w:i/>
          <w:iCs/>
          <w:sz w:val="24"/>
          <w:szCs w:val="24"/>
        </w:rPr>
        <w:t>Chambati</w:t>
      </w:r>
      <w:proofErr w:type="spellEnd"/>
      <w:r w:rsidRPr="001D39B0">
        <w:rPr>
          <w:rFonts w:ascii="Times New Roman" w:eastAsia="Calibri" w:hAnsi="Times New Roman" w:cs="Times New Roman"/>
          <w:i/>
          <w:iCs/>
          <w:sz w:val="24"/>
          <w:szCs w:val="24"/>
        </w:rPr>
        <w:t xml:space="preserve">, </w:t>
      </w:r>
      <w:proofErr w:type="spellStart"/>
      <w:r w:rsidRPr="001D39B0">
        <w:rPr>
          <w:rFonts w:ascii="Times New Roman" w:eastAsia="Calibri" w:hAnsi="Times New Roman" w:cs="Times New Roman"/>
          <w:i/>
          <w:iCs/>
          <w:sz w:val="24"/>
          <w:szCs w:val="24"/>
        </w:rPr>
        <w:t>Mataka</w:t>
      </w:r>
      <w:proofErr w:type="spellEnd"/>
      <w:r w:rsidRPr="001D39B0">
        <w:rPr>
          <w:rFonts w:ascii="Times New Roman" w:eastAsia="Calibri" w:hAnsi="Times New Roman" w:cs="Times New Roman"/>
          <w:i/>
          <w:iCs/>
          <w:sz w:val="24"/>
          <w:szCs w:val="24"/>
        </w:rPr>
        <w:t xml:space="preserve"> &amp; </w:t>
      </w:r>
      <w:proofErr w:type="spellStart"/>
      <w:r w:rsidRPr="001D39B0">
        <w:rPr>
          <w:rFonts w:ascii="Times New Roman" w:eastAsia="Calibri" w:hAnsi="Times New Roman" w:cs="Times New Roman"/>
          <w:i/>
          <w:iCs/>
          <w:sz w:val="24"/>
          <w:szCs w:val="24"/>
        </w:rPr>
        <w:t>Makonese</w:t>
      </w:r>
      <w:proofErr w:type="spellEnd"/>
      <w:r w:rsidRPr="001D39B0">
        <w:rPr>
          <w:rFonts w:ascii="Times New Roman" w:eastAsia="Calibri" w:hAnsi="Times New Roman" w:cs="Times New Roman"/>
          <w:i/>
          <w:iCs/>
          <w:sz w:val="24"/>
          <w:szCs w:val="24"/>
        </w:rPr>
        <w:t xml:space="preserve"> Attorneys</w:t>
      </w:r>
      <w:r w:rsidRPr="001D39B0">
        <w:rPr>
          <w:rFonts w:ascii="Times New Roman" w:eastAsia="Calibri" w:hAnsi="Times New Roman" w:cs="Times New Roman"/>
          <w:i/>
          <w:sz w:val="24"/>
          <w:szCs w:val="24"/>
        </w:rPr>
        <w:t xml:space="preserve">, </w:t>
      </w:r>
      <w:r w:rsidR="00B43646">
        <w:rPr>
          <w:rFonts w:ascii="Times New Roman" w:eastAsia="Calibri" w:hAnsi="Times New Roman" w:cs="Times New Roman"/>
          <w:iCs/>
          <w:sz w:val="24"/>
          <w:szCs w:val="24"/>
        </w:rPr>
        <w:t>Auditor-General</w:t>
      </w:r>
      <w:r w:rsidRPr="001D39B0">
        <w:rPr>
          <w:rFonts w:ascii="Times New Roman" w:eastAsia="Calibri" w:hAnsi="Times New Roman" w:cs="Times New Roman"/>
          <w:iCs/>
          <w:sz w:val="24"/>
          <w:szCs w:val="24"/>
        </w:rPr>
        <w:t>’s legal practitioners</w:t>
      </w:r>
    </w:p>
    <w:p w:rsidR="00F934A9" w:rsidRPr="001D39B0" w:rsidRDefault="00F934A9" w:rsidP="00175AD1">
      <w:pPr>
        <w:spacing w:after="0" w:line="480" w:lineRule="auto"/>
        <w:rPr>
          <w:rFonts w:ascii="Times New Roman" w:eastAsia="Calibri" w:hAnsi="Times New Roman" w:cs="Times New Roman"/>
          <w:i/>
          <w:sz w:val="24"/>
          <w:szCs w:val="24"/>
        </w:rPr>
      </w:pPr>
      <w:r w:rsidRPr="001D39B0">
        <w:rPr>
          <w:rFonts w:ascii="Times New Roman" w:eastAsia="Calibri" w:hAnsi="Times New Roman" w:cs="Times New Roman"/>
          <w:i/>
          <w:iCs/>
          <w:sz w:val="24"/>
          <w:szCs w:val="24"/>
        </w:rPr>
        <w:t xml:space="preserve">Sawyer &amp; </w:t>
      </w:r>
      <w:proofErr w:type="spellStart"/>
      <w:r w:rsidRPr="001D39B0">
        <w:rPr>
          <w:rFonts w:ascii="Times New Roman" w:eastAsia="Calibri" w:hAnsi="Times New Roman" w:cs="Times New Roman"/>
          <w:i/>
          <w:iCs/>
          <w:sz w:val="24"/>
          <w:szCs w:val="24"/>
        </w:rPr>
        <w:t>Mkushi</w:t>
      </w:r>
      <w:proofErr w:type="spellEnd"/>
      <w:r w:rsidRPr="001D39B0">
        <w:rPr>
          <w:rFonts w:ascii="Times New Roman" w:eastAsia="Calibri" w:hAnsi="Times New Roman" w:cs="Times New Roman"/>
          <w:i/>
          <w:sz w:val="24"/>
          <w:szCs w:val="24"/>
        </w:rPr>
        <w:t xml:space="preserve">, </w:t>
      </w:r>
      <w:r w:rsidRPr="001D39B0">
        <w:rPr>
          <w:rFonts w:ascii="Times New Roman" w:eastAsia="Calibri" w:hAnsi="Times New Roman" w:cs="Times New Roman"/>
          <w:iCs/>
          <w:sz w:val="24"/>
          <w:szCs w:val="24"/>
        </w:rPr>
        <w:t>BDO</w:t>
      </w:r>
      <w:r w:rsidR="005008B2">
        <w:rPr>
          <w:rFonts w:ascii="Times New Roman" w:eastAsia="Calibri" w:hAnsi="Times New Roman" w:cs="Times New Roman"/>
          <w:iCs/>
          <w:sz w:val="24"/>
          <w:szCs w:val="24"/>
        </w:rPr>
        <w:t xml:space="preserve"> Chartered Accountant</w:t>
      </w:r>
      <w:r w:rsidRPr="001D39B0">
        <w:rPr>
          <w:rFonts w:ascii="Times New Roman" w:eastAsia="Calibri" w:hAnsi="Times New Roman" w:cs="Times New Roman"/>
          <w:iCs/>
          <w:sz w:val="24"/>
          <w:szCs w:val="24"/>
        </w:rPr>
        <w:t>s</w:t>
      </w:r>
      <w:r w:rsidR="005008B2">
        <w:rPr>
          <w:rFonts w:ascii="Times New Roman" w:eastAsia="Calibri" w:hAnsi="Times New Roman" w:cs="Times New Roman"/>
          <w:iCs/>
          <w:sz w:val="24"/>
          <w:szCs w:val="24"/>
        </w:rPr>
        <w:t>’</w:t>
      </w:r>
      <w:r w:rsidRPr="001D39B0">
        <w:rPr>
          <w:rFonts w:ascii="Times New Roman" w:eastAsia="Calibri" w:hAnsi="Times New Roman" w:cs="Times New Roman"/>
          <w:iCs/>
          <w:sz w:val="24"/>
          <w:szCs w:val="24"/>
        </w:rPr>
        <w:t xml:space="preserve"> legal practitioners</w:t>
      </w:r>
    </w:p>
    <w:p w:rsidR="00F934A9" w:rsidRPr="001D39B0" w:rsidRDefault="00F934A9" w:rsidP="00175AD1">
      <w:pPr>
        <w:spacing w:after="0" w:line="480" w:lineRule="auto"/>
        <w:rPr>
          <w:rFonts w:ascii="Times New Roman" w:eastAsia="Calibri" w:hAnsi="Times New Roman" w:cs="Times New Roman"/>
          <w:i/>
          <w:sz w:val="24"/>
          <w:szCs w:val="24"/>
        </w:rPr>
      </w:pPr>
      <w:proofErr w:type="spellStart"/>
      <w:r w:rsidRPr="001D39B0">
        <w:rPr>
          <w:rFonts w:ascii="Times New Roman" w:eastAsia="Calibri" w:hAnsi="Times New Roman" w:cs="Times New Roman"/>
          <w:i/>
          <w:iCs/>
          <w:sz w:val="24"/>
          <w:szCs w:val="24"/>
        </w:rPr>
        <w:lastRenderedPageBreak/>
        <w:t>Makuwaza</w:t>
      </w:r>
      <w:proofErr w:type="spellEnd"/>
      <w:r w:rsidRPr="001D39B0">
        <w:rPr>
          <w:rFonts w:ascii="Times New Roman" w:eastAsia="Calibri" w:hAnsi="Times New Roman" w:cs="Times New Roman"/>
          <w:i/>
          <w:iCs/>
          <w:sz w:val="24"/>
          <w:szCs w:val="24"/>
        </w:rPr>
        <w:t xml:space="preserve"> &amp; </w:t>
      </w:r>
      <w:proofErr w:type="spellStart"/>
      <w:r w:rsidRPr="001D39B0">
        <w:rPr>
          <w:rFonts w:ascii="Times New Roman" w:eastAsia="Calibri" w:hAnsi="Times New Roman" w:cs="Times New Roman"/>
          <w:i/>
          <w:iCs/>
          <w:sz w:val="24"/>
          <w:szCs w:val="24"/>
        </w:rPr>
        <w:t>Magogo</w:t>
      </w:r>
      <w:proofErr w:type="spellEnd"/>
      <w:r w:rsidRPr="001D39B0">
        <w:rPr>
          <w:rFonts w:ascii="Times New Roman" w:eastAsia="Calibri" w:hAnsi="Times New Roman" w:cs="Times New Roman"/>
          <w:i/>
          <w:iCs/>
          <w:sz w:val="24"/>
          <w:szCs w:val="24"/>
        </w:rPr>
        <w:t xml:space="preserve"> Attorneys</w:t>
      </w:r>
      <w:r w:rsidRPr="001D39B0">
        <w:rPr>
          <w:rFonts w:ascii="Times New Roman" w:eastAsia="Calibri" w:hAnsi="Times New Roman" w:cs="Times New Roman"/>
          <w:i/>
          <w:sz w:val="24"/>
          <w:szCs w:val="24"/>
        </w:rPr>
        <w:t xml:space="preserve">, </w:t>
      </w:r>
      <w:r w:rsidRPr="001D39B0">
        <w:rPr>
          <w:rFonts w:ascii="Times New Roman" w:eastAsia="Calibri" w:hAnsi="Times New Roman" w:cs="Times New Roman"/>
          <w:iCs/>
          <w:sz w:val="24"/>
          <w:szCs w:val="24"/>
        </w:rPr>
        <w:t>respondent’s legal practitioners</w:t>
      </w:r>
    </w:p>
    <w:p w:rsidR="00F934A9" w:rsidRPr="001D39B0" w:rsidRDefault="00F934A9" w:rsidP="00F934A9">
      <w:pPr>
        <w:rPr>
          <w:rFonts w:ascii="Times New Roman" w:hAnsi="Times New Roman" w:cs="Times New Roman"/>
          <w:sz w:val="24"/>
          <w:szCs w:val="24"/>
        </w:rPr>
      </w:pPr>
    </w:p>
    <w:p w:rsidR="00F934A9" w:rsidRDefault="00F934A9" w:rsidP="00F934A9">
      <w:pPr>
        <w:spacing w:after="200" w:line="276" w:lineRule="auto"/>
        <w:rPr>
          <w:rFonts w:ascii="Times New Roman" w:hAnsi="Times New Roman" w:cs="Times New Roman"/>
          <w:sz w:val="24"/>
          <w:szCs w:val="24"/>
        </w:rPr>
      </w:pPr>
    </w:p>
    <w:sectPr w:rsidR="00F934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0D" w:rsidRDefault="00E26F0D" w:rsidP="00314BAA">
      <w:pPr>
        <w:spacing w:after="0" w:line="240" w:lineRule="auto"/>
      </w:pPr>
      <w:r>
        <w:separator/>
      </w:r>
    </w:p>
  </w:endnote>
  <w:endnote w:type="continuationSeparator" w:id="0">
    <w:p w:rsidR="00E26F0D" w:rsidRDefault="00E26F0D" w:rsidP="0031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0D" w:rsidRDefault="00E26F0D" w:rsidP="00314BAA">
      <w:pPr>
        <w:spacing w:after="0" w:line="240" w:lineRule="auto"/>
      </w:pPr>
      <w:r>
        <w:separator/>
      </w:r>
    </w:p>
  </w:footnote>
  <w:footnote w:type="continuationSeparator" w:id="0">
    <w:p w:rsidR="00E26F0D" w:rsidRDefault="00E26F0D" w:rsidP="00314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AA" w:rsidRDefault="00314BAA" w:rsidP="00314BAA">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BAA" w:rsidRPr="00DA3E3F" w:rsidRDefault="00314BAA">
                          <w:pPr>
                            <w:spacing w:after="0" w:line="240" w:lineRule="auto"/>
                            <w:jc w:val="right"/>
                            <w:rPr>
                              <w:rFonts w:ascii="Times New Roman" w:hAnsi="Times New Roman" w:cs="Times New Roman"/>
                              <w:b/>
                              <w:noProof/>
                              <w:sz w:val="24"/>
                              <w:szCs w:val="24"/>
                            </w:rPr>
                          </w:pPr>
                          <w:r w:rsidRPr="00DA3E3F">
                            <w:rPr>
                              <w:rFonts w:ascii="Times New Roman" w:hAnsi="Times New Roman" w:cs="Times New Roman"/>
                              <w:b/>
                              <w:noProof/>
                              <w:sz w:val="24"/>
                              <w:szCs w:val="24"/>
                            </w:rPr>
                            <w:t>Judgment No</w:t>
                          </w:r>
                          <w:r w:rsidR="00F60852">
                            <w:rPr>
                              <w:rFonts w:ascii="Times New Roman" w:hAnsi="Times New Roman" w:cs="Times New Roman"/>
                              <w:b/>
                              <w:noProof/>
                              <w:sz w:val="24"/>
                              <w:szCs w:val="24"/>
                            </w:rPr>
                            <w:t xml:space="preserve"> 51</w:t>
                          </w:r>
                          <w:r w:rsidRPr="00DA3E3F">
                            <w:rPr>
                              <w:rFonts w:ascii="Times New Roman" w:hAnsi="Times New Roman" w:cs="Times New Roman"/>
                              <w:b/>
                              <w:noProof/>
                              <w:sz w:val="24"/>
                              <w:szCs w:val="24"/>
                            </w:rPr>
                            <w:t>/25</w:t>
                          </w:r>
                        </w:p>
                        <w:p w:rsidR="00314BAA" w:rsidRPr="00DA3E3F" w:rsidRDefault="00314BAA">
                          <w:pPr>
                            <w:spacing w:after="0" w:line="240" w:lineRule="auto"/>
                            <w:jc w:val="right"/>
                            <w:rPr>
                              <w:rFonts w:ascii="Times New Roman" w:hAnsi="Times New Roman" w:cs="Times New Roman"/>
                              <w:b/>
                              <w:noProof/>
                              <w:sz w:val="24"/>
                              <w:szCs w:val="24"/>
                            </w:rPr>
                          </w:pPr>
                          <w:r w:rsidRPr="00DA3E3F">
                            <w:rPr>
                              <w:rFonts w:ascii="Times New Roman" w:hAnsi="Times New Roman" w:cs="Times New Roman"/>
                              <w:b/>
                              <w:noProof/>
                              <w:sz w:val="24"/>
                              <w:szCs w:val="24"/>
                            </w:rPr>
                            <w:t>Civil Appeal No R-SC 258/20</w:t>
                          </w:r>
                        </w:p>
                        <w:p w:rsidR="00314BAA" w:rsidRPr="00DA3E3F" w:rsidRDefault="007F7FB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R-SC 285/20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14BAA" w:rsidRPr="00DA3E3F" w:rsidRDefault="00314BAA">
                    <w:pPr>
                      <w:spacing w:after="0" w:line="240" w:lineRule="auto"/>
                      <w:jc w:val="right"/>
                      <w:rPr>
                        <w:rFonts w:ascii="Times New Roman" w:hAnsi="Times New Roman" w:cs="Times New Roman"/>
                        <w:b/>
                        <w:noProof/>
                        <w:sz w:val="24"/>
                        <w:szCs w:val="24"/>
                      </w:rPr>
                    </w:pPr>
                    <w:r w:rsidRPr="00DA3E3F">
                      <w:rPr>
                        <w:rFonts w:ascii="Times New Roman" w:hAnsi="Times New Roman" w:cs="Times New Roman"/>
                        <w:b/>
                        <w:noProof/>
                        <w:sz w:val="24"/>
                        <w:szCs w:val="24"/>
                      </w:rPr>
                      <w:t>Judgment No</w:t>
                    </w:r>
                    <w:r w:rsidR="00F60852">
                      <w:rPr>
                        <w:rFonts w:ascii="Times New Roman" w:hAnsi="Times New Roman" w:cs="Times New Roman"/>
                        <w:b/>
                        <w:noProof/>
                        <w:sz w:val="24"/>
                        <w:szCs w:val="24"/>
                      </w:rPr>
                      <w:t xml:space="preserve"> 51</w:t>
                    </w:r>
                    <w:r w:rsidRPr="00DA3E3F">
                      <w:rPr>
                        <w:rFonts w:ascii="Times New Roman" w:hAnsi="Times New Roman" w:cs="Times New Roman"/>
                        <w:b/>
                        <w:noProof/>
                        <w:sz w:val="24"/>
                        <w:szCs w:val="24"/>
                      </w:rPr>
                      <w:t>/25</w:t>
                    </w:r>
                  </w:p>
                  <w:p w:rsidR="00314BAA" w:rsidRPr="00DA3E3F" w:rsidRDefault="00314BAA">
                    <w:pPr>
                      <w:spacing w:after="0" w:line="240" w:lineRule="auto"/>
                      <w:jc w:val="right"/>
                      <w:rPr>
                        <w:rFonts w:ascii="Times New Roman" w:hAnsi="Times New Roman" w:cs="Times New Roman"/>
                        <w:b/>
                        <w:noProof/>
                        <w:sz w:val="24"/>
                        <w:szCs w:val="24"/>
                      </w:rPr>
                    </w:pPr>
                    <w:r w:rsidRPr="00DA3E3F">
                      <w:rPr>
                        <w:rFonts w:ascii="Times New Roman" w:hAnsi="Times New Roman" w:cs="Times New Roman"/>
                        <w:b/>
                        <w:noProof/>
                        <w:sz w:val="24"/>
                        <w:szCs w:val="24"/>
                      </w:rPr>
                      <w:t>Civil Appeal No R-SC 258/20</w:t>
                    </w:r>
                  </w:p>
                  <w:p w:rsidR="00314BAA" w:rsidRPr="00DA3E3F" w:rsidRDefault="007F7FB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R-SC 285/20</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14BAA" w:rsidRDefault="00314BAA">
                          <w:pPr>
                            <w:spacing w:after="0" w:line="240" w:lineRule="auto"/>
                            <w:rPr>
                              <w:color w:val="FFFFFF" w:themeColor="background1"/>
                            </w:rPr>
                          </w:pPr>
                          <w:r>
                            <w:fldChar w:fldCharType="begin"/>
                          </w:r>
                          <w:r>
                            <w:instrText xml:space="preserve"> PAGE   \* MERGEFORMAT </w:instrText>
                          </w:r>
                          <w:r>
                            <w:fldChar w:fldCharType="separate"/>
                          </w:r>
                          <w:r w:rsidR="00671422" w:rsidRPr="00671422">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14BAA" w:rsidRDefault="00314BAA">
                    <w:pPr>
                      <w:spacing w:after="0" w:line="240" w:lineRule="auto"/>
                      <w:rPr>
                        <w:color w:val="FFFFFF" w:themeColor="background1"/>
                      </w:rPr>
                    </w:pPr>
                    <w:r>
                      <w:fldChar w:fldCharType="begin"/>
                    </w:r>
                    <w:r>
                      <w:instrText xml:space="preserve"> PAGE   \* MERGEFORMAT </w:instrText>
                    </w:r>
                    <w:r>
                      <w:fldChar w:fldCharType="separate"/>
                    </w:r>
                    <w:r w:rsidR="00671422" w:rsidRPr="00671422">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4A4D"/>
    <w:multiLevelType w:val="hybridMultilevel"/>
    <w:tmpl w:val="582629AE"/>
    <w:lvl w:ilvl="0" w:tplc="66D8DD6E">
      <w:start w:val="1"/>
      <w:numFmt w:val="decimal"/>
      <w:lvlText w:val="%1."/>
      <w:lvlJc w:val="left"/>
      <w:pPr>
        <w:ind w:left="720" w:hanging="360"/>
      </w:pPr>
      <w:rPr>
        <w:rFonts w:ascii="Times New Roman" w:eastAsia="Arial Unicode MS" w:hAnsi="Times New Roman" w:cs="Times New Roman"/>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AF5941"/>
    <w:multiLevelType w:val="multilevel"/>
    <w:tmpl w:val="BCB64214"/>
    <w:lvl w:ilvl="0">
      <w:start w:val="2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562F0"/>
    <w:multiLevelType w:val="hybridMultilevel"/>
    <w:tmpl w:val="E6E22BD4"/>
    <w:lvl w:ilvl="0" w:tplc="63C02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8578C"/>
    <w:multiLevelType w:val="hybridMultilevel"/>
    <w:tmpl w:val="1F1E049A"/>
    <w:lvl w:ilvl="0" w:tplc="D354D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CF58DC"/>
    <w:multiLevelType w:val="hybridMultilevel"/>
    <w:tmpl w:val="294E0B7C"/>
    <w:lvl w:ilvl="0" w:tplc="EE0CDFB0">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CDC27AA"/>
    <w:multiLevelType w:val="hybridMultilevel"/>
    <w:tmpl w:val="72BCFD9C"/>
    <w:lvl w:ilvl="0" w:tplc="F5D229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DA41810"/>
    <w:multiLevelType w:val="hybridMultilevel"/>
    <w:tmpl w:val="B3FEB70E"/>
    <w:lvl w:ilvl="0" w:tplc="37368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96B80"/>
    <w:multiLevelType w:val="hybridMultilevel"/>
    <w:tmpl w:val="F668BE72"/>
    <w:lvl w:ilvl="0" w:tplc="BCFE125E">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BF96C8C"/>
    <w:multiLevelType w:val="hybridMultilevel"/>
    <w:tmpl w:val="294E0B7C"/>
    <w:lvl w:ilvl="0" w:tplc="EE0CDFB0">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D5B4DE1"/>
    <w:multiLevelType w:val="multilevel"/>
    <w:tmpl w:val="F3689B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2"/>
  </w:num>
  <w:num w:numId="3">
    <w:abstractNumId w:val="7"/>
  </w:num>
  <w:num w:numId="4">
    <w:abstractNumId w:val="1"/>
  </w:num>
  <w:num w:numId="5">
    <w:abstractNumId w:val="9"/>
  </w:num>
  <w:num w:numId="6">
    <w:abstractNumId w:val="0"/>
  </w:num>
  <w:num w:numId="7">
    <w:abstractNumId w:val="5"/>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A9"/>
    <w:rsid w:val="000255AE"/>
    <w:rsid w:val="00041003"/>
    <w:rsid w:val="0005009C"/>
    <w:rsid w:val="00055426"/>
    <w:rsid w:val="0006235C"/>
    <w:rsid w:val="0008158C"/>
    <w:rsid w:val="00081F21"/>
    <w:rsid w:val="00090DCE"/>
    <w:rsid w:val="000916BD"/>
    <w:rsid w:val="000B2045"/>
    <w:rsid w:val="000C5C0D"/>
    <w:rsid w:val="000E041E"/>
    <w:rsid w:val="000E1D9E"/>
    <w:rsid w:val="00100B2E"/>
    <w:rsid w:val="001059C9"/>
    <w:rsid w:val="001231D1"/>
    <w:rsid w:val="00134429"/>
    <w:rsid w:val="00137A1D"/>
    <w:rsid w:val="00175AD1"/>
    <w:rsid w:val="001A312C"/>
    <w:rsid w:val="001D6F7B"/>
    <w:rsid w:val="001D7914"/>
    <w:rsid w:val="001E17ED"/>
    <w:rsid w:val="001F1AEA"/>
    <w:rsid w:val="002137BE"/>
    <w:rsid w:val="00237AF8"/>
    <w:rsid w:val="002462DA"/>
    <w:rsid w:val="00246CE5"/>
    <w:rsid w:val="00247FAB"/>
    <w:rsid w:val="00267DAC"/>
    <w:rsid w:val="002769E7"/>
    <w:rsid w:val="002815A9"/>
    <w:rsid w:val="00285BEA"/>
    <w:rsid w:val="002B7D8E"/>
    <w:rsid w:val="002F6527"/>
    <w:rsid w:val="00314BAA"/>
    <w:rsid w:val="00330B9D"/>
    <w:rsid w:val="00337BD4"/>
    <w:rsid w:val="00357F09"/>
    <w:rsid w:val="00384825"/>
    <w:rsid w:val="00385393"/>
    <w:rsid w:val="003A24D1"/>
    <w:rsid w:val="003D4905"/>
    <w:rsid w:val="003F440A"/>
    <w:rsid w:val="00405F58"/>
    <w:rsid w:val="00414456"/>
    <w:rsid w:val="00453431"/>
    <w:rsid w:val="00457A39"/>
    <w:rsid w:val="004726F2"/>
    <w:rsid w:val="00494D0A"/>
    <w:rsid w:val="00497E06"/>
    <w:rsid w:val="004F31BF"/>
    <w:rsid w:val="005008B2"/>
    <w:rsid w:val="0050267C"/>
    <w:rsid w:val="00505475"/>
    <w:rsid w:val="00527679"/>
    <w:rsid w:val="005511D2"/>
    <w:rsid w:val="00562866"/>
    <w:rsid w:val="00574643"/>
    <w:rsid w:val="00586484"/>
    <w:rsid w:val="005B03E2"/>
    <w:rsid w:val="005B464C"/>
    <w:rsid w:val="006019BE"/>
    <w:rsid w:val="006043AD"/>
    <w:rsid w:val="00611882"/>
    <w:rsid w:val="0061321B"/>
    <w:rsid w:val="00625913"/>
    <w:rsid w:val="00633EE9"/>
    <w:rsid w:val="006530B3"/>
    <w:rsid w:val="00662A55"/>
    <w:rsid w:val="00671422"/>
    <w:rsid w:val="00681C55"/>
    <w:rsid w:val="006A60D9"/>
    <w:rsid w:val="006A74A1"/>
    <w:rsid w:val="006B0582"/>
    <w:rsid w:val="006C5F51"/>
    <w:rsid w:val="006E7A4E"/>
    <w:rsid w:val="00704CAB"/>
    <w:rsid w:val="00706BBA"/>
    <w:rsid w:val="007627DC"/>
    <w:rsid w:val="00776D33"/>
    <w:rsid w:val="00776D5B"/>
    <w:rsid w:val="00785F13"/>
    <w:rsid w:val="00787087"/>
    <w:rsid w:val="007C4C70"/>
    <w:rsid w:val="007D2E9C"/>
    <w:rsid w:val="007D478E"/>
    <w:rsid w:val="007D669C"/>
    <w:rsid w:val="007E3A15"/>
    <w:rsid w:val="007F7FB4"/>
    <w:rsid w:val="00815AAC"/>
    <w:rsid w:val="008164AF"/>
    <w:rsid w:val="0083181B"/>
    <w:rsid w:val="00850E0F"/>
    <w:rsid w:val="00866F35"/>
    <w:rsid w:val="00870F41"/>
    <w:rsid w:val="008B4350"/>
    <w:rsid w:val="008D11C4"/>
    <w:rsid w:val="008E28DC"/>
    <w:rsid w:val="00900AAC"/>
    <w:rsid w:val="009019B3"/>
    <w:rsid w:val="00902D66"/>
    <w:rsid w:val="00906FAB"/>
    <w:rsid w:val="009332C2"/>
    <w:rsid w:val="00953577"/>
    <w:rsid w:val="009A0254"/>
    <w:rsid w:val="009C671D"/>
    <w:rsid w:val="009E6224"/>
    <w:rsid w:val="00A16CDB"/>
    <w:rsid w:val="00A43227"/>
    <w:rsid w:val="00A4405C"/>
    <w:rsid w:val="00A64A63"/>
    <w:rsid w:val="00A737B5"/>
    <w:rsid w:val="00A73B67"/>
    <w:rsid w:val="00A816BA"/>
    <w:rsid w:val="00A91A7B"/>
    <w:rsid w:val="00A95F2E"/>
    <w:rsid w:val="00AC7676"/>
    <w:rsid w:val="00AD3407"/>
    <w:rsid w:val="00AE32FE"/>
    <w:rsid w:val="00AF0751"/>
    <w:rsid w:val="00B43646"/>
    <w:rsid w:val="00B629B6"/>
    <w:rsid w:val="00B8180B"/>
    <w:rsid w:val="00B945BD"/>
    <w:rsid w:val="00B94C5D"/>
    <w:rsid w:val="00BB187E"/>
    <w:rsid w:val="00BC33A8"/>
    <w:rsid w:val="00BC7DD5"/>
    <w:rsid w:val="00C03C48"/>
    <w:rsid w:val="00C17BE5"/>
    <w:rsid w:val="00C249D6"/>
    <w:rsid w:val="00C2734E"/>
    <w:rsid w:val="00C304D8"/>
    <w:rsid w:val="00C42516"/>
    <w:rsid w:val="00CC479A"/>
    <w:rsid w:val="00CC7F8C"/>
    <w:rsid w:val="00CE4381"/>
    <w:rsid w:val="00D21907"/>
    <w:rsid w:val="00D37229"/>
    <w:rsid w:val="00D37292"/>
    <w:rsid w:val="00D67B34"/>
    <w:rsid w:val="00D739DF"/>
    <w:rsid w:val="00D90760"/>
    <w:rsid w:val="00DA3E3F"/>
    <w:rsid w:val="00DB1FA1"/>
    <w:rsid w:val="00DD7006"/>
    <w:rsid w:val="00E26F0D"/>
    <w:rsid w:val="00E27AAA"/>
    <w:rsid w:val="00E32B26"/>
    <w:rsid w:val="00E572B0"/>
    <w:rsid w:val="00E57720"/>
    <w:rsid w:val="00E72587"/>
    <w:rsid w:val="00E76DEE"/>
    <w:rsid w:val="00E83363"/>
    <w:rsid w:val="00E872F9"/>
    <w:rsid w:val="00E92E18"/>
    <w:rsid w:val="00E94D21"/>
    <w:rsid w:val="00E96B89"/>
    <w:rsid w:val="00E97DAC"/>
    <w:rsid w:val="00EB1527"/>
    <w:rsid w:val="00EB15EC"/>
    <w:rsid w:val="00EC1A7A"/>
    <w:rsid w:val="00F0741B"/>
    <w:rsid w:val="00F26CD0"/>
    <w:rsid w:val="00F3793C"/>
    <w:rsid w:val="00F60852"/>
    <w:rsid w:val="00F62C11"/>
    <w:rsid w:val="00F63E05"/>
    <w:rsid w:val="00F64855"/>
    <w:rsid w:val="00F84CA3"/>
    <w:rsid w:val="00F87323"/>
    <w:rsid w:val="00F92C8E"/>
    <w:rsid w:val="00F934A9"/>
    <w:rsid w:val="00F95D62"/>
    <w:rsid w:val="00FD7631"/>
    <w:rsid w:val="00FE0714"/>
    <w:rsid w:val="00FE2939"/>
    <w:rsid w:val="00FE50E7"/>
    <w:rsid w:val="00FF3A71"/>
    <w:rsid w:val="00FF68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0D0A8-0E1D-468A-A09F-7E646A9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4A9"/>
    <w:pPr>
      <w:ind w:left="720"/>
      <w:contextualSpacing/>
    </w:pPr>
  </w:style>
  <w:style w:type="character" w:styleId="Emphasis">
    <w:name w:val="Emphasis"/>
    <w:basedOn w:val="DefaultParagraphFont"/>
    <w:uiPriority w:val="20"/>
    <w:qFormat/>
    <w:rsid w:val="00F934A9"/>
    <w:rPr>
      <w:i/>
      <w:iCs/>
    </w:rPr>
  </w:style>
  <w:style w:type="paragraph" w:customStyle="1" w:styleId="Default">
    <w:name w:val="Default"/>
    <w:rsid w:val="00F934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F934A9"/>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F934A9"/>
    <w:pPr>
      <w:spacing w:after="0" w:line="240" w:lineRule="auto"/>
    </w:pPr>
    <w:rPr>
      <w:sz w:val="20"/>
      <w:szCs w:val="20"/>
    </w:rPr>
  </w:style>
  <w:style w:type="character" w:customStyle="1" w:styleId="FootnoteTextChar">
    <w:name w:val="Footnote Text Char"/>
    <w:basedOn w:val="DefaultParagraphFont"/>
    <w:link w:val="FootnoteText"/>
    <w:uiPriority w:val="99"/>
    <w:rsid w:val="00F934A9"/>
    <w:rPr>
      <w:sz w:val="20"/>
      <w:szCs w:val="20"/>
      <w:lang w:val="en-US"/>
    </w:rPr>
  </w:style>
  <w:style w:type="paragraph" w:styleId="Header">
    <w:name w:val="header"/>
    <w:basedOn w:val="Normal"/>
    <w:link w:val="HeaderChar"/>
    <w:uiPriority w:val="99"/>
    <w:unhideWhenUsed/>
    <w:rsid w:val="0031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BAA"/>
    <w:rPr>
      <w:lang w:val="en-US"/>
    </w:rPr>
  </w:style>
  <w:style w:type="paragraph" w:styleId="Footer">
    <w:name w:val="footer"/>
    <w:basedOn w:val="Normal"/>
    <w:link w:val="FooterChar"/>
    <w:uiPriority w:val="99"/>
    <w:unhideWhenUsed/>
    <w:rsid w:val="0031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BAA"/>
    <w:rPr>
      <w:lang w:val="en-US"/>
    </w:rPr>
  </w:style>
  <w:style w:type="paragraph" w:styleId="BalloonText">
    <w:name w:val="Balloon Text"/>
    <w:basedOn w:val="Normal"/>
    <w:link w:val="BalloonTextChar"/>
    <w:uiPriority w:val="99"/>
    <w:semiHidden/>
    <w:unhideWhenUsed/>
    <w:rsid w:val="00E92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13</cp:revision>
  <dcterms:created xsi:type="dcterms:W3CDTF">2025-06-30T10:38:00Z</dcterms:created>
  <dcterms:modified xsi:type="dcterms:W3CDTF">2025-06-30T11:28:00Z</dcterms:modified>
</cp:coreProperties>
</file>